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8-K/A</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3" w:lineRule="exact"/>
        <w:rPr>
          <w:sz w:val="24"/>
          <w:szCs w:val="24"/>
          <w:color w:val="auto"/>
        </w:rPr>
      </w:pPr>
    </w:p>
    <w:p>
      <w:pPr>
        <w:ind w:left="4400"/>
        <w:spacing w:after="0"/>
        <w:rPr>
          <w:sz w:val="20"/>
          <w:szCs w:val="20"/>
          <w:color w:val="auto"/>
        </w:rPr>
      </w:pPr>
      <w:r>
        <w:rPr>
          <w:rFonts w:ascii="Arial" w:cs="Arial" w:eastAsia="Arial" w:hAnsi="Arial"/>
          <w:sz w:val="25"/>
          <w:szCs w:val="25"/>
          <w:b w:val="1"/>
          <w:bCs w:val="1"/>
          <w:color w:val="auto"/>
        </w:rPr>
        <w:t>_____________________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August 1, 2019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724"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340"/>
          </w:cols>
          <w:pgMar w:left="240" w:top="724" w:right="2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r>
        <w:trPr>
          <w:trHeight w:val="210"/>
        </w:trPr>
        <w:tc>
          <w:tcPr>
            <w:tcW w:w="46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r>
      <w:tr>
        <w:trPr>
          <w:trHeight w:val="244"/>
        </w:trPr>
        <w:tc>
          <w:tcPr>
            <w:tcW w:w="46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r>
      <w:tr>
        <w:trPr>
          <w:trHeight w:val="361"/>
        </w:trPr>
        <w:tc>
          <w:tcPr>
            <w:tcW w:w="46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This Amendment No. 1 to Current Report on Form 8-K/A is being filed to include as an exhibit a corrected press release that was released on August 1, 2019. This corrected press release replaces the press release that was released earlier on August 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0" w:firstLine="389"/>
        <w:spacing w:after="0" w:line="264" w:lineRule="auto"/>
        <w:rPr>
          <w:sz w:val="20"/>
          <w:szCs w:val="20"/>
          <w:color w:val="auto"/>
        </w:rPr>
      </w:pPr>
      <w:r>
        <w:rPr>
          <w:rFonts w:ascii="Arial" w:cs="Arial" w:eastAsia="Arial" w:hAnsi="Arial"/>
          <w:sz w:val="18"/>
          <w:szCs w:val="18"/>
          <w:color w:val="auto"/>
        </w:rPr>
        <w:t>On August 1, 2019, Fluidigm Corporation issued a corrected press release reporting its financial results for the second fiscal quarter of 2019. The correction related solely to the section entitled “Third Quarter 2019 Guidance,” in which the non-GAAP and GAAP financial measures were reversed in the original.</w:t>
      </w:r>
    </w:p>
    <w:p>
      <w:pPr>
        <w:spacing w:after="0" w:line="181" w:lineRule="exact"/>
        <w:rPr>
          <w:sz w:val="20"/>
          <w:szCs w:val="20"/>
          <w:color w:val="auto"/>
        </w:rPr>
      </w:pPr>
    </w:p>
    <w:p>
      <w:pPr>
        <w:ind w:right="220" w:firstLine="389"/>
        <w:spacing w:after="0" w:line="259" w:lineRule="auto"/>
        <w:rPr>
          <w:sz w:val="20"/>
          <w:szCs w:val="20"/>
          <w:color w:val="auto"/>
        </w:rPr>
      </w:pPr>
      <w:r>
        <w:rPr>
          <w:rFonts w:ascii="Arial" w:cs="Arial" w:eastAsia="Arial" w:hAnsi="Arial"/>
          <w:sz w:val="18"/>
          <w:szCs w:val="18"/>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No. Description</w:t>
      </w:r>
    </w:p>
    <w:p>
      <w:pPr>
        <w:spacing w:after="0" w:line="303" w:lineRule="exact"/>
        <w:rPr>
          <w:sz w:val="20"/>
          <w:szCs w:val="20"/>
          <w:color w:val="auto"/>
        </w:rPr>
      </w:pPr>
    </w:p>
    <w:p>
      <w:pPr>
        <w:ind w:left="20"/>
        <w:spacing w:after="0"/>
        <w:tabs>
          <w:tab w:leader="none" w:pos="10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hyperlink w:anchor="page4">
        <w:r>
          <w:rPr>
            <w:rFonts w:ascii="Arial" w:cs="Arial" w:eastAsia="Arial" w:hAnsi="Arial"/>
            <w:sz w:val="16"/>
            <w:szCs w:val="16"/>
            <w:u w:val="single" w:color="auto"/>
            <w:color w:val="0000EE"/>
          </w:rPr>
          <w:t>Fluidigm Corporation Press Release dated August 1, 2019, as updated</w:t>
        </w:r>
      </w:hyperlink>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4000" w:type="dxa"/>
            <w:vAlign w:val="bottom"/>
            <w:gridSpan w:val="3"/>
          </w:tcPr>
          <w:p>
            <w:pPr>
              <w:ind w:left="200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Date: August 1, 2019</w:t>
            </w:r>
          </w:p>
        </w:tc>
        <w:tc>
          <w:tcPr>
            <w:tcW w:w="4000" w:type="dxa"/>
            <w:vAlign w:val="bottom"/>
            <w:gridSpan w:val="3"/>
          </w:tcPr>
          <w:p>
            <w:pPr>
              <w:ind w:left="2000"/>
              <w:spacing w:after="0"/>
              <w:rPr>
                <w:sz w:val="20"/>
                <w:szCs w:val="20"/>
                <w:color w:val="auto"/>
              </w:rPr>
            </w:pPr>
            <w:r>
              <w:rPr>
                <w:rFonts w:ascii="Arial" w:cs="Arial" w:eastAsia="Arial" w:hAnsi="Arial"/>
                <w:sz w:val="18"/>
                <w:szCs w:val="18"/>
                <w:color w:val="auto"/>
              </w:rPr>
              <w:t>By: /s/ Vikram Jog</w:t>
            </w:r>
          </w:p>
        </w:tc>
      </w:tr>
      <w:tr>
        <w:trPr>
          <w:trHeight w:val="222"/>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28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20"/>
          </w:cols>
          <w:pgMar w:left="240" w:top="337" w:right="439" w:bottom="1440" w:gutter="0" w:footer="0" w:header="0"/>
        </w:sectPr>
      </w:pPr>
    </w:p>
    <w:bookmarkStart w:id="3" w:name="page4"/>
    <w:bookmarkEnd w:id="3"/>
    <w:p>
      <w:pPr>
        <w:spacing w:after="0" w:line="59" w:lineRule="exact"/>
        <w:rPr>
          <w:sz w:val="20"/>
          <w:szCs w:val="20"/>
          <w:color w:val="auto"/>
        </w:rPr>
      </w:pPr>
    </w:p>
    <w:p>
      <w:pPr>
        <w:ind w:left="1006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24"/>
          <w:szCs w:val="24"/>
          <w:b w:val="1"/>
          <w:bCs w:val="1"/>
          <w:color w:val="auto"/>
        </w:rPr>
        <w:t>CORRECTING and REPLACING - Fluidigm Announces Second Quarter 2019 Financial Results</w:t>
      </w:r>
    </w:p>
    <w:p>
      <w:pPr>
        <w:spacing w:after="0" w:line="239" w:lineRule="exact"/>
        <w:rPr>
          <w:sz w:val="20"/>
          <w:szCs w:val="20"/>
          <w:color w:val="auto"/>
        </w:rPr>
      </w:pPr>
    </w:p>
    <w:p>
      <w:pPr>
        <w:ind w:right="5480"/>
        <w:spacing w:after="0" w:line="532" w:lineRule="auto"/>
        <w:rPr>
          <w:sz w:val="20"/>
          <w:szCs w:val="20"/>
          <w:color w:val="auto"/>
        </w:rPr>
      </w:pPr>
      <w:r>
        <w:rPr>
          <w:rFonts w:ascii="Arial" w:cs="Arial" w:eastAsia="Arial" w:hAnsi="Arial"/>
          <w:sz w:val="18"/>
          <w:szCs w:val="18"/>
          <w:b w:val="1"/>
          <w:bCs w:val="1"/>
          <w:i w:val="1"/>
          <w:iCs w:val="1"/>
          <w:color w:val="auto"/>
        </w:rPr>
        <w:t>Second Quarter Revenue Increased 7 Percent to $28.2 Million Mass Cytometry Revenue Growth of 28 Percent in Second Quarter</w:t>
      </w:r>
    </w:p>
    <w:p>
      <w:pPr>
        <w:spacing w:after="0" w:line="1"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b w:val="1"/>
          <w:bCs w:val="1"/>
          <w:i w:val="1"/>
          <w:iCs w:val="1"/>
          <w:color w:val="auto"/>
        </w:rPr>
        <w:t>Expansion of Mass Cytometry Products with New Metal Markers and Imaging Mass Cytometry Panel Kits, Advanced CyTOF Software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Introduction of Nanoscale Automated RNA-Seq NGS Library Prep Solution</w:t>
      </w:r>
    </w:p>
    <w:p>
      <w:pPr>
        <w:spacing w:after="0" w:line="206" w:lineRule="exact"/>
        <w:rPr>
          <w:sz w:val="20"/>
          <w:szCs w:val="20"/>
          <w:color w:val="auto"/>
        </w:rPr>
      </w:pPr>
    </w:p>
    <w:p>
      <w:pPr>
        <w:jc w:val="both"/>
        <w:ind w:right="220"/>
        <w:spacing w:after="0" w:line="328" w:lineRule="auto"/>
        <w:rPr>
          <w:sz w:val="20"/>
          <w:szCs w:val="20"/>
          <w:color w:val="auto"/>
        </w:rPr>
      </w:pPr>
      <w:r>
        <w:rPr>
          <w:rFonts w:ascii="Arial" w:cs="Arial" w:eastAsia="Arial" w:hAnsi="Arial"/>
          <w:sz w:val="19"/>
          <w:szCs w:val="19"/>
          <w:i w:val="1"/>
          <w:iCs w:val="1"/>
          <w:color w:val="auto"/>
        </w:rPr>
        <w:t>Original press release issued August 1, 2019 has been replaced with this version to correct a typographical error. Specifically, in the section entitled “Third Quarter 2019 Guidance,” the non-GAAP and GAAP financial measures were reversed in the original.</w:t>
      </w:r>
    </w:p>
    <w:p>
      <w:pPr>
        <w:spacing w:after="0" w:line="105"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SOUTH SAN FRANCISCO, Calif., Aug. 01, 2019 (GLOBE NEWSWIRE) -- Fluidigm Corporation (NASDAQ:FLDM) today announced financial results for the second quarter ended June 30, 2019.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Second Quarter 2019</w:t>
      </w:r>
    </w:p>
    <w:p>
      <w:pPr>
        <w:spacing w:after="0" w:line="206" w:lineRule="exact"/>
        <w:rPr>
          <w:sz w:val="20"/>
          <w:szCs w:val="20"/>
          <w:color w:val="auto"/>
        </w:rPr>
      </w:pPr>
    </w:p>
    <w:p>
      <w:pPr>
        <w:ind w:left="540" w:right="340"/>
        <w:spacing w:after="0" w:line="239" w:lineRule="auto"/>
        <w:rPr>
          <w:sz w:val="20"/>
          <w:szCs w:val="20"/>
          <w:color w:val="auto"/>
        </w:rPr>
      </w:pPr>
      <w:r>
        <w:rPr>
          <w:rFonts w:ascii="Arial" w:cs="Arial" w:eastAsia="Arial" w:hAnsi="Arial"/>
          <w:sz w:val="22"/>
          <w:szCs w:val="22"/>
          <w:color w:val="auto"/>
        </w:rPr>
        <w:t>Total revenue increased 7 percent to $28.2 million from $26.4 million in the second quarter of 2018, with mass cytometry revenue growth of 28 percent compared to the year 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1"/>
          <w:szCs w:val="21"/>
          <w:color w:val="auto"/>
        </w:rPr>
        <w:t>GAAP net loss was $13.8 million, compared with a GAAP net loss of $16.2 million for the second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Non-GAAP net loss was $7.1 million, compared with a $6.8 million non-GAAP net loss for the second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“Mass cytometry delivered strong, double-digit performance with market expansion in instrument and consumables sales, offsetting declines in microfluidics. We executed on our innovation roadmap with the introduction of new metals and improved software for mass cytometry, pre-designed Imaging Mass Cytometry™ panels with pathologist-verified antibodies, and new oncology microfluidics assays. Furthermore, today we announced an exciting new microfluidics product that we plan to release in the third quarter: an automated RNA-seq library prep workflow,” said Chris Linthwaite, President and CEO.</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“Driving growth through innovation along with disciplined management remains our focus,” added Linthwaite. “In addition to the new product introductions this quarter, we strengthened our Americas commercial team and hired a Chief Science Officer to lead our scientific initiatives. We are executing on a long-term multi-omics strategy to drive new insights in health and disease, identify meaningful biomarkers and accelerate therapeutic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 full reconciliation of GAAP to non-GAAP measures can be found in the tables of this news release.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2019 Results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2"/>
          <w:szCs w:val="22"/>
          <w:i w:val="1"/>
          <w:iCs w:val="1"/>
          <w:color w:val="auto"/>
        </w:rPr>
        <w:t>Revenue by category: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22"/>
                <w:szCs w:val="22"/>
                <w:b w:val="1"/>
                <w:bCs w:val="1"/>
                <w:color w:val="auto"/>
              </w:rPr>
              <w:t>Category</w:t>
            </w:r>
          </w:p>
        </w:tc>
        <w:tc>
          <w:tcPr>
            <w:tcW w:w="3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Revenue by Category</w:t>
            </w:r>
          </w:p>
        </w:tc>
        <w:tc>
          <w:tcPr>
            <w:tcW w:w="33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22"/>
                <w:szCs w:val="22"/>
                <w:b w:val="1"/>
                <w:bCs w:val="1"/>
                <w:color w:val="auto"/>
              </w:rPr>
              <w:t>Year-over-Year Change</w:t>
            </w:r>
          </w:p>
        </w:tc>
        <w:tc>
          <w:tcPr>
            <w:tcW w:w="2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 of Total Revenue</w:t>
            </w:r>
          </w:p>
        </w:tc>
      </w:tr>
      <w:tr>
        <w:trPr>
          <w:trHeight w:val="256"/>
        </w:trPr>
        <w:tc>
          <w:tcPr>
            <w:tcW w:w="1960" w:type="dxa"/>
            <w:vAlign w:val="bottom"/>
          </w:tcPr>
          <w:p>
            <w:pPr>
              <w:ind w:left="140"/>
              <w:spacing w:after="0"/>
              <w:rPr>
                <w:sz w:val="20"/>
                <w:szCs w:val="20"/>
                <w:color w:val="auto"/>
              </w:rPr>
            </w:pPr>
            <w:r>
              <w:rPr>
                <w:rFonts w:ascii="Arial" w:cs="Arial" w:eastAsia="Arial" w:hAnsi="Arial"/>
                <w:sz w:val="22"/>
                <w:szCs w:val="22"/>
                <w:color w:val="auto"/>
              </w:rPr>
              <w:t>Instruments</w:t>
            </w:r>
          </w:p>
        </w:tc>
        <w:tc>
          <w:tcPr>
            <w:tcW w:w="3220" w:type="dxa"/>
            <w:vAlign w:val="bottom"/>
          </w:tcPr>
          <w:p>
            <w:pPr>
              <w:jc w:val="center"/>
              <w:spacing w:after="0"/>
              <w:rPr>
                <w:sz w:val="20"/>
                <w:szCs w:val="20"/>
                <w:color w:val="auto"/>
              </w:rPr>
            </w:pPr>
            <w:r>
              <w:rPr>
                <w:rFonts w:ascii="Arial" w:cs="Arial" w:eastAsia="Arial" w:hAnsi="Arial"/>
                <w:sz w:val="22"/>
                <w:szCs w:val="22"/>
                <w:color w:val="auto"/>
                <w:w w:val="93"/>
              </w:rPr>
              <w:t>$12.2 million</w:t>
            </w:r>
          </w:p>
        </w:tc>
        <w:tc>
          <w:tcPr>
            <w:tcW w:w="3320" w:type="dxa"/>
            <w:vAlign w:val="bottom"/>
          </w:tcPr>
          <w:p>
            <w:pPr>
              <w:jc w:val="center"/>
              <w:spacing w:after="0"/>
              <w:rPr>
                <w:sz w:val="20"/>
                <w:szCs w:val="20"/>
                <w:color w:val="auto"/>
              </w:rPr>
            </w:pPr>
            <w:r>
              <w:rPr>
                <w:rFonts w:ascii="Arial" w:cs="Arial" w:eastAsia="Arial" w:hAnsi="Arial"/>
                <w:sz w:val="22"/>
                <w:szCs w:val="22"/>
                <w:color w:val="auto"/>
                <w:w w:val="90"/>
              </w:rPr>
              <w:t>17%</w:t>
            </w:r>
          </w:p>
        </w:tc>
        <w:tc>
          <w:tcPr>
            <w:tcW w:w="2920" w:type="dxa"/>
            <w:vAlign w:val="bottom"/>
          </w:tcPr>
          <w:p>
            <w:pPr>
              <w:jc w:val="center"/>
              <w:spacing w:after="0"/>
              <w:rPr>
                <w:sz w:val="20"/>
                <w:szCs w:val="20"/>
                <w:color w:val="auto"/>
              </w:rPr>
            </w:pPr>
            <w:r>
              <w:rPr>
                <w:rFonts w:ascii="Arial" w:cs="Arial" w:eastAsia="Arial" w:hAnsi="Arial"/>
                <w:sz w:val="22"/>
                <w:szCs w:val="22"/>
                <w:color w:val="auto"/>
                <w:w w:val="90"/>
              </w:rPr>
              <w:t>43%</w:t>
            </w:r>
          </w:p>
        </w:tc>
      </w:tr>
      <w:tr>
        <w:trPr>
          <w:trHeight w:val="270"/>
        </w:trPr>
        <w:tc>
          <w:tcPr>
            <w:tcW w:w="1960" w:type="dxa"/>
            <w:vAlign w:val="bottom"/>
          </w:tcPr>
          <w:p>
            <w:pPr>
              <w:ind w:left="140"/>
              <w:spacing w:after="0"/>
              <w:rPr>
                <w:sz w:val="20"/>
                <w:szCs w:val="20"/>
                <w:color w:val="auto"/>
              </w:rPr>
            </w:pPr>
            <w:r>
              <w:rPr>
                <w:rFonts w:ascii="Arial" w:cs="Arial" w:eastAsia="Arial" w:hAnsi="Arial"/>
                <w:sz w:val="22"/>
                <w:szCs w:val="22"/>
                <w:color w:val="auto"/>
              </w:rPr>
              <w:t>Consumables</w:t>
            </w:r>
          </w:p>
        </w:tc>
        <w:tc>
          <w:tcPr>
            <w:tcW w:w="3220" w:type="dxa"/>
            <w:vAlign w:val="bottom"/>
          </w:tcPr>
          <w:p>
            <w:pPr>
              <w:jc w:val="center"/>
              <w:spacing w:after="0"/>
              <w:rPr>
                <w:sz w:val="20"/>
                <w:szCs w:val="20"/>
                <w:color w:val="auto"/>
              </w:rPr>
            </w:pPr>
            <w:r>
              <w:rPr>
                <w:rFonts w:ascii="Arial" w:cs="Arial" w:eastAsia="Arial" w:hAnsi="Arial"/>
                <w:sz w:val="22"/>
                <w:szCs w:val="22"/>
                <w:color w:val="auto"/>
                <w:w w:val="93"/>
              </w:rPr>
              <w:t>$11.0 million</w:t>
            </w:r>
          </w:p>
        </w:tc>
        <w:tc>
          <w:tcPr>
            <w:tcW w:w="3320" w:type="dxa"/>
            <w:vAlign w:val="bottom"/>
          </w:tcPr>
          <w:p>
            <w:pPr>
              <w:jc w:val="center"/>
              <w:spacing w:after="0"/>
              <w:rPr>
                <w:sz w:val="20"/>
                <w:szCs w:val="20"/>
                <w:color w:val="auto"/>
              </w:rPr>
            </w:pPr>
            <w:r>
              <w:rPr>
                <w:rFonts w:ascii="Arial" w:cs="Arial" w:eastAsia="Arial" w:hAnsi="Arial"/>
                <w:sz w:val="22"/>
                <w:szCs w:val="22"/>
                <w:color w:val="auto"/>
                <w:w w:val="94"/>
              </w:rPr>
              <w:t>(3%)</w:t>
            </w:r>
          </w:p>
        </w:tc>
        <w:tc>
          <w:tcPr>
            <w:tcW w:w="2920" w:type="dxa"/>
            <w:vAlign w:val="bottom"/>
          </w:tcPr>
          <w:p>
            <w:pPr>
              <w:jc w:val="center"/>
              <w:spacing w:after="0"/>
              <w:rPr>
                <w:sz w:val="20"/>
                <w:szCs w:val="20"/>
                <w:color w:val="auto"/>
              </w:rPr>
            </w:pPr>
            <w:r>
              <w:rPr>
                <w:rFonts w:ascii="Arial" w:cs="Arial" w:eastAsia="Arial" w:hAnsi="Arial"/>
                <w:sz w:val="22"/>
                <w:szCs w:val="22"/>
                <w:color w:val="auto"/>
                <w:w w:val="90"/>
              </w:rPr>
              <w:t>39%</w:t>
            </w:r>
          </w:p>
        </w:tc>
      </w:tr>
      <w:tr>
        <w:trPr>
          <w:trHeight w:val="276"/>
        </w:trPr>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Service</w:t>
            </w: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$5.0 million</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7%</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18%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by market:</w:t>
      </w:r>
    </w:p>
    <w:p>
      <w:pPr>
        <w:spacing w:after="0" w:line="206" w:lineRule="exact"/>
        <w:rPr>
          <w:sz w:val="20"/>
          <w:szCs w:val="20"/>
          <w:color w:val="auto"/>
        </w:rPr>
      </w:pPr>
    </w:p>
    <w:p>
      <w:pPr>
        <w:ind w:left="540" w:right="240"/>
        <w:spacing w:after="0"/>
        <w:rPr>
          <w:sz w:val="20"/>
          <w:szCs w:val="20"/>
          <w:color w:val="auto"/>
        </w:rPr>
      </w:pPr>
      <w:r>
        <w:rPr>
          <w:rFonts w:ascii="Arial" w:cs="Arial" w:eastAsia="Arial" w:hAnsi="Arial"/>
          <w:sz w:val="22"/>
          <w:szCs w:val="22"/>
          <w:color w:val="auto"/>
        </w:rPr>
        <w:t>Mass cytometry revenue increased 28 percent to $17.5 million from $13.7 million in the prior year period. Mass cytometry product revenue increased 28 percent to $14.4 million from $11.3 million in the prior year due to higher sales of both instruments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left="540" w:right="260"/>
        <w:spacing w:after="0"/>
        <w:rPr>
          <w:sz w:val="20"/>
          <w:szCs w:val="20"/>
          <w:color w:val="auto"/>
        </w:rPr>
      </w:pPr>
      <w:r>
        <w:rPr>
          <w:rFonts w:ascii="Arial" w:cs="Arial" w:eastAsia="Arial" w:hAnsi="Arial"/>
          <w:sz w:val="22"/>
          <w:szCs w:val="22"/>
          <w:color w:val="auto"/>
        </w:rPr>
        <w:t>Microfluidics revenue decreased 16 percent to $10.7 million from $12.8 million in the prior year period. Microfluidics product revenue decreased 16 percent to $8.9 million from $10.5 million in the prior year period due to lower sales of both instruments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i w:val="1"/>
          <w:iCs w:val="1"/>
          <w:color w:val="auto"/>
        </w:rPr>
        <w:t>Total revenue by geographic area: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22"/>
                <w:szCs w:val="22"/>
                <w:b w:val="1"/>
                <w:bCs w:val="1"/>
                <w:color w:val="auto"/>
              </w:rPr>
              <w:t>Geographic Area</w:t>
            </w:r>
          </w:p>
        </w:tc>
        <w:tc>
          <w:tcPr>
            <w:tcW w:w="326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22"/>
                <w:szCs w:val="22"/>
                <w:b w:val="1"/>
                <w:bCs w:val="1"/>
                <w:color w:val="auto"/>
                <w:w w:val="87"/>
              </w:rPr>
              <w:t>Revenue by Geography</w:t>
            </w:r>
          </w:p>
        </w:tc>
        <w:tc>
          <w:tcPr>
            <w:tcW w:w="31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Year-over-Year Change</w:t>
            </w:r>
          </w:p>
        </w:tc>
        <w:tc>
          <w:tcPr>
            <w:tcW w:w="2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 of Total Revenue</w:t>
            </w:r>
          </w:p>
        </w:tc>
      </w:tr>
      <w:tr>
        <w:trPr>
          <w:trHeight w:val="256"/>
        </w:trPr>
        <w:tc>
          <w:tcPr>
            <w:tcW w:w="2360" w:type="dxa"/>
            <w:vAlign w:val="bottom"/>
          </w:tcPr>
          <w:p>
            <w:pPr>
              <w:ind w:left="140"/>
              <w:spacing w:after="0"/>
              <w:rPr>
                <w:sz w:val="20"/>
                <w:szCs w:val="20"/>
                <w:color w:val="auto"/>
              </w:rPr>
            </w:pPr>
            <w:r>
              <w:rPr>
                <w:rFonts w:ascii="Arial" w:cs="Arial" w:eastAsia="Arial" w:hAnsi="Arial"/>
                <w:sz w:val="22"/>
                <w:szCs w:val="22"/>
                <w:color w:val="auto"/>
              </w:rPr>
              <w:t>Americas</w:t>
            </w:r>
          </w:p>
        </w:tc>
        <w:tc>
          <w:tcPr>
            <w:tcW w:w="3260" w:type="dxa"/>
            <w:vAlign w:val="bottom"/>
          </w:tcPr>
          <w:p>
            <w:pPr>
              <w:jc w:val="center"/>
              <w:ind w:left="32"/>
              <w:spacing w:after="0"/>
              <w:rPr>
                <w:sz w:val="20"/>
                <w:szCs w:val="20"/>
                <w:color w:val="auto"/>
              </w:rPr>
            </w:pPr>
            <w:r>
              <w:rPr>
                <w:rFonts w:ascii="Arial" w:cs="Arial" w:eastAsia="Arial" w:hAnsi="Arial"/>
                <w:sz w:val="22"/>
                <w:szCs w:val="22"/>
                <w:color w:val="auto"/>
                <w:w w:val="93"/>
              </w:rPr>
              <w:t>$11.1 million</w:t>
            </w:r>
          </w:p>
        </w:tc>
        <w:tc>
          <w:tcPr>
            <w:tcW w:w="3100" w:type="dxa"/>
            <w:vAlign w:val="bottom"/>
          </w:tcPr>
          <w:p>
            <w:pPr>
              <w:jc w:val="right"/>
              <w:ind w:right="1152"/>
              <w:spacing w:after="0"/>
              <w:rPr>
                <w:sz w:val="20"/>
                <w:szCs w:val="20"/>
                <w:color w:val="auto"/>
              </w:rPr>
            </w:pPr>
            <w:r>
              <w:rPr>
                <w:rFonts w:ascii="Arial" w:cs="Arial" w:eastAsia="Arial" w:hAnsi="Arial"/>
                <w:sz w:val="22"/>
                <w:szCs w:val="22"/>
                <w:color w:val="auto"/>
              </w:rPr>
              <w:t>(11%)</w:t>
            </w:r>
          </w:p>
        </w:tc>
        <w:tc>
          <w:tcPr>
            <w:tcW w:w="2700" w:type="dxa"/>
            <w:vAlign w:val="bottom"/>
          </w:tcPr>
          <w:p>
            <w:pPr>
              <w:jc w:val="center"/>
              <w:spacing w:after="0"/>
              <w:rPr>
                <w:sz w:val="20"/>
                <w:szCs w:val="20"/>
                <w:color w:val="auto"/>
              </w:rPr>
            </w:pPr>
            <w:r>
              <w:rPr>
                <w:rFonts w:ascii="Arial" w:cs="Arial" w:eastAsia="Arial" w:hAnsi="Arial"/>
                <w:sz w:val="22"/>
                <w:szCs w:val="22"/>
                <w:color w:val="auto"/>
                <w:w w:val="90"/>
              </w:rPr>
              <w:t>39%</w:t>
            </w:r>
          </w:p>
        </w:tc>
      </w:tr>
      <w:tr>
        <w:trPr>
          <w:trHeight w:val="270"/>
        </w:trPr>
        <w:tc>
          <w:tcPr>
            <w:tcW w:w="2360" w:type="dxa"/>
            <w:vAlign w:val="bottom"/>
          </w:tcPr>
          <w:p>
            <w:pPr>
              <w:ind w:left="140"/>
              <w:spacing w:after="0"/>
              <w:rPr>
                <w:sz w:val="20"/>
                <w:szCs w:val="20"/>
                <w:color w:val="auto"/>
              </w:rPr>
            </w:pPr>
            <w:r>
              <w:rPr>
                <w:rFonts w:ascii="Arial" w:cs="Arial" w:eastAsia="Arial" w:hAnsi="Arial"/>
                <w:sz w:val="22"/>
                <w:szCs w:val="22"/>
                <w:color w:val="auto"/>
              </w:rPr>
              <w:t>EMEA</w:t>
            </w:r>
          </w:p>
        </w:tc>
        <w:tc>
          <w:tcPr>
            <w:tcW w:w="3260" w:type="dxa"/>
            <w:vAlign w:val="bottom"/>
          </w:tcPr>
          <w:p>
            <w:pPr>
              <w:jc w:val="center"/>
              <w:ind w:left="32"/>
              <w:spacing w:after="0"/>
              <w:rPr>
                <w:sz w:val="20"/>
                <w:szCs w:val="20"/>
                <w:color w:val="auto"/>
              </w:rPr>
            </w:pPr>
            <w:r>
              <w:rPr>
                <w:rFonts w:ascii="Arial" w:cs="Arial" w:eastAsia="Arial" w:hAnsi="Arial"/>
                <w:sz w:val="22"/>
                <w:szCs w:val="22"/>
                <w:color w:val="auto"/>
                <w:w w:val="93"/>
              </w:rPr>
              <w:t>$11.2 million</w:t>
            </w:r>
          </w:p>
        </w:tc>
        <w:tc>
          <w:tcPr>
            <w:tcW w:w="3100" w:type="dxa"/>
            <w:vAlign w:val="bottom"/>
          </w:tcPr>
          <w:p>
            <w:pPr>
              <w:jc w:val="right"/>
              <w:ind w:right="1212"/>
              <w:spacing w:after="0"/>
              <w:rPr>
                <w:sz w:val="20"/>
                <w:szCs w:val="20"/>
                <w:color w:val="auto"/>
              </w:rPr>
            </w:pPr>
            <w:r>
              <w:rPr>
                <w:rFonts w:ascii="Arial" w:cs="Arial" w:eastAsia="Arial" w:hAnsi="Arial"/>
                <w:sz w:val="22"/>
                <w:szCs w:val="22"/>
                <w:color w:val="auto"/>
              </w:rPr>
              <w:t>23%</w:t>
            </w:r>
          </w:p>
        </w:tc>
        <w:tc>
          <w:tcPr>
            <w:tcW w:w="2700" w:type="dxa"/>
            <w:vAlign w:val="bottom"/>
          </w:tcPr>
          <w:p>
            <w:pPr>
              <w:jc w:val="center"/>
              <w:spacing w:after="0"/>
              <w:rPr>
                <w:sz w:val="20"/>
                <w:szCs w:val="20"/>
                <w:color w:val="auto"/>
              </w:rPr>
            </w:pPr>
            <w:r>
              <w:rPr>
                <w:rFonts w:ascii="Arial" w:cs="Arial" w:eastAsia="Arial" w:hAnsi="Arial"/>
                <w:sz w:val="22"/>
                <w:szCs w:val="22"/>
                <w:color w:val="auto"/>
                <w:w w:val="90"/>
              </w:rPr>
              <w:t>40%</w:t>
            </w:r>
          </w:p>
        </w:tc>
      </w:tr>
      <w:tr>
        <w:trPr>
          <w:trHeight w:val="276"/>
        </w:trPr>
        <w:tc>
          <w:tcPr>
            <w:tcW w:w="236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Asia Pacific</w:t>
            </w:r>
          </w:p>
        </w:tc>
        <w:tc>
          <w:tcPr>
            <w:tcW w:w="3260" w:type="dxa"/>
            <w:vAlign w:val="bottom"/>
            <w:tcBorders>
              <w:bottom w:val="single" w:sz="8" w:color="auto"/>
            </w:tcBorders>
          </w:tcPr>
          <w:p>
            <w:pPr>
              <w:jc w:val="center"/>
              <w:ind w:left="12"/>
              <w:spacing w:after="0"/>
              <w:rPr>
                <w:sz w:val="20"/>
                <w:szCs w:val="20"/>
                <w:color w:val="auto"/>
              </w:rPr>
            </w:pPr>
            <w:r>
              <w:rPr>
                <w:rFonts w:ascii="Arial" w:cs="Arial" w:eastAsia="Arial" w:hAnsi="Arial"/>
                <w:sz w:val="22"/>
                <w:szCs w:val="22"/>
                <w:color w:val="auto"/>
                <w:w w:val="95"/>
              </w:rPr>
              <w:t>$5.9 million</w:t>
            </w:r>
          </w:p>
        </w:tc>
        <w:tc>
          <w:tcPr>
            <w:tcW w:w="3100" w:type="dxa"/>
            <w:vAlign w:val="bottom"/>
            <w:tcBorders>
              <w:bottom w:val="single" w:sz="8" w:color="auto"/>
            </w:tcBorders>
          </w:tcPr>
          <w:p>
            <w:pPr>
              <w:jc w:val="right"/>
              <w:ind w:right="1212"/>
              <w:spacing w:after="0"/>
              <w:rPr>
                <w:sz w:val="20"/>
                <w:szCs w:val="20"/>
                <w:color w:val="auto"/>
              </w:rPr>
            </w:pPr>
            <w:r>
              <w:rPr>
                <w:rFonts w:ascii="Arial" w:cs="Arial" w:eastAsia="Arial" w:hAnsi="Arial"/>
                <w:sz w:val="22"/>
                <w:szCs w:val="22"/>
                <w:color w:val="auto"/>
              </w:rPr>
              <w:t>22%</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21%</w:t>
            </w:r>
          </w:p>
        </w:tc>
      </w:tr>
    </w:tbl>
    <w:p>
      <w:pPr>
        <w:sectPr>
          <w:pgSz w:w="11900" w:h="16897" w:orient="portrait"/>
          <w:cols w:equalWidth="0" w:num="1">
            <w:col w:w="11420"/>
          </w:cols>
          <w:pgMar w:left="240" w:top="112" w:right="239" w:bottom="0" w:gutter="0" w:footer="0" w:header="0"/>
        </w:sectPr>
      </w:pPr>
    </w:p>
    <w:bookmarkStart w:id="4" w:name="page5"/>
    <w:bookmarkEnd w:id="4"/>
    <w:p>
      <w:pPr>
        <w:spacing w:after="0" w:line="1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Gross margin:</w:t>
      </w:r>
    </w:p>
    <w:p>
      <w:pPr>
        <w:spacing w:after="0" w:line="207"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GAAP gross margin was 54.5 percent in the second quarter of 2019 compared to 51.4 percent in the year ago period and 56.4 percent in the first quarter of 2019. Non-GAAP gross margin was 66.4 percent in the second quarter of 2019 compared to 64.8 percent in the year ago period and 67.7 percent in the first quarter of 2019. The year-over-year increase in gross margin was primarily due to higher plant utilization, offset by lower instrument pricing. Sequentially, decreases in gross margins were primarily due to product mix and instrument pricing, offset by higher plant utilization. In the case of GAAP margin, the year-over-year increase was coupled with fixed amortization over higher revenue while the sequential decrease in gross margin was coupled with fixed amortization over lower revenue.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cash equivalents, and investments as of June 30, 2019:</w:t>
      </w:r>
    </w:p>
    <w:p>
      <w:pPr>
        <w:spacing w:after="0" w:line="233"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Cash, cash equivalents, restricted cash, and investments as of June 30, 2019, were $70.9 million. Cash, cash equivalents, and investments as of March 31, 2019, were $75.1 million.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Operational and Business Progress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Product Innovation:</w:t>
      </w:r>
    </w:p>
    <w:p>
      <w:pPr>
        <w:spacing w:after="0" w:line="212" w:lineRule="exact"/>
        <w:rPr>
          <w:sz w:val="20"/>
          <w:szCs w:val="20"/>
          <w:color w:val="auto"/>
        </w:rPr>
      </w:pPr>
    </w:p>
    <w:p>
      <w:pPr>
        <w:ind w:left="540" w:right="780"/>
        <w:spacing w:after="0" w:line="200" w:lineRule="auto"/>
        <w:rPr>
          <w:sz w:val="20"/>
          <w:szCs w:val="20"/>
          <w:color w:val="auto"/>
        </w:rPr>
      </w:pPr>
      <w:r>
        <w:rPr>
          <w:rFonts w:ascii="Arial" w:cs="Arial" w:eastAsia="Arial" w:hAnsi="Arial"/>
          <w:sz w:val="22"/>
          <w:szCs w:val="22"/>
          <w:color w:val="auto"/>
        </w:rPr>
        <w:t>Announced introduction of an automated RNA-seq NGS (next-generation sequencing) library prep workflow for the Fluidigm</w:t>
      </w:r>
      <w:r>
        <w:rPr>
          <w:rFonts w:ascii="Arial" w:cs="Arial" w:eastAsia="Arial" w:hAnsi="Arial"/>
          <w:sz w:val="36"/>
          <w:szCs w:val="36"/>
          <w:color w:val="auto"/>
          <w:vertAlign w:val="superscript"/>
        </w:rPr>
        <w:t>®</w:t>
      </w:r>
      <w:r>
        <w:rPr>
          <w:rFonts w:ascii="Arial" w:cs="Arial" w:eastAsia="Arial" w:hAnsi="Arial"/>
          <w:sz w:val="22"/>
          <w:szCs w:val="22"/>
          <w:color w:val="auto"/>
        </w:rPr>
        <w:t xml:space="preserve"> Juno™ microfluidic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
        <w:spacing w:after="0" w:line="230" w:lineRule="auto"/>
        <w:rPr>
          <w:sz w:val="20"/>
          <w:szCs w:val="20"/>
          <w:color w:val="auto"/>
        </w:rPr>
      </w:pPr>
      <w:r>
        <w:rPr>
          <w:rFonts w:ascii="Arial" w:cs="Arial" w:eastAsia="Arial" w:hAnsi="Arial"/>
          <w:sz w:val="22"/>
          <w:szCs w:val="22"/>
          <w:color w:val="auto"/>
        </w:rPr>
        <w:t>Introducing 25 antibodies for Imaging Mass Cytometry, some supporting both formalin-fixed paraffin-embedded and frozen tissue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6" w:lineRule="auto"/>
        <w:rPr>
          <w:sz w:val="20"/>
          <w:szCs w:val="20"/>
          <w:color w:val="auto"/>
        </w:rPr>
      </w:pPr>
      <w:r>
        <w:rPr>
          <w:rFonts w:ascii="Arial" w:cs="Arial" w:eastAsia="Arial" w:hAnsi="Arial"/>
          <w:sz w:val="22"/>
          <w:szCs w:val="22"/>
          <w:color w:val="auto"/>
        </w:rPr>
        <w:t>Announced three Imaging Mass Cytometry panel kits to accelerate immuno-oncology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-106680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20"/>
        <w:spacing w:after="0" w:line="192" w:lineRule="auto"/>
        <w:rPr>
          <w:sz w:val="20"/>
          <w:szCs w:val="20"/>
          <w:color w:val="auto"/>
        </w:rPr>
      </w:pPr>
      <w:r>
        <w:rPr>
          <w:rFonts w:ascii="Arial" w:cs="Arial" w:eastAsia="Arial" w:hAnsi="Arial"/>
          <w:sz w:val="22"/>
          <w:szCs w:val="22"/>
          <w:color w:val="auto"/>
        </w:rPr>
        <w:t>Launched advanced CyTOF</w:t>
      </w:r>
      <w:r>
        <w:rPr>
          <w:rFonts w:ascii="Arial" w:cs="Arial" w:eastAsia="Arial" w:hAnsi="Arial"/>
          <w:sz w:val="36"/>
          <w:szCs w:val="36"/>
          <w:color w:val="auto"/>
          <w:vertAlign w:val="superscript"/>
        </w:rPr>
        <w:t>®</w:t>
      </w:r>
      <w:r>
        <w:rPr>
          <w:rFonts w:ascii="Arial" w:cs="Arial" w:eastAsia="Arial" w:hAnsi="Arial"/>
          <w:sz w:val="22"/>
          <w:szCs w:val="22"/>
          <w:color w:val="auto"/>
        </w:rPr>
        <w:t xml:space="preserve"> Software that streamlines the selection and acquisition of multiple regions of interest from each slide with an enhanced user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40"/>
        <w:spacing w:after="0" w:line="234" w:lineRule="auto"/>
        <w:rPr>
          <w:sz w:val="20"/>
          <w:szCs w:val="20"/>
          <w:color w:val="auto"/>
        </w:rPr>
      </w:pPr>
      <w:r>
        <w:rPr>
          <w:rFonts w:ascii="Arial" w:cs="Arial" w:eastAsia="Arial" w:hAnsi="Arial"/>
          <w:sz w:val="22"/>
          <w:szCs w:val="22"/>
          <w:color w:val="auto"/>
        </w:rPr>
        <w:t>Announced introduction of seven new metals, expanding highly multiplexed cell analysis using CyTOF technology. Launched two microfluidics assays–Advanta™ RNA Fusions and Advanta Solid Tumor NGS Library Prep Assays–to accelerate translational and clinical cancer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-419735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-265430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Employees:</w:t>
      </w:r>
    </w:p>
    <w:p>
      <w:pPr>
        <w:spacing w:after="0" w:line="212" w:lineRule="exact"/>
        <w:rPr>
          <w:sz w:val="20"/>
          <w:szCs w:val="20"/>
          <w:color w:val="auto"/>
        </w:rPr>
      </w:pPr>
    </w:p>
    <w:p>
      <w:pPr>
        <w:ind w:left="540" w:right="80"/>
        <w:spacing w:after="0" w:line="276" w:lineRule="auto"/>
        <w:rPr>
          <w:sz w:val="20"/>
          <w:szCs w:val="20"/>
          <w:color w:val="auto"/>
        </w:rPr>
      </w:pPr>
      <w:r>
        <w:rPr>
          <w:rFonts w:ascii="Arial" w:cs="Arial" w:eastAsia="Arial" w:hAnsi="Arial"/>
          <w:sz w:val="19"/>
          <w:szCs w:val="19"/>
          <w:color w:val="auto"/>
        </w:rPr>
        <w:t>Andrew Quong, PhD, joined Fluidigm as Chief Science Officer to develop and integrate Fluidigm science and technology as it supports the advancement of knowledge in health and disease within the company’s broader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40"/>
        <w:spacing w:after="0" w:line="237" w:lineRule="auto"/>
        <w:rPr>
          <w:sz w:val="20"/>
          <w:szCs w:val="20"/>
          <w:color w:val="auto"/>
        </w:rPr>
      </w:pPr>
      <w:r>
        <w:rPr>
          <w:rFonts w:ascii="Arial" w:cs="Arial" w:eastAsia="Arial" w:hAnsi="Arial"/>
          <w:sz w:val="22"/>
          <w:szCs w:val="22"/>
          <w:color w:val="auto"/>
        </w:rPr>
        <w:t>Jonathan Day joined Fluidigm as Vice President, Commercial Operations, Americas to drive market expansion of mass cytometry and new key accounts for microfluidics.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Publications: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1"/>
          <w:szCs w:val="21"/>
          <w:color w:val="auto"/>
        </w:rPr>
        <w:t>In total, there are now more than 850 publications for mass cytometry, including 34 for Imaging Mass Cytometry.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2019 Guidance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revenue of $27 million to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GAAP operating expenses of $30 million to $31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Non-GAAP operating expenses of $26 million to $27 million excluding stock-based compensation, and depreciation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amortization expenses of approximately $3.5 million and $1 million, respectively.</w:t>
      </w:r>
    </w:p>
    <w:p>
      <w:pPr>
        <w:ind w:left="540"/>
        <w:spacing w:after="0"/>
        <w:rPr>
          <w:sz w:val="20"/>
          <w:szCs w:val="20"/>
          <w:color w:val="auto"/>
        </w:rPr>
      </w:pPr>
      <w:r>
        <w:rPr>
          <w:rFonts w:ascii="Arial" w:cs="Arial" w:eastAsia="Arial" w:hAnsi="Arial"/>
          <w:sz w:val="22"/>
          <w:szCs w:val="22"/>
          <w:color w:val="auto"/>
        </w:rPr>
        <w:t>Total cash outflow of $7 million to $9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39"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Fluidigm will host a conference call today, August 1, 2019, at 2:00 p.m. PT/5:00 p.m. ET to discuss second quarter 2019 financial results and operational progress. Individuals interested in listening to the conference call may do so by dialing (877) 556-5248 for domestic callers, or (720) 545-0029 for international callers. Please reference Conference ID 3399165. A live webcast of the conference call will be available online from the Investor Relations page of the Company’s website at Events &amp; Presentations. The link will not be active until 1:45 p.m. PT/4:45 p.m. ET on August 1, 2019.</w:t>
      </w:r>
    </w:p>
    <w:p>
      <w:pPr>
        <w:spacing w:after="0" w:line="206" w:lineRule="exact"/>
        <w:rPr>
          <w:sz w:val="20"/>
          <w:szCs w:val="20"/>
          <w:color w:val="auto"/>
        </w:rPr>
      </w:pPr>
    </w:p>
    <w:p>
      <w:pPr>
        <w:ind w:right="420"/>
        <w:spacing w:after="0" w:line="238" w:lineRule="auto"/>
        <w:rPr>
          <w:sz w:val="20"/>
          <w:szCs w:val="20"/>
          <w:color w:val="auto"/>
        </w:rPr>
      </w:pPr>
      <w:r>
        <w:rPr>
          <w:rFonts w:ascii="Arial" w:cs="Arial" w:eastAsia="Arial" w:hAnsi="Arial"/>
          <w:sz w:val="22"/>
          <w:szCs w:val="22"/>
          <w:color w:val="auto"/>
        </w:rPr>
        <w:t>After the live webcast, the call will be archived on Fluidigm’s Investor Relations page at investors.fluidigm.com. In addition, a telephone replay of the teleconference will be available approximately 90 minutes after the end of the call. The replay dial-in numbers are (855) 859-2056 for domestic callers and (404) 537-3406 for international callers. Please use the conference ID number: 3399165. The telephone replay will be available until August 8.</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239"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three-and six-month periods ended June 30, 2019, and June 30, 2018, as well as projected for the third quarter of 2019.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w:t>
      </w:r>
    </w:p>
    <w:p>
      <w:pPr>
        <w:sectPr>
          <w:pgSz w:w="11900" w:h="16944" w:orient="portrait"/>
          <w:cols w:equalWidth="0" w:num="1">
            <w:col w:w="11400"/>
          </w:cols>
          <w:pgMar w:left="240" w:top="118" w:right="259" w:bottom="0" w:gutter="0" w:footer="0" w:header="0"/>
        </w:sectPr>
      </w:pPr>
    </w:p>
    <w:bookmarkStart w:id="5" w:name="page6"/>
    <w:bookmarkEnd w:id="5"/>
    <w:p>
      <w:pPr>
        <w:spacing w:after="0" w:line="63"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plans and to benchmark the company’s performance externally against competitors. Our estimates of forward-looking non-GAAP operating expenses exclude estimates for stock-based compensation expense and depreciation and amortization; loss on disposal of property and equipment; future changes relating to developed and acquired technologies; other intangible assets; and income taxes, among other items, certain of which are presented in the tables accompanying our earnings release.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39" w:lineRule="exact"/>
        <w:rPr>
          <w:sz w:val="20"/>
          <w:szCs w:val="20"/>
          <w:color w:val="auto"/>
        </w:rPr>
      </w:pPr>
    </w:p>
    <w:p>
      <w:pPr>
        <w:ind w:right="20"/>
        <w:spacing w:after="0" w:line="247" w:lineRule="exact"/>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the planned introductions and releases of new products; long-term strategy and its expected impact on research and development revenue and market growth in 2019; and projected revenues, expenses, and cash flows for the third quarter of 2019.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are subject to numerous risks and uncertainties that could cause actual results to differ materially from currently anticipated results, including but not limited to challenges inherent in developing, manufacturing, launching, marketing, and selling new products; risks relating to reliance on sales of capital equipment for a significant proportion of revenues in each quarter; potential product performance and quality issues; the possible loss of key employees, customers, or suppliers; intellectual property risks; competition; uncertainties in contractual relationships; risks relating to company research and development, sales, marketing, and distribution plans and capabilities; reductions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Fluidigm's business and operating results are contained in its Annual Report on Form 10-K for the year ended December 31, 2018, and in its other filings with the Securities and Exchange Commission. These forward-looking statements speak only as of the date hereof. Fluidigm disclaims any obligation to update these forward-looking statements except as may be required by law.</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239" w:lineRule="exact"/>
        <w:rPr>
          <w:sz w:val="20"/>
          <w:szCs w:val="20"/>
          <w:color w:val="auto"/>
        </w:rPr>
      </w:pPr>
    </w:p>
    <w:p>
      <w:pPr>
        <w:ind w:right="220"/>
        <w:spacing w:after="0" w:line="247" w:lineRule="auto"/>
        <w:rPr>
          <w:sz w:val="20"/>
          <w:szCs w:val="20"/>
          <w:color w:val="auto"/>
        </w:rPr>
      </w:pPr>
      <w:r>
        <w:rPr>
          <w:rFonts w:ascii="Arial" w:cs="Arial" w:eastAsia="Arial" w:hAnsi="Arial"/>
          <w:sz w:val="21"/>
          <w:szCs w:val="21"/>
          <w:color w:val="auto"/>
        </w:rPr>
        <w:t>Fluidigm (NASDAQ:FLDM) is an industry-leading biotechnology tools provider with a vision to improve life through comprehensive health insight. We focus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and plant and animal research laboratories worldwide. Together with them, we strive to increase the quality of life for all. For more information, visit fluidigm.com.</w:t>
      </w:r>
    </w:p>
    <w:p>
      <w:pPr>
        <w:spacing w:after="0" w:line="178"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Fluidigm, the Fluidigm logo, Advanta, CyTOF, Imaging Mass Cytometry, and Juno are trademarks and/or registered trademarks of Fluidigm Corporation in the United States and/or other countries. All other trademarks are the sole property of their respective owners. Fluidigm products are provided for Research Use Only. Not for use in diagnostic procedures.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Agnes Lee</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line="230"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650 416 7423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agnes.lee@fluidigm.com</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5600" w:type="dxa"/>
            <w:vAlign w:val="bottom"/>
          </w:tcPr>
          <w:p>
            <w:pPr>
              <w:spacing w:after="0"/>
              <w:rPr>
                <w:sz w:val="24"/>
                <w:szCs w:val="24"/>
                <w:color w:val="auto"/>
              </w:rPr>
            </w:pPr>
          </w:p>
        </w:tc>
        <w:tc>
          <w:tcPr>
            <w:tcW w:w="3000" w:type="dxa"/>
            <w:vAlign w:val="bottom"/>
            <w:gridSpan w:val="6"/>
          </w:tcPr>
          <w:p>
            <w:pPr>
              <w:ind w:left="80"/>
              <w:spacing w:after="0"/>
              <w:rPr>
                <w:sz w:val="20"/>
                <w:szCs w:val="20"/>
                <w:color w:val="auto"/>
              </w:rPr>
            </w:pPr>
            <w:r>
              <w:rPr>
                <w:rFonts w:ascii="Arial" w:cs="Arial" w:eastAsia="Arial" w:hAnsi="Arial"/>
                <w:sz w:val="22"/>
                <w:szCs w:val="22"/>
                <w:b w:val="1"/>
                <w:bCs w:val="1"/>
                <w:color w:val="auto"/>
                <w:w w:val="93"/>
              </w:rPr>
              <w:t>Three Months Ended June 30,</w:t>
            </w:r>
          </w:p>
        </w:tc>
        <w:tc>
          <w:tcPr>
            <w:tcW w:w="2800" w:type="dxa"/>
            <w:vAlign w:val="bottom"/>
            <w:gridSpan w:val="5"/>
          </w:tcPr>
          <w:p>
            <w:pPr>
              <w:jc w:val="right"/>
              <w:ind w:right="52"/>
              <w:spacing w:after="0"/>
              <w:rPr>
                <w:sz w:val="20"/>
                <w:szCs w:val="20"/>
                <w:color w:val="auto"/>
              </w:rPr>
            </w:pPr>
            <w:r>
              <w:rPr>
                <w:rFonts w:ascii="Arial" w:cs="Arial" w:eastAsia="Arial" w:hAnsi="Arial"/>
                <w:sz w:val="22"/>
                <w:szCs w:val="22"/>
                <w:b w:val="1"/>
                <w:bCs w:val="1"/>
                <w:color w:val="auto"/>
                <w:w w:val="91"/>
              </w:rPr>
              <w:t>Six Months Ended June 30,</w:t>
            </w:r>
          </w:p>
        </w:tc>
      </w:tr>
      <w:tr>
        <w:trPr>
          <w:trHeight w:val="265"/>
        </w:trPr>
        <w:tc>
          <w:tcPr>
            <w:tcW w:w="5600" w:type="dxa"/>
            <w:vAlign w:val="bottom"/>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22"/>
                <w:szCs w:val="22"/>
                <w:b w:val="1"/>
                <w:bCs w:val="1"/>
                <w:color w:val="auto"/>
              </w:rPr>
              <w:t>2019</w:t>
            </w:r>
          </w:p>
        </w:tc>
        <w:tc>
          <w:tcPr>
            <w:tcW w:w="120" w:type="dxa"/>
            <w:vAlign w:val="bottom"/>
            <w:tcBorders>
              <w:top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2019</w:t>
            </w:r>
          </w:p>
        </w:tc>
        <w:tc>
          <w:tcPr>
            <w:tcW w:w="100" w:type="dxa"/>
            <w:vAlign w:val="bottom"/>
            <w:tcBorders>
              <w:top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2018</w:t>
            </w:r>
          </w:p>
        </w:tc>
      </w:tr>
      <w:tr>
        <w:trPr>
          <w:trHeight w:val="256"/>
        </w:trPr>
        <w:tc>
          <w:tcPr>
            <w:tcW w:w="5600" w:type="dxa"/>
            <w:vAlign w:val="bottom"/>
          </w:tcPr>
          <w:p>
            <w:pPr>
              <w:spacing w:after="0"/>
              <w:rPr>
                <w:sz w:val="20"/>
                <w:szCs w:val="20"/>
                <w:color w:val="auto"/>
              </w:rPr>
            </w:pPr>
            <w:r>
              <w:rPr>
                <w:rFonts w:ascii="Arial" w:cs="Arial" w:eastAsia="Arial" w:hAnsi="Arial"/>
                <w:sz w:val="22"/>
                <w:szCs w:val="22"/>
                <w:color w:val="auto"/>
              </w:rPr>
              <w:t>Revenue:</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Instruments</w:t>
            </w:r>
          </w:p>
        </w:tc>
        <w:tc>
          <w:tcPr>
            <w:tcW w:w="340" w:type="dxa"/>
            <w:vAlign w:val="bottom"/>
          </w:tcPr>
          <w:p>
            <w:pPr>
              <w:ind w:left="80"/>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12,201</w:t>
            </w:r>
          </w:p>
        </w:tc>
        <w:tc>
          <w:tcPr>
            <w:tcW w:w="12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10,421</w:t>
            </w:r>
          </w:p>
        </w:tc>
        <w:tc>
          <w:tcPr>
            <w:tcW w:w="80" w:type="dxa"/>
            <w:vAlign w:val="bottom"/>
          </w:tcPr>
          <w:p>
            <w:pPr>
              <w:spacing w:after="0"/>
              <w:rPr>
                <w:sz w:val="23"/>
                <w:szCs w:val="23"/>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25,041</w:t>
            </w:r>
          </w:p>
        </w:tc>
        <w:tc>
          <w:tcPr>
            <w:tcW w:w="100" w:type="dxa"/>
            <w:vAlign w:val="bottom"/>
          </w:tcPr>
          <w:p>
            <w:pPr>
              <w:spacing w:after="0"/>
              <w:rPr>
                <w:sz w:val="23"/>
                <w:szCs w:val="23"/>
                <w:color w:val="auto"/>
              </w:rPr>
            </w:pP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17,941</w:t>
            </w:r>
          </w:p>
        </w:tc>
      </w:tr>
      <w:tr>
        <w:trPr>
          <w:trHeight w:val="275"/>
        </w:trPr>
        <w:tc>
          <w:tcPr>
            <w:tcW w:w="5600" w:type="dxa"/>
            <w:vAlign w:val="bottom"/>
          </w:tcPr>
          <w:p>
            <w:pPr>
              <w:jc w:val="center"/>
              <w:ind w:right="3812"/>
              <w:spacing w:after="0"/>
              <w:rPr>
                <w:sz w:val="20"/>
                <w:szCs w:val="20"/>
                <w:color w:val="auto"/>
              </w:rPr>
            </w:pPr>
            <w:r>
              <w:rPr>
                <w:rFonts w:ascii="Arial" w:cs="Arial" w:eastAsia="Arial" w:hAnsi="Arial"/>
                <w:sz w:val="22"/>
                <w:szCs w:val="22"/>
                <w:color w:val="auto"/>
                <w:w w:val="86"/>
              </w:rPr>
              <w:t>Consumables</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11,034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11,356</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23,021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24,313</w:t>
            </w:r>
          </w:p>
        </w:tc>
      </w:tr>
      <w:tr>
        <w:trPr>
          <w:trHeight w:val="259"/>
        </w:trPr>
        <w:tc>
          <w:tcPr>
            <w:tcW w:w="5600" w:type="dxa"/>
            <w:vAlign w:val="bottom"/>
          </w:tcPr>
          <w:p>
            <w:pPr>
              <w:jc w:val="center"/>
              <w:ind w:right="3832"/>
              <w:spacing w:after="0"/>
              <w:rPr>
                <w:sz w:val="20"/>
                <w:szCs w:val="20"/>
                <w:color w:val="auto"/>
              </w:rPr>
            </w:pPr>
            <w:r>
              <w:rPr>
                <w:rFonts w:ascii="Arial" w:cs="Arial" w:eastAsia="Arial" w:hAnsi="Arial"/>
                <w:sz w:val="22"/>
                <w:szCs w:val="22"/>
                <w:color w:val="auto"/>
                <w:w w:val="87"/>
              </w:rPr>
              <w:t>Product revenue</w:t>
            </w:r>
          </w:p>
        </w:tc>
        <w:tc>
          <w:tcPr>
            <w:tcW w:w="34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23,235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21,777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48,062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42,254</w:t>
            </w:r>
          </w:p>
        </w:tc>
      </w:tr>
      <w:tr>
        <w:trPr>
          <w:trHeight w:val="275"/>
        </w:trPr>
        <w:tc>
          <w:tcPr>
            <w:tcW w:w="5600" w:type="dxa"/>
            <w:vAlign w:val="bottom"/>
          </w:tcPr>
          <w:p>
            <w:pPr>
              <w:jc w:val="center"/>
              <w:ind w:right="3872"/>
              <w:spacing w:after="0"/>
              <w:rPr>
                <w:sz w:val="20"/>
                <w:szCs w:val="20"/>
                <w:color w:val="auto"/>
              </w:rPr>
            </w:pPr>
            <w:r>
              <w:rPr>
                <w:rFonts w:ascii="Arial" w:cs="Arial" w:eastAsia="Arial" w:hAnsi="Arial"/>
                <w:sz w:val="22"/>
                <w:szCs w:val="22"/>
                <w:color w:val="auto"/>
                <w:w w:val="86"/>
              </w:rPr>
              <w:t>Service revenue</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4,961</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4,651</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10,245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9,422</w:t>
            </w:r>
          </w:p>
        </w:tc>
      </w:tr>
      <w:tr>
        <w:trPr>
          <w:trHeight w:val="272"/>
        </w:trPr>
        <w:tc>
          <w:tcPr>
            <w:tcW w:w="5600" w:type="dxa"/>
            <w:vAlign w:val="bottom"/>
          </w:tcPr>
          <w:p>
            <w:pPr>
              <w:spacing w:after="0"/>
              <w:rPr>
                <w:sz w:val="20"/>
                <w:szCs w:val="20"/>
                <w:color w:val="auto"/>
              </w:rPr>
            </w:pPr>
            <w:r>
              <w:rPr>
                <w:rFonts w:ascii="Arial" w:cs="Arial" w:eastAsia="Arial" w:hAnsi="Arial"/>
                <w:sz w:val="22"/>
                <w:szCs w:val="22"/>
                <w:color w:val="auto"/>
              </w:rPr>
              <w:t>Total revenue</w:t>
            </w:r>
          </w:p>
        </w:tc>
        <w:tc>
          <w:tcPr>
            <w:tcW w:w="3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28,196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26,428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58,307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52"/>
              <w:spacing w:after="0"/>
              <w:rPr>
                <w:sz w:val="20"/>
                <w:szCs w:val="20"/>
                <w:color w:val="auto"/>
              </w:rPr>
            </w:pPr>
            <w:r>
              <w:rPr>
                <w:rFonts w:ascii="Arial" w:cs="Arial" w:eastAsia="Arial" w:hAnsi="Arial"/>
                <w:sz w:val="22"/>
                <w:szCs w:val="22"/>
                <w:color w:val="auto"/>
              </w:rPr>
              <w:t>51,676</w:t>
            </w:r>
          </w:p>
        </w:tc>
      </w:tr>
    </w:tbl>
    <w:p>
      <w:pPr>
        <w:sectPr>
          <w:pgSz w:w="11900" w:h="16902" w:orient="portrait"/>
          <w:cols w:equalWidth="0" w:num="1">
            <w:col w:w="11420"/>
          </w:cols>
          <w:pgMar w:left="240" w:top="118"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600" w:type="dxa"/>
            <w:vAlign w:val="bottom"/>
          </w:tcPr>
          <w:p>
            <w:pPr>
              <w:spacing w:after="0"/>
              <w:rPr>
                <w:sz w:val="20"/>
                <w:szCs w:val="20"/>
                <w:color w:val="auto"/>
              </w:rPr>
            </w:pPr>
            <w:r>
              <w:rPr>
                <w:rFonts w:ascii="Arial" w:cs="Arial" w:eastAsia="Arial" w:hAnsi="Arial"/>
                <w:sz w:val="22"/>
                <w:szCs w:val="22"/>
                <w:color w:val="auto"/>
              </w:rPr>
              <w:t>Cost of revenue:</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600" w:type="dxa"/>
            <w:vAlign w:val="bottom"/>
          </w:tcPr>
          <w:p>
            <w:pPr>
              <w:ind w:left="120"/>
              <w:spacing w:after="0"/>
              <w:rPr>
                <w:sz w:val="20"/>
                <w:szCs w:val="20"/>
                <w:color w:val="auto"/>
              </w:rPr>
            </w:pPr>
            <w:r>
              <w:rPr>
                <w:rFonts w:ascii="Arial" w:cs="Arial" w:eastAsia="Arial" w:hAnsi="Arial"/>
                <w:sz w:val="22"/>
                <w:szCs w:val="22"/>
                <w:color w:val="auto"/>
              </w:rPr>
              <w:t>Cost of product revenue</w:t>
            </w:r>
          </w:p>
        </w:tc>
        <w:tc>
          <w:tcPr>
            <w:tcW w:w="38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11,100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11,160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22,489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21,382</w:t>
            </w:r>
          </w:p>
        </w:tc>
      </w:tr>
      <w:tr>
        <w:trPr>
          <w:trHeight w:val="275"/>
        </w:trPr>
        <w:tc>
          <w:tcPr>
            <w:tcW w:w="5600" w:type="dxa"/>
            <w:vAlign w:val="bottom"/>
          </w:tcPr>
          <w:p>
            <w:pPr>
              <w:ind w:left="120"/>
              <w:spacing w:after="0"/>
              <w:rPr>
                <w:sz w:val="20"/>
                <w:szCs w:val="20"/>
                <w:color w:val="auto"/>
              </w:rPr>
            </w:pPr>
            <w:r>
              <w:rPr>
                <w:rFonts w:ascii="Arial" w:cs="Arial" w:eastAsia="Arial" w:hAnsi="Arial"/>
                <w:sz w:val="22"/>
                <w:szCs w:val="22"/>
                <w:color w:val="auto"/>
              </w:rPr>
              <w:t>Cost of service revenue</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1,733</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1,680</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3,465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3,278</w:t>
            </w:r>
          </w:p>
        </w:tc>
      </w:tr>
      <w:tr>
        <w:trPr>
          <w:trHeight w:val="267"/>
        </w:trPr>
        <w:tc>
          <w:tcPr>
            <w:tcW w:w="5600" w:type="dxa"/>
            <w:vAlign w:val="bottom"/>
          </w:tcPr>
          <w:p>
            <w:pPr>
              <w:spacing w:after="0"/>
              <w:rPr>
                <w:sz w:val="20"/>
                <w:szCs w:val="20"/>
                <w:color w:val="auto"/>
              </w:rPr>
            </w:pPr>
            <w:r>
              <w:rPr>
                <w:rFonts w:ascii="Arial" w:cs="Arial" w:eastAsia="Arial" w:hAnsi="Arial"/>
                <w:sz w:val="22"/>
                <w:szCs w:val="22"/>
                <w:color w:val="auto"/>
              </w:rPr>
              <w:t>Total cost of revenue</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12,833</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12,840</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25,954</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24,660</w:t>
            </w:r>
          </w:p>
        </w:tc>
      </w:tr>
      <w:tr>
        <w:trPr>
          <w:trHeight w:val="256"/>
        </w:trPr>
        <w:tc>
          <w:tcPr>
            <w:tcW w:w="5600" w:type="dxa"/>
            <w:vAlign w:val="bottom"/>
          </w:tcPr>
          <w:p>
            <w:pPr>
              <w:spacing w:after="0"/>
              <w:rPr>
                <w:sz w:val="20"/>
                <w:szCs w:val="20"/>
                <w:color w:val="auto"/>
              </w:rPr>
            </w:pPr>
            <w:r>
              <w:rPr>
                <w:rFonts w:ascii="Arial" w:cs="Arial" w:eastAsia="Arial" w:hAnsi="Arial"/>
                <w:sz w:val="22"/>
                <w:szCs w:val="22"/>
                <w:color w:val="auto"/>
              </w:rPr>
              <w:t>Gross profit</w:t>
            </w:r>
          </w:p>
        </w:tc>
        <w:tc>
          <w:tcPr>
            <w:tcW w:w="38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15,363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13,588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32,353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27,016</w:t>
            </w: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Operating expenses:</w:t>
            </w: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60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38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7,865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7,386</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16,237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14,642</w:t>
            </w:r>
          </w:p>
        </w:tc>
      </w:tr>
      <w:tr>
        <w:trPr>
          <w:trHeight w:val="275"/>
        </w:trPr>
        <w:tc>
          <w:tcPr>
            <w:tcW w:w="560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22,134</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18,987</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44,958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37,792</w:t>
            </w:r>
          </w:p>
        </w:tc>
      </w:tr>
      <w:tr>
        <w:trPr>
          <w:trHeight w:val="267"/>
        </w:trPr>
        <w:tc>
          <w:tcPr>
            <w:tcW w:w="5600" w:type="dxa"/>
            <w:vAlign w:val="bottom"/>
          </w:tcPr>
          <w:p>
            <w:pPr>
              <w:spacing w:after="0"/>
              <w:rPr>
                <w:sz w:val="20"/>
                <w:szCs w:val="20"/>
                <w:color w:val="auto"/>
              </w:rPr>
            </w:pPr>
            <w:r>
              <w:rPr>
                <w:rFonts w:ascii="Arial" w:cs="Arial" w:eastAsia="Arial" w:hAnsi="Arial"/>
                <w:sz w:val="22"/>
                <w:szCs w:val="22"/>
                <w:color w:val="auto"/>
              </w:rPr>
              <w:t>Total operating expenses</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29,999</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26,373</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61,195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52,434</w:t>
            </w:r>
          </w:p>
        </w:tc>
      </w:tr>
      <w:tr>
        <w:trPr>
          <w:trHeight w:val="256"/>
        </w:trPr>
        <w:tc>
          <w:tcPr>
            <w:tcW w:w="5600" w:type="dxa"/>
            <w:vAlign w:val="bottom"/>
          </w:tcPr>
          <w:p>
            <w:pPr>
              <w:spacing w:after="0"/>
              <w:rPr>
                <w:sz w:val="20"/>
                <w:szCs w:val="20"/>
                <w:color w:val="auto"/>
              </w:rPr>
            </w:pPr>
            <w:r>
              <w:rPr>
                <w:rFonts w:ascii="Arial" w:cs="Arial" w:eastAsia="Arial" w:hAnsi="Arial"/>
                <w:sz w:val="22"/>
                <w:szCs w:val="22"/>
                <w:color w:val="auto"/>
              </w:rPr>
              <w:t>Loss from operations</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(14,636)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(12,785)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(28,842)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(25,418)</w:t>
            </w: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Interest expense</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(491)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(3,916)</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(3,192)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(5,805)</w:t>
            </w: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8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(9,000)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w:t>
            </w:r>
          </w:p>
        </w:tc>
      </w:tr>
      <w:tr>
        <w:trPr>
          <w:trHeight w:val="275"/>
        </w:trPr>
        <w:tc>
          <w:tcPr>
            <w:tcW w:w="5600" w:type="dxa"/>
            <w:vAlign w:val="bottom"/>
          </w:tcPr>
          <w:p>
            <w:pPr>
              <w:spacing w:after="0"/>
              <w:rPr>
                <w:sz w:val="20"/>
                <w:szCs w:val="20"/>
                <w:color w:val="auto"/>
              </w:rPr>
            </w:pPr>
            <w:r>
              <w:rPr>
                <w:rFonts w:ascii="Arial" w:cs="Arial" w:eastAsia="Arial" w:hAnsi="Arial"/>
                <w:sz w:val="22"/>
                <w:szCs w:val="22"/>
                <w:color w:val="auto"/>
              </w:rPr>
              <w:t>Other income, net</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231</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256</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715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348</w:t>
            </w:r>
          </w:p>
        </w:tc>
      </w:tr>
      <w:tr>
        <w:trPr>
          <w:trHeight w:val="259"/>
        </w:trPr>
        <w:tc>
          <w:tcPr>
            <w:tcW w:w="560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(14,896)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(16,445)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(40,319)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(30,875)</w:t>
            </w:r>
          </w:p>
        </w:tc>
      </w:tr>
      <w:tr>
        <w:trPr>
          <w:trHeight w:val="276"/>
        </w:trPr>
        <w:tc>
          <w:tcPr>
            <w:tcW w:w="5600" w:type="dxa"/>
            <w:vAlign w:val="bottom"/>
          </w:tcPr>
          <w:p>
            <w:pPr>
              <w:spacing w:after="0"/>
              <w:rPr>
                <w:sz w:val="20"/>
                <w:szCs w:val="20"/>
                <w:color w:val="auto"/>
              </w:rPr>
            </w:pPr>
            <w:r>
              <w:rPr>
                <w:rFonts w:ascii="Arial" w:cs="Arial" w:eastAsia="Arial" w:hAnsi="Arial"/>
                <w:sz w:val="22"/>
                <w:szCs w:val="22"/>
                <w:color w:val="auto"/>
              </w:rPr>
              <w:t>Income tax benefit</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1,143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1,101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1,387</w:t>
            </w:r>
          </w:p>
        </w:tc>
      </w:tr>
      <w:tr>
        <w:trPr>
          <w:trHeight w:val="265"/>
        </w:trPr>
        <w:tc>
          <w:tcPr>
            <w:tcW w:w="5600" w:type="dxa"/>
            <w:vAlign w:val="bottom"/>
          </w:tcPr>
          <w:p>
            <w:pPr>
              <w:spacing w:after="0"/>
              <w:rPr>
                <w:sz w:val="20"/>
                <w:szCs w:val="20"/>
                <w:color w:val="auto"/>
              </w:rPr>
            </w:pPr>
            <w:r>
              <w:rPr>
                <w:rFonts w:ascii="Arial" w:cs="Arial" w:eastAsia="Arial" w:hAnsi="Arial"/>
                <w:sz w:val="22"/>
                <w:szCs w:val="22"/>
                <w:color w:val="auto"/>
              </w:rPr>
              <w:t>Net loss</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(13,753)</w:t>
            </w:r>
          </w:p>
        </w:tc>
        <w:tc>
          <w:tcPr>
            <w:tcW w:w="120" w:type="dxa"/>
            <w:vAlign w:val="bottom"/>
          </w:tcPr>
          <w:p>
            <w:pPr>
              <w:spacing w:after="0"/>
              <w:rPr>
                <w:sz w:val="23"/>
                <w:szCs w:val="23"/>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(16,241)</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(39,218)</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(29,488)</w:t>
            </w:r>
          </w:p>
        </w:tc>
      </w:tr>
      <w:tr>
        <w:trPr>
          <w:trHeight w:val="21"/>
        </w:trPr>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4"/>
        </w:trPr>
        <w:tc>
          <w:tcPr>
            <w:tcW w:w="560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(0.20)</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(0.42)</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(0.61)</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(0.76)</w:t>
            </w:r>
          </w:p>
        </w:tc>
      </w:tr>
      <w:tr>
        <w:trPr>
          <w:trHeight w:val="21"/>
        </w:trPr>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4"/>
        </w:trPr>
        <w:tc>
          <w:tcPr>
            <w:tcW w:w="5600" w:type="dxa"/>
            <w:vAlign w:val="bottom"/>
          </w:tcPr>
          <w:p>
            <w:pPr>
              <w:spacing w:after="0"/>
              <w:rPr>
                <w:sz w:val="20"/>
                <w:szCs w:val="20"/>
                <w:color w:val="auto"/>
              </w:rPr>
            </w:pPr>
            <w:r>
              <w:rPr>
                <w:rFonts w:ascii="Arial" w:cs="Arial" w:eastAsia="Arial" w:hAnsi="Arial"/>
                <w:sz w:val="22"/>
                <w:szCs w:val="22"/>
                <w:color w:val="auto"/>
                <w:w w:val="91"/>
              </w:rPr>
              <w:t>Shares used in computing net loss per share, basic and diluted</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69,158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39,003</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63,923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38,930</w:t>
            </w:r>
          </w:p>
        </w:tc>
      </w:tr>
      <w:tr>
        <w:trPr>
          <w:trHeight w:val="21"/>
        </w:trPr>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485"/>
        </w:trPr>
        <w:tc>
          <w:tcPr>
            <w:tcW w:w="6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gridSpan w:val="2"/>
          </w:tcPr>
          <w:p>
            <w:pPr>
              <w:ind w:left="100"/>
              <w:spacing w:after="0"/>
              <w:rPr>
                <w:sz w:val="20"/>
                <w:szCs w:val="20"/>
                <w:color w:val="auto"/>
              </w:rPr>
            </w:pPr>
            <w:r>
              <w:rPr>
                <w:rFonts w:ascii="Arial" w:cs="Arial" w:eastAsia="Arial" w:hAnsi="Arial"/>
                <w:sz w:val="22"/>
                <w:szCs w:val="22"/>
                <w:b w:val="1"/>
                <w:bCs w:val="1"/>
                <w:color w:val="auto"/>
              </w:rPr>
              <w:t>June 30, 2019</w:t>
            </w:r>
          </w:p>
        </w:tc>
        <w:tc>
          <w:tcPr>
            <w:tcW w:w="262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w w:val="98"/>
              </w:rPr>
              <w:t xml:space="preserve">December 31, 2018 </w:t>
            </w:r>
            <w:r>
              <w:rPr>
                <w:rFonts w:ascii="Arial" w:cs="Arial" w:eastAsia="Arial" w:hAnsi="Arial"/>
                <w:sz w:val="36"/>
                <w:szCs w:val="36"/>
                <w:b w:val="1"/>
                <w:bCs w:val="1"/>
                <w:color w:val="auto"/>
                <w:w w:val="98"/>
                <w:vertAlign w:val="subscript"/>
              </w:rPr>
              <w:t>(1)</w:t>
            </w:r>
          </w:p>
        </w:tc>
        <w:tc>
          <w:tcPr>
            <w:tcW w:w="0" w:type="dxa"/>
            <w:vAlign w:val="bottom"/>
          </w:tcPr>
          <w:p>
            <w:pPr>
              <w:spacing w:after="0"/>
              <w:rPr>
                <w:sz w:val="1"/>
                <w:szCs w:val="1"/>
                <w:color w:val="auto"/>
              </w:rPr>
            </w:pPr>
          </w:p>
        </w:tc>
      </w:tr>
      <w:tr>
        <w:trPr>
          <w:trHeight w:val="529"/>
        </w:trPr>
        <w:tc>
          <w:tcPr>
            <w:tcW w:w="626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4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Current assets:</w:t>
            </w:r>
          </w:p>
        </w:tc>
        <w:tc>
          <w:tcPr>
            <w:tcW w:w="4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Cash and cash equivalents</w:t>
            </w:r>
          </w:p>
        </w:tc>
        <w:tc>
          <w:tcPr>
            <w:tcW w:w="4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940" w:type="dxa"/>
            <w:vAlign w:val="bottom"/>
          </w:tcPr>
          <w:p>
            <w:pPr>
              <w:jc w:val="right"/>
              <w:spacing w:after="0"/>
              <w:rPr>
                <w:sz w:val="20"/>
                <w:szCs w:val="20"/>
                <w:color w:val="auto"/>
              </w:rPr>
            </w:pPr>
            <w:r>
              <w:rPr>
                <w:rFonts w:ascii="Arial" w:cs="Arial" w:eastAsia="Arial" w:hAnsi="Arial"/>
                <w:sz w:val="22"/>
                <w:szCs w:val="22"/>
                <w:color w:val="auto"/>
              </w:rPr>
              <w:t>24,046</w:t>
            </w:r>
          </w:p>
        </w:tc>
        <w:tc>
          <w:tcPr>
            <w:tcW w:w="100" w:type="dxa"/>
            <w:vAlign w:val="bottom"/>
          </w:tcPr>
          <w:p>
            <w:pPr>
              <w:spacing w:after="0"/>
              <w:rPr>
                <w:sz w:val="23"/>
                <w:szCs w:val="23"/>
                <w:color w:val="auto"/>
              </w:rPr>
            </w:pPr>
          </w:p>
        </w:tc>
        <w:tc>
          <w:tcPr>
            <w:tcW w:w="1120" w:type="dxa"/>
            <w:vAlign w:val="bottom"/>
          </w:tcPr>
          <w:p>
            <w:pPr>
              <w:jc w:val="right"/>
              <w:ind w:right="672"/>
              <w:spacing w:after="0"/>
              <w:rPr>
                <w:sz w:val="20"/>
                <w:szCs w:val="20"/>
                <w:color w:val="auto"/>
              </w:rPr>
            </w:pPr>
            <w:r>
              <w:rPr>
                <w:rFonts w:ascii="Arial" w:cs="Arial" w:eastAsia="Arial" w:hAnsi="Arial"/>
                <w:sz w:val="22"/>
                <w:szCs w:val="22"/>
                <w:color w:val="auto"/>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95,401</w:t>
            </w: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Short-term investments</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44,815</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Accounts receivable, net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19,262</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16,651</w:t>
            </w: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Inventories</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14,269</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13,003</w:t>
            </w:r>
          </w:p>
        </w:tc>
        <w:tc>
          <w:tcPr>
            <w:tcW w:w="0" w:type="dxa"/>
            <w:vAlign w:val="bottom"/>
          </w:tcPr>
          <w:p>
            <w:pPr>
              <w:spacing w:after="0"/>
              <w:rPr>
                <w:sz w:val="1"/>
                <w:szCs w:val="1"/>
                <w:color w:val="auto"/>
              </w:rPr>
            </w:pPr>
          </w:p>
        </w:tc>
      </w:tr>
      <w:tr>
        <w:trPr>
          <w:trHeight w:val="275"/>
        </w:trPr>
        <w:tc>
          <w:tcPr>
            <w:tcW w:w="6260" w:type="dxa"/>
            <w:vAlign w:val="bottom"/>
          </w:tcPr>
          <w:p>
            <w:pPr>
              <w:ind w:left="120"/>
              <w:spacing w:after="0"/>
              <w:rPr>
                <w:sz w:val="20"/>
                <w:szCs w:val="20"/>
                <w:color w:val="auto"/>
              </w:rPr>
            </w:pPr>
            <w:r>
              <w:rPr>
                <w:rFonts w:ascii="Arial" w:cs="Arial" w:eastAsia="Arial" w:hAnsi="Arial"/>
                <w:sz w:val="22"/>
                <w:szCs w:val="22"/>
                <w:color w:val="auto"/>
              </w:rPr>
              <w:t>Prepaid expenses and other current assets</w:t>
            </w:r>
          </w:p>
        </w:tc>
        <w:tc>
          <w:tcPr>
            <w:tcW w:w="4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4,387</w:t>
            </w:r>
          </w:p>
        </w:tc>
        <w:tc>
          <w:tcPr>
            <w:tcW w:w="1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2,051</w:t>
            </w:r>
          </w:p>
        </w:tc>
        <w:tc>
          <w:tcPr>
            <w:tcW w:w="0" w:type="dxa"/>
            <w:vAlign w:val="bottom"/>
          </w:tcPr>
          <w:p>
            <w:pPr>
              <w:spacing w:after="0"/>
              <w:rPr>
                <w:sz w:val="1"/>
                <w:szCs w:val="1"/>
                <w:color w:val="auto"/>
              </w:rPr>
            </w:pPr>
          </w:p>
        </w:tc>
      </w:tr>
      <w:tr>
        <w:trPr>
          <w:trHeight w:val="259"/>
        </w:trPr>
        <w:tc>
          <w:tcPr>
            <w:tcW w:w="6260" w:type="dxa"/>
            <w:vAlign w:val="bottom"/>
          </w:tcPr>
          <w:p>
            <w:pPr>
              <w:spacing w:after="0"/>
              <w:rPr>
                <w:sz w:val="20"/>
                <w:szCs w:val="20"/>
                <w:color w:val="auto"/>
              </w:rPr>
            </w:pPr>
            <w:r>
              <w:rPr>
                <w:rFonts w:ascii="Arial" w:cs="Arial" w:eastAsia="Arial" w:hAnsi="Arial"/>
                <w:sz w:val="22"/>
                <w:szCs w:val="22"/>
                <w:color w:val="auto"/>
              </w:rPr>
              <w:t>Total current assets</w:t>
            </w:r>
          </w:p>
        </w:tc>
        <w:tc>
          <w:tcPr>
            <w:tcW w:w="48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106,779</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127,106</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8,298</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8,825</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Operating lease right-of-use assets, net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6,506</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6,302</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6,208</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51,800</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57,400</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22"/>
                <w:szCs w:val="22"/>
                <w:color w:val="auto"/>
              </w:rPr>
              <w:t>Goodwill</w:t>
            </w:r>
          </w:p>
        </w:tc>
        <w:tc>
          <w:tcPr>
            <w:tcW w:w="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0" w:type="dxa"/>
            <w:vAlign w:val="bottom"/>
          </w:tcPr>
          <w:p>
            <w:pPr>
              <w:spacing w:after="0"/>
              <w:rPr>
                <w:sz w:val="1"/>
                <w:szCs w:val="1"/>
                <w:color w:val="auto"/>
              </w:rPr>
            </w:pPr>
          </w:p>
        </w:tc>
      </w:tr>
      <w:tr>
        <w:trPr>
          <w:trHeight w:val="265"/>
        </w:trPr>
        <w:tc>
          <w:tcPr>
            <w:tcW w:w="6260" w:type="dxa"/>
            <w:vAlign w:val="bottom"/>
          </w:tcPr>
          <w:p>
            <w:pPr>
              <w:spacing w:after="0"/>
              <w:rPr>
                <w:sz w:val="20"/>
                <w:szCs w:val="20"/>
                <w:color w:val="auto"/>
              </w:rPr>
            </w:pPr>
            <w:r>
              <w:rPr>
                <w:rFonts w:ascii="Arial" w:cs="Arial" w:eastAsia="Arial" w:hAnsi="Arial"/>
                <w:sz w:val="22"/>
                <w:szCs w:val="22"/>
                <w:color w:val="auto"/>
              </w:rPr>
              <w:t>Total assets</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283,793</w:t>
            </w:r>
          </w:p>
        </w:tc>
        <w:tc>
          <w:tcPr>
            <w:tcW w:w="100" w:type="dxa"/>
            <w:vAlign w:val="bottom"/>
          </w:tcPr>
          <w:p>
            <w:pPr>
              <w:spacing w:after="0"/>
              <w:rPr>
                <w:sz w:val="23"/>
                <w:szCs w:val="23"/>
                <w:color w:val="auto"/>
              </w:rPr>
            </w:pPr>
          </w:p>
        </w:tc>
        <w:tc>
          <w:tcPr>
            <w:tcW w:w="112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303,647</w:t>
            </w:r>
          </w:p>
        </w:tc>
        <w:tc>
          <w:tcPr>
            <w:tcW w:w="0" w:type="dxa"/>
            <w:vAlign w:val="bottom"/>
          </w:tcPr>
          <w:p>
            <w:pPr>
              <w:spacing w:after="0"/>
              <w:rPr>
                <w:sz w:val="1"/>
                <w:szCs w:val="1"/>
                <w:color w:val="auto"/>
              </w:rPr>
            </w:pPr>
          </w:p>
        </w:tc>
      </w:tr>
      <w:tr>
        <w:trPr>
          <w:trHeight w:val="21"/>
        </w:trPr>
        <w:tc>
          <w:tcPr>
            <w:tcW w:w="626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4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2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Current liabilities:</w:t>
            </w:r>
          </w:p>
        </w:tc>
        <w:tc>
          <w:tcPr>
            <w:tcW w:w="4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Accounts payable</w:t>
            </w:r>
          </w:p>
        </w:tc>
        <w:tc>
          <w:tcPr>
            <w:tcW w:w="4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940" w:type="dxa"/>
            <w:vAlign w:val="bottom"/>
          </w:tcPr>
          <w:p>
            <w:pPr>
              <w:jc w:val="right"/>
              <w:spacing w:after="0"/>
              <w:rPr>
                <w:sz w:val="20"/>
                <w:szCs w:val="20"/>
                <w:color w:val="auto"/>
              </w:rPr>
            </w:pPr>
            <w:r>
              <w:rPr>
                <w:rFonts w:ascii="Arial" w:cs="Arial" w:eastAsia="Arial" w:hAnsi="Arial"/>
                <w:sz w:val="22"/>
                <w:szCs w:val="22"/>
                <w:color w:val="auto"/>
              </w:rPr>
              <w:t>8,075</w:t>
            </w:r>
          </w:p>
        </w:tc>
        <w:tc>
          <w:tcPr>
            <w:tcW w:w="100" w:type="dxa"/>
            <w:vAlign w:val="bottom"/>
          </w:tcPr>
          <w:p>
            <w:pPr>
              <w:spacing w:after="0"/>
              <w:rPr>
                <w:sz w:val="23"/>
                <w:szCs w:val="23"/>
                <w:color w:val="auto"/>
              </w:rPr>
            </w:pPr>
          </w:p>
        </w:tc>
        <w:tc>
          <w:tcPr>
            <w:tcW w:w="1120" w:type="dxa"/>
            <w:vAlign w:val="bottom"/>
          </w:tcPr>
          <w:p>
            <w:pPr>
              <w:jc w:val="right"/>
              <w:ind w:right="672"/>
              <w:spacing w:after="0"/>
              <w:rPr>
                <w:sz w:val="20"/>
                <w:szCs w:val="20"/>
                <w:color w:val="auto"/>
              </w:rPr>
            </w:pPr>
            <w:r>
              <w:rPr>
                <w:rFonts w:ascii="Arial" w:cs="Arial" w:eastAsia="Arial" w:hAnsi="Arial"/>
                <w:sz w:val="22"/>
                <w:szCs w:val="22"/>
                <w:color w:val="auto"/>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4,027</w:t>
            </w: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Accrued compensation and related benefits</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8,281</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14,470</w:t>
            </w: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Operating lease liabilities, current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3,350</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260" w:type="dxa"/>
            <w:vAlign w:val="bottom"/>
          </w:tcPr>
          <w:p>
            <w:pPr>
              <w:ind w:left="120"/>
              <w:spacing w:after="0"/>
              <w:rPr>
                <w:sz w:val="20"/>
                <w:szCs w:val="20"/>
                <w:color w:val="auto"/>
              </w:rPr>
            </w:pPr>
            <w:r>
              <w:rPr>
                <w:rFonts w:ascii="Arial" w:cs="Arial" w:eastAsia="Arial" w:hAnsi="Arial"/>
                <w:sz w:val="22"/>
                <w:szCs w:val="22"/>
                <w:color w:val="auto"/>
              </w:rPr>
              <w:t>Other accrued liabilities</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5,642</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7,621</w:t>
            </w:r>
          </w:p>
        </w:tc>
        <w:tc>
          <w:tcPr>
            <w:tcW w:w="0" w:type="dxa"/>
            <w:vAlign w:val="bottom"/>
          </w:tcPr>
          <w:p>
            <w:pPr>
              <w:spacing w:after="0"/>
              <w:rPr>
                <w:sz w:val="1"/>
                <w:szCs w:val="1"/>
                <w:color w:val="auto"/>
              </w:rPr>
            </w:pPr>
          </w:p>
        </w:tc>
      </w:tr>
      <w:tr>
        <w:trPr>
          <w:trHeight w:val="275"/>
        </w:trPr>
        <w:tc>
          <w:tcPr>
            <w:tcW w:w="6260" w:type="dxa"/>
            <w:vAlign w:val="bottom"/>
          </w:tcPr>
          <w:p>
            <w:pPr>
              <w:ind w:left="120"/>
              <w:spacing w:after="0"/>
              <w:rPr>
                <w:sz w:val="20"/>
                <w:szCs w:val="20"/>
                <w:color w:val="auto"/>
              </w:rPr>
            </w:pPr>
            <w:r>
              <w:rPr>
                <w:rFonts w:ascii="Arial" w:cs="Arial" w:eastAsia="Arial" w:hAnsi="Arial"/>
                <w:sz w:val="22"/>
                <w:szCs w:val="22"/>
                <w:color w:val="auto"/>
              </w:rPr>
              <w:t>Deferred revenue, current portion</w:t>
            </w:r>
          </w:p>
        </w:tc>
        <w:tc>
          <w:tcPr>
            <w:tcW w:w="4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11,972</w:t>
            </w:r>
          </w:p>
        </w:tc>
        <w:tc>
          <w:tcPr>
            <w:tcW w:w="1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11,464</w:t>
            </w:r>
          </w:p>
        </w:tc>
        <w:tc>
          <w:tcPr>
            <w:tcW w:w="0" w:type="dxa"/>
            <w:vAlign w:val="bottom"/>
          </w:tcPr>
          <w:p>
            <w:pPr>
              <w:spacing w:after="0"/>
              <w:rPr>
                <w:sz w:val="1"/>
                <w:szCs w:val="1"/>
                <w:color w:val="auto"/>
              </w:rPr>
            </w:pPr>
          </w:p>
        </w:tc>
      </w:tr>
      <w:tr>
        <w:trPr>
          <w:trHeight w:val="259"/>
        </w:trPr>
        <w:tc>
          <w:tcPr>
            <w:tcW w:w="626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48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37,320</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37,582</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Convertible notes, net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49,833</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172,058</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Deferred tax liability, net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12,295</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13,714</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Arial" w:cs="Arial" w:eastAsia="Arial" w:hAnsi="Arial"/>
                <w:sz w:val="22"/>
                <w:szCs w:val="22"/>
                <w:color w:val="auto"/>
              </w:rPr>
              <w:t>Operating lease liabilities, non-current</w:t>
            </w:r>
          </w:p>
        </w:tc>
        <w:tc>
          <w:tcPr>
            <w:tcW w:w="4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4,812</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626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4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6,893</w:t>
            </w:r>
          </w:p>
        </w:tc>
        <w:tc>
          <w:tcPr>
            <w:tcW w:w="1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8,177</w:t>
            </w:r>
          </w:p>
        </w:tc>
        <w:tc>
          <w:tcPr>
            <w:tcW w:w="0" w:type="dxa"/>
            <w:vAlign w:val="bottom"/>
          </w:tcPr>
          <w:p>
            <w:pPr>
              <w:spacing w:after="0"/>
              <w:rPr>
                <w:sz w:val="1"/>
                <w:szCs w:val="1"/>
                <w:color w:val="auto"/>
              </w:rPr>
            </w:pPr>
          </w:p>
        </w:tc>
      </w:tr>
      <w:tr>
        <w:trPr>
          <w:trHeight w:val="259"/>
        </w:trPr>
        <w:tc>
          <w:tcPr>
            <w:tcW w:w="6260" w:type="dxa"/>
            <w:vAlign w:val="bottom"/>
          </w:tcPr>
          <w:p>
            <w:pPr>
              <w:spacing w:after="0"/>
              <w:rPr>
                <w:sz w:val="20"/>
                <w:szCs w:val="20"/>
                <w:color w:val="auto"/>
              </w:rPr>
            </w:pPr>
            <w:r>
              <w:rPr>
                <w:rFonts w:ascii="Arial" w:cs="Arial" w:eastAsia="Arial" w:hAnsi="Arial"/>
                <w:sz w:val="22"/>
                <w:szCs w:val="22"/>
                <w:color w:val="auto"/>
              </w:rPr>
              <w:t>Total liabilities</w:t>
            </w:r>
          </w:p>
        </w:tc>
        <w:tc>
          <w:tcPr>
            <w:tcW w:w="48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22"/>
                <w:szCs w:val="22"/>
                <w:color w:val="auto"/>
              </w:rPr>
              <w:t>111,153</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231,531</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172,640</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72,116</w:t>
            </w:r>
          </w:p>
        </w:tc>
        <w:tc>
          <w:tcPr>
            <w:tcW w:w="0" w:type="dxa"/>
            <w:vAlign w:val="bottom"/>
          </w:tcPr>
          <w:p>
            <w:pPr>
              <w:spacing w:after="0"/>
              <w:rPr>
                <w:sz w:val="1"/>
                <w:szCs w:val="1"/>
                <w:color w:val="auto"/>
              </w:rPr>
            </w:pPr>
          </w:p>
        </w:tc>
      </w:tr>
    </w:tbl>
    <w:p>
      <w:pPr>
        <w:sectPr>
          <w:pgSz w:w="11900" w:h="16838" w:orient="portrait"/>
          <w:cols w:equalWidth="0" w:num="1">
            <w:col w:w="11400"/>
          </w:cols>
          <w:pgMar w:left="260" w:top="118" w:right="239" w:bottom="0" w:gutter="0" w:footer="0" w:header="0"/>
        </w:sectPr>
      </w:pPr>
    </w:p>
    <w:bookmarkStart w:id="7" w:name="page8"/>
    <w:bookmarkEnd w:id="7"/>
    <w:p>
      <w:pPr>
        <w:spacing w:after="0"/>
        <w:tabs>
          <w:tab w:leader="none" w:pos="6500" w:val="left"/>
          <w:tab w:leader="none" w:pos="7940" w:val="left"/>
          <w:tab w:leader="none" w:pos="8980" w:val="left"/>
          <w:tab w:leader="none" w:pos="10660" w:val="left"/>
        </w:tabs>
        <w:rPr>
          <w:sz w:val="20"/>
          <w:szCs w:val="20"/>
          <w:color w:val="auto"/>
        </w:rPr>
      </w:pPr>
      <w:r>
        <w:rPr>
          <w:rFonts w:ascii="Arial" w:cs="Arial" w:eastAsia="Arial" w:hAnsi="Arial"/>
          <w:sz w:val="22"/>
          <w:szCs w:val="22"/>
          <w:color w:val="auto"/>
        </w:rPr>
        <w:t>Total liabilities and stockholders' equity</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283,793</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303,647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16510</wp:posOffset>
            </wp:positionV>
            <wp:extent cx="32588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342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(1) Derived from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22"/>
                <w:szCs w:val="22"/>
                <w:b w:val="1"/>
                <w:bCs w:val="1"/>
                <w:color w:val="auto"/>
                <w:w w:val="91"/>
              </w:rPr>
              <w:t>Six Months Ended June 30,</w:t>
            </w:r>
          </w:p>
        </w:tc>
      </w:tr>
      <w:tr>
        <w:trPr>
          <w:trHeight w:val="265"/>
        </w:trPr>
        <w:tc>
          <w:tcPr>
            <w:tcW w:w="8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2019</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2018</w:t>
            </w:r>
          </w:p>
        </w:tc>
      </w:tr>
      <w:tr>
        <w:trPr>
          <w:trHeight w:val="256"/>
        </w:trPr>
        <w:tc>
          <w:tcPr>
            <w:tcW w:w="8100" w:type="dxa"/>
            <w:vAlign w:val="bottom"/>
          </w:tcPr>
          <w:p>
            <w:pPr>
              <w:spacing w:after="0"/>
              <w:rPr>
                <w:sz w:val="20"/>
                <w:szCs w:val="20"/>
                <w:color w:val="auto"/>
              </w:rPr>
            </w:pPr>
            <w:r>
              <w:rPr>
                <w:rFonts w:ascii="Arial" w:cs="Arial" w:eastAsia="Arial" w:hAnsi="Arial"/>
                <w:sz w:val="22"/>
                <w:szCs w:val="22"/>
                <w:b w:val="1"/>
                <w:bCs w:val="1"/>
                <w:color w:val="auto"/>
              </w:rPr>
              <w:t>Operating activities</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Net loss</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(39,218)</w:t>
            </w:r>
          </w:p>
        </w:tc>
        <w:tc>
          <w:tcPr>
            <w:tcW w:w="120" w:type="dxa"/>
            <w:vAlign w:val="bottom"/>
          </w:tcPr>
          <w:p>
            <w:pPr>
              <w:spacing w:after="0"/>
              <w:rPr>
                <w:sz w:val="23"/>
                <w:szCs w:val="23"/>
                <w:color w:val="auto"/>
              </w:rPr>
            </w:pPr>
          </w:p>
        </w:tc>
        <w:tc>
          <w:tcPr>
            <w:tcW w:w="4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(29,488)</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2,351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2,932</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5,263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3,754</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5,600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5,600</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Amortization of debt discounts, premiums and issuance costs</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2,037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3,083</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9,000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Other non-cash items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(88)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(41)</w:t>
            </w:r>
          </w:p>
        </w:tc>
      </w:tr>
      <w:tr>
        <w:trPr>
          <w:trHeight w:val="275"/>
        </w:trPr>
        <w:tc>
          <w:tcPr>
            <w:tcW w:w="810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(10,117)</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(6,339)</w:t>
            </w:r>
          </w:p>
        </w:tc>
      </w:tr>
      <w:tr>
        <w:trPr>
          <w:trHeight w:val="272"/>
        </w:trPr>
        <w:tc>
          <w:tcPr>
            <w:tcW w:w="810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(25,143)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(20,499)</w:t>
            </w:r>
          </w:p>
        </w:tc>
      </w:tr>
      <w:tr>
        <w:trPr>
          <w:trHeight w:val="528"/>
        </w:trPr>
        <w:tc>
          <w:tcPr>
            <w:tcW w:w="810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(44,614)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(1,451)</w:t>
            </w: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5,541</w:t>
            </w:r>
          </w:p>
        </w:tc>
      </w:tr>
      <w:tr>
        <w:trPr>
          <w:trHeight w:val="275"/>
        </w:trPr>
        <w:tc>
          <w:tcPr>
            <w:tcW w:w="810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(685)</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(154)</w:t>
            </w:r>
          </w:p>
        </w:tc>
      </w:tr>
      <w:tr>
        <w:trPr>
          <w:trHeight w:val="272"/>
        </w:trPr>
        <w:tc>
          <w:tcPr>
            <w:tcW w:w="8100" w:type="dxa"/>
            <w:vAlign w:val="bottom"/>
          </w:tcPr>
          <w:p>
            <w:pPr>
              <w:spacing w:after="0"/>
              <w:rPr>
                <w:sz w:val="20"/>
                <w:szCs w:val="20"/>
                <w:color w:val="auto"/>
              </w:rPr>
            </w:pPr>
            <w:r>
              <w:rPr>
                <w:rFonts w:ascii="Arial" w:cs="Arial" w:eastAsia="Arial" w:hAnsi="Arial"/>
                <w:sz w:val="22"/>
                <w:szCs w:val="22"/>
                <w:color w:val="auto"/>
              </w:rPr>
              <w:t>Net cash provided by (used in) investing activities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(45,299)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3,936</w:t>
            </w:r>
          </w:p>
        </w:tc>
      </w:tr>
      <w:tr>
        <w:trPr>
          <w:trHeight w:val="528"/>
        </w:trPr>
        <w:tc>
          <w:tcPr>
            <w:tcW w:w="810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100" w:type="dxa"/>
            <w:vAlign w:val="bottom"/>
          </w:tcPr>
          <w:p>
            <w:pPr>
              <w:spacing w:after="0"/>
              <w:rPr>
                <w:sz w:val="20"/>
                <w:szCs w:val="20"/>
                <w:color w:val="auto"/>
              </w:rPr>
            </w:pPr>
            <w:r>
              <w:rPr>
                <w:rFonts w:ascii="Arial" w:cs="Arial" w:eastAsia="Arial" w:hAnsi="Arial"/>
                <w:sz w:val="22"/>
                <w:szCs w:val="22"/>
                <w:color w:val="auto"/>
              </w:rPr>
              <w:t>Payment of debt and equity issuance costs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(2,638)</w:t>
            </w:r>
          </w:p>
        </w:tc>
      </w:tr>
      <w:tr>
        <w:trPr>
          <w:trHeight w:val="275"/>
        </w:trPr>
        <w:tc>
          <w:tcPr>
            <w:tcW w:w="8100" w:type="dxa"/>
            <w:vAlign w:val="bottom"/>
          </w:tcPr>
          <w:p>
            <w:pPr>
              <w:spacing w:after="0"/>
              <w:rPr>
                <w:sz w:val="20"/>
                <w:szCs w:val="20"/>
                <w:color w:val="auto"/>
              </w:rPr>
            </w:pPr>
            <w:r>
              <w:rPr>
                <w:rFonts w:ascii="Arial" w:cs="Arial" w:eastAsia="Arial" w:hAnsi="Arial"/>
                <w:sz w:val="22"/>
                <w:szCs w:val="22"/>
                <w:color w:val="auto"/>
              </w:rPr>
              <w:t>Proceeds from employee equity programs, net</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1,202</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486</w:t>
            </w:r>
          </w:p>
        </w:tc>
      </w:tr>
      <w:tr>
        <w:trPr>
          <w:trHeight w:val="272"/>
        </w:trPr>
        <w:tc>
          <w:tcPr>
            <w:tcW w:w="8100" w:type="dxa"/>
            <w:vAlign w:val="bottom"/>
          </w:tcPr>
          <w:p>
            <w:pPr>
              <w:spacing w:after="0"/>
              <w:rPr>
                <w:sz w:val="20"/>
                <w:szCs w:val="20"/>
                <w:color w:val="auto"/>
              </w:rPr>
            </w:pPr>
            <w:r>
              <w:rPr>
                <w:rFonts w:ascii="Arial" w:cs="Arial" w:eastAsia="Arial" w:hAnsi="Arial"/>
                <w:sz w:val="22"/>
                <w:szCs w:val="22"/>
                <w:color w:val="auto"/>
              </w:rPr>
              <w:t>Net cash provided by (used in) financing activities</w:t>
            </w:r>
          </w:p>
        </w:tc>
        <w:tc>
          <w:tcPr>
            <w:tcW w:w="3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1,187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(2,152)</w:t>
            </w:r>
          </w:p>
        </w:tc>
      </w:tr>
      <w:tr>
        <w:trPr>
          <w:trHeight w:val="532"/>
        </w:trPr>
        <w:tc>
          <w:tcPr>
            <w:tcW w:w="810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83</w:t>
            </w:r>
          </w:p>
        </w:tc>
      </w:tr>
      <w:tr>
        <w:trPr>
          <w:trHeight w:val="259"/>
        </w:trPr>
        <w:tc>
          <w:tcPr>
            <w:tcW w:w="8100" w:type="dxa"/>
            <w:vAlign w:val="bottom"/>
          </w:tcPr>
          <w:p>
            <w:pPr>
              <w:spacing w:after="0"/>
              <w:rPr>
                <w:sz w:val="20"/>
                <w:szCs w:val="20"/>
                <w:color w:val="auto"/>
              </w:rPr>
            </w:pPr>
            <w:r>
              <w:rPr>
                <w:rFonts w:ascii="Arial" w:cs="Arial" w:eastAsia="Arial" w:hAnsi="Arial"/>
                <w:sz w:val="22"/>
                <w:szCs w:val="22"/>
                <w:color w:val="auto"/>
              </w:rPr>
              <w:t>Net decrease in cash, cash equivalents and restricted cash</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(69,280)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(18,632)</w:t>
            </w:r>
          </w:p>
        </w:tc>
      </w:tr>
      <w:tr>
        <w:trPr>
          <w:trHeight w:val="276"/>
        </w:trPr>
        <w:tc>
          <w:tcPr>
            <w:tcW w:w="8100" w:type="dxa"/>
            <w:vAlign w:val="bottom"/>
          </w:tcPr>
          <w:p>
            <w:pPr>
              <w:spacing w:after="0"/>
              <w:rPr>
                <w:sz w:val="20"/>
                <w:szCs w:val="20"/>
                <w:color w:val="auto"/>
              </w:rPr>
            </w:pPr>
            <w:r>
              <w:rPr>
                <w:rFonts w:ascii="Arial" w:cs="Arial" w:eastAsia="Arial" w:hAnsi="Arial"/>
                <w:sz w:val="22"/>
                <w:szCs w:val="22"/>
                <w:color w:val="auto"/>
              </w:rPr>
              <w:t>Cash, cash equivalents and restricted cash at beginning of period</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95,401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58,056</w:t>
            </w:r>
          </w:p>
        </w:tc>
      </w:tr>
      <w:tr>
        <w:trPr>
          <w:trHeight w:val="265"/>
        </w:trPr>
        <w:tc>
          <w:tcPr>
            <w:tcW w:w="8100" w:type="dxa"/>
            <w:vAlign w:val="bottom"/>
          </w:tcPr>
          <w:p>
            <w:pPr>
              <w:spacing w:after="0"/>
              <w:rPr>
                <w:sz w:val="20"/>
                <w:szCs w:val="20"/>
                <w:color w:val="auto"/>
              </w:rPr>
            </w:pPr>
            <w:r>
              <w:rPr>
                <w:rFonts w:ascii="Arial" w:cs="Arial" w:eastAsia="Arial" w:hAnsi="Arial"/>
                <w:sz w:val="22"/>
                <w:szCs w:val="22"/>
                <w:color w:val="auto"/>
              </w:rPr>
              <w:t>Cash, cash equivalents and restricted cash at end of period</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26,121</w:t>
            </w:r>
          </w:p>
        </w:tc>
        <w:tc>
          <w:tcPr>
            <w:tcW w:w="120" w:type="dxa"/>
            <w:vAlign w:val="bottom"/>
          </w:tcPr>
          <w:p>
            <w:pPr>
              <w:spacing w:after="0"/>
              <w:rPr>
                <w:sz w:val="23"/>
                <w:szCs w:val="23"/>
                <w:color w:val="auto"/>
              </w:rPr>
            </w:pP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39,424</w:t>
            </w:r>
          </w:p>
        </w:tc>
      </w:tr>
      <w:tr>
        <w:trPr>
          <w:trHeight w:val="21"/>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26"/>
        </w:trPr>
        <w:tc>
          <w:tcPr>
            <w:tcW w:w="810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52"/>
              <w:spacing w:after="0"/>
              <w:rPr>
                <w:sz w:val="20"/>
                <w:szCs w:val="20"/>
                <w:color w:val="auto"/>
              </w:rPr>
            </w:pPr>
            <w:r>
              <w:rPr>
                <w:rFonts w:ascii="Arial" w:cs="Arial" w:eastAsia="Arial" w:hAnsi="Arial"/>
                <w:sz w:val="22"/>
                <w:szCs w:val="22"/>
                <w:color w:val="auto"/>
              </w:rPr>
              <w:t>24,046</w:t>
            </w:r>
          </w:p>
        </w:tc>
        <w:tc>
          <w:tcPr>
            <w:tcW w:w="120" w:type="dxa"/>
            <w:vAlign w:val="bottom"/>
          </w:tcPr>
          <w:p>
            <w:pPr>
              <w:spacing w:after="0"/>
              <w:rPr>
                <w:sz w:val="24"/>
                <w:szCs w:val="24"/>
                <w:color w:val="auto"/>
              </w:rPr>
            </w:pPr>
          </w:p>
        </w:tc>
        <w:tc>
          <w:tcPr>
            <w:tcW w:w="4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72"/>
              <w:spacing w:after="0"/>
              <w:rPr>
                <w:sz w:val="20"/>
                <w:szCs w:val="20"/>
                <w:color w:val="auto"/>
              </w:rPr>
            </w:pPr>
            <w:r>
              <w:rPr>
                <w:rFonts w:ascii="Arial" w:cs="Arial" w:eastAsia="Arial" w:hAnsi="Arial"/>
                <w:sz w:val="22"/>
                <w:szCs w:val="22"/>
                <w:color w:val="auto"/>
              </w:rPr>
              <w:t>39,424</w:t>
            </w:r>
          </w:p>
        </w:tc>
      </w:tr>
      <w:tr>
        <w:trPr>
          <w:trHeight w:val="276"/>
        </w:trPr>
        <w:tc>
          <w:tcPr>
            <w:tcW w:w="8100" w:type="dxa"/>
            <w:vAlign w:val="bottom"/>
          </w:tcPr>
          <w:p>
            <w:pPr>
              <w:spacing w:after="0"/>
              <w:rPr>
                <w:sz w:val="20"/>
                <w:szCs w:val="20"/>
                <w:color w:val="auto"/>
              </w:rPr>
            </w:pPr>
            <w:r>
              <w:rPr>
                <w:rFonts w:ascii="Arial" w:cs="Arial" w:eastAsia="Arial" w:hAnsi="Arial"/>
                <w:sz w:val="22"/>
                <w:szCs w:val="22"/>
                <w:color w:val="auto"/>
              </w:rPr>
              <w:t>Restricted cash</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2,075</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r>
      <w:tr>
        <w:trPr>
          <w:trHeight w:val="265"/>
        </w:trPr>
        <w:tc>
          <w:tcPr>
            <w:tcW w:w="8100" w:type="dxa"/>
            <w:vAlign w:val="bottom"/>
          </w:tcPr>
          <w:p>
            <w:pPr>
              <w:spacing w:after="0"/>
              <w:rPr>
                <w:sz w:val="20"/>
                <w:szCs w:val="20"/>
                <w:color w:val="auto"/>
              </w:rPr>
            </w:pPr>
            <w:r>
              <w:rPr>
                <w:rFonts w:ascii="Arial" w:cs="Arial" w:eastAsia="Arial" w:hAnsi="Arial"/>
                <w:sz w:val="22"/>
                <w:szCs w:val="22"/>
                <w:color w:val="auto"/>
              </w:rPr>
              <w:t>Cash, cash equivalents and restricted cash</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26,121</w:t>
            </w:r>
          </w:p>
        </w:tc>
        <w:tc>
          <w:tcPr>
            <w:tcW w:w="120" w:type="dxa"/>
            <w:vAlign w:val="bottom"/>
          </w:tcPr>
          <w:p>
            <w:pPr>
              <w:spacing w:after="0"/>
              <w:rPr>
                <w:sz w:val="23"/>
                <w:szCs w:val="23"/>
                <w:color w:val="auto"/>
              </w:rPr>
            </w:pP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39,424</w:t>
            </w:r>
          </w:p>
        </w:tc>
      </w:tr>
      <w:tr>
        <w:trPr>
          <w:trHeight w:val="21"/>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ind w:left="3820"/>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ITEMIZED RECONCILIATION BETWEEN GAAP AND NON-GAAP NET LOSS</w:t>
      </w:r>
    </w:p>
    <w:p>
      <w:pPr>
        <w:spacing w:after="0" w:line="277" w:lineRule="exact"/>
        <w:rPr>
          <w:sz w:val="20"/>
          <w:szCs w:val="20"/>
          <w:color w:val="auto"/>
        </w:rPr>
      </w:pPr>
    </w:p>
    <w:tbl>
      <w:tblPr>
        <w:tblLayout w:type="fixed"/>
        <w:tblInd w:w="6580" w:type="dxa"/>
        <w:tblCellMar>
          <w:top w:w="0" w:type="dxa"/>
          <w:left w:w="0" w:type="dxa"/>
          <w:bottom w:w="0" w:type="dxa"/>
          <w:right w:w="0" w:type="dxa"/>
        </w:tblCellMar>
      </w:tblPr>
      <w:tr>
        <w:trPr>
          <w:trHeight w:val="253"/>
        </w:trPr>
        <w:tc>
          <w:tcPr>
            <w:tcW w:w="2520" w:type="dxa"/>
            <w:vAlign w:val="bottom"/>
            <w:gridSpan w:val="5"/>
          </w:tcPr>
          <w:p>
            <w:pPr>
              <w:jc w:val="center"/>
              <w:ind w:right="80"/>
              <w:spacing w:after="0"/>
              <w:rPr>
                <w:sz w:val="20"/>
                <w:szCs w:val="20"/>
                <w:color w:val="auto"/>
              </w:rPr>
            </w:pPr>
            <w:r>
              <w:rPr>
                <w:rFonts w:ascii="Arial" w:cs="Arial" w:eastAsia="Arial" w:hAnsi="Arial"/>
                <w:sz w:val="22"/>
                <w:szCs w:val="22"/>
                <w:b w:val="1"/>
                <w:bCs w:val="1"/>
                <w:color w:val="auto"/>
                <w:w w:val="90"/>
              </w:rPr>
              <w:t>Three Months Ended</w:t>
            </w:r>
          </w:p>
        </w:tc>
        <w:tc>
          <w:tcPr>
            <w:tcW w:w="2300" w:type="dxa"/>
            <w:vAlign w:val="bottom"/>
            <w:gridSpan w:val="4"/>
          </w:tcPr>
          <w:p>
            <w:pPr>
              <w:jc w:val="center"/>
              <w:spacing w:after="0"/>
              <w:rPr>
                <w:sz w:val="20"/>
                <w:szCs w:val="20"/>
                <w:color w:val="auto"/>
              </w:rPr>
            </w:pPr>
            <w:r>
              <w:rPr>
                <w:rFonts w:ascii="Arial" w:cs="Arial" w:eastAsia="Arial" w:hAnsi="Arial"/>
                <w:sz w:val="22"/>
                <w:szCs w:val="22"/>
                <w:b w:val="1"/>
                <w:bCs w:val="1"/>
                <w:color w:val="auto"/>
                <w:w w:val="88"/>
              </w:rPr>
              <w:t>Six Months Ended June</w:t>
            </w:r>
          </w:p>
        </w:tc>
      </w:tr>
      <w:tr>
        <w:trPr>
          <w:trHeight w:val="282"/>
        </w:trPr>
        <w:tc>
          <w:tcPr>
            <w:tcW w:w="800" w:type="dxa"/>
            <w:vAlign w:val="bottom"/>
          </w:tcPr>
          <w:p>
            <w:pPr>
              <w:spacing w:after="0"/>
              <w:rPr>
                <w:sz w:val="24"/>
                <w:szCs w:val="24"/>
                <w:color w:val="auto"/>
              </w:rPr>
            </w:pPr>
          </w:p>
        </w:tc>
        <w:tc>
          <w:tcPr>
            <w:tcW w:w="1720" w:type="dxa"/>
            <w:vAlign w:val="bottom"/>
            <w:gridSpan w:val="4"/>
          </w:tcPr>
          <w:p>
            <w:pPr>
              <w:jc w:val="center"/>
              <w:ind w:right="940"/>
              <w:spacing w:after="0"/>
              <w:rPr>
                <w:sz w:val="20"/>
                <w:szCs w:val="20"/>
                <w:color w:val="auto"/>
              </w:rPr>
            </w:pPr>
            <w:r>
              <w:rPr>
                <w:rFonts w:ascii="Arial" w:cs="Arial" w:eastAsia="Arial" w:hAnsi="Arial"/>
                <w:sz w:val="22"/>
                <w:szCs w:val="22"/>
                <w:b w:val="1"/>
                <w:bCs w:val="1"/>
                <w:color w:val="auto"/>
                <w:w w:val="88"/>
              </w:rPr>
              <w:t>June 30,</w:t>
            </w:r>
          </w:p>
        </w:tc>
        <w:tc>
          <w:tcPr>
            <w:tcW w:w="880" w:type="dxa"/>
            <w:vAlign w:val="bottom"/>
          </w:tcPr>
          <w:p>
            <w:pPr>
              <w:spacing w:after="0"/>
              <w:rPr>
                <w:sz w:val="24"/>
                <w:szCs w:val="24"/>
                <w:color w:val="auto"/>
              </w:rPr>
            </w:pPr>
          </w:p>
        </w:tc>
        <w:tc>
          <w:tcPr>
            <w:tcW w:w="1420" w:type="dxa"/>
            <w:vAlign w:val="bottom"/>
            <w:gridSpan w:val="3"/>
          </w:tcPr>
          <w:p>
            <w:pPr>
              <w:jc w:val="right"/>
              <w:ind w:right="932"/>
              <w:spacing w:after="0"/>
              <w:rPr>
                <w:sz w:val="20"/>
                <w:szCs w:val="20"/>
                <w:color w:val="auto"/>
              </w:rPr>
            </w:pPr>
            <w:r>
              <w:rPr>
                <w:rFonts w:ascii="Arial" w:cs="Arial" w:eastAsia="Arial" w:hAnsi="Arial"/>
                <w:sz w:val="22"/>
                <w:szCs w:val="22"/>
                <w:b w:val="1"/>
                <w:bCs w:val="1"/>
                <w:color w:val="auto"/>
              </w:rPr>
              <w:t>30,</w:t>
            </w:r>
          </w:p>
        </w:tc>
      </w:tr>
      <w:tr>
        <w:trPr>
          <w:trHeight w:val="265"/>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2019</w:t>
            </w:r>
          </w:p>
        </w:tc>
        <w:tc>
          <w:tcPr>
            <w:tcW w:w="36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b w:val="1"/>
                <w:bCs w:val="1"/>
                <w:color w:val="auto"/>
              </w:rPr>
              <w:t>2019</w:t>
            </w:r>
          </w:p>
        </w:tc>
        <w:tc>
          <w:tcPr>
            <w:tcW w:w="24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2018</w:t>
            </w:r>
          </w:p>
        </w:tc>
      </w:tr>
    </w:tbl>
    <w:p>
      <w:pPr>
        <w:sectPr>
          <w:pgSz w:w="11900" w:h="16838" w:orient="portrait"/>
          <w:cols w:equalWidth="0" w:num="1">
            <w:col w:w="11400"/>
          </w:cols>
          <w:pgMar w:left="260" w:top="118"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Net loss (GAAP)</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(13753)</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52"/>
              <w:spacing w:after="0"/>
              <w:rPr>
                <w:sz w:val="20"/>
                <w:szCs w:val="20"/>
                <w:color w:val="auto"/>
              </w:rPr>
            </w:pPr>
            <w:r>
              <w:rPr>
                <w:rFonts w:ascii="Arial" w:cs="Arial" w:eastAsia="Arial" w:hAnsi="Arial"/>
                <w:sz w:val="22"/>
                <w:szCs w:val="22"/>
                <w:color w:val="auto"/>
                <w:w w:val="97"/>
              </w:rPr>
              <w:t>(16,241)</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w w:val="92"/>
              </w:rPr>
              <w:t>(39,218)</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w w:val="92"/>
              </w:rPr>
              <w:t>(29,488)</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2,992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2,007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5,263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3,754</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5,600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5,600</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1,160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1,409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2,351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2,842</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Interest expense (b)</w:t>
            </w:r>
          </w:p>
        </w:tc>
        <w:tc>
          <w:tcPr>
            <w:tcW w:w="2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491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3,916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3,192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5,805</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24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(41)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2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9,000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6"/>
        </w:trPr>
        <w:tc>
          <w:tcPr>
            <w:tcW w:w="6580" w:type="dxa"/>
            <w:vAlign w:val="bottom"/>
          </w:tcPr>
          <w:p>
            <w:pPr>
              <w:spacing w:after="0"/>
              <w:rPr>
                <w:sz w:val="20"/>
                <w:szCs w:val="20"/>
                <w:color w:val="auto"/>
              </w:rPr>
            </w:pPr>
            <w:r>
              <w:rPr>
                <w:rFonts w:ascii="Arial" w:cs="Arial" w:eastAsia="Arial" w:hAnsi="Arial"/>
                <w:sz w:val="22"/>
                <w:szCs w:val="22"/>
                <w:color w:val="auto"/>
              </w:rPr>
              <w:t>Benefit from acquisition related income taxes (c)</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(742)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(711)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(1,484)</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(1,627)</w:t>
            </w:r>
          </w:p>
        </w:tc>
        <w:tc>
          <w:tcPr>
            <w:tcW w:w="0" w:type="dxa"/>
            <w:vAlign w:val="bottom"/>
          </w:tcPr>
          <w:p>
            <w:pPr>
              <w:spacing w:after="0"/>
              <w:rPr>
                <w:sz w:val="1"/>
                <w:szCs w:val="1"/>
                <w:color w:val="auto"/>
              </w:rPr>
            </w:pPr>
          </w:p>
        </w:tc>
      </w:tr>
      <w:tr>
        <w:trPr>
          <w:trHeight w:val="265"/>
        </w:trPr>
        <w:tc>
          <w:tcPr>
            <w:tcW w:w="6580" w:type="dxa"/>
            <w:vAlign w:val="bottom"/>
          </w:tcPr>
          <w:p>
            <w:pPr>
              <w:spacing w:after="0"/>
              <w:rPr>
                <w:sz w:val="20"/>
                <w:szCs w:val="20"/>
                <w:color w:val="auto"/>
              </w:rPr>
            </w:pPr>
            <w:r>
              <w:rPr>
                <w:rFonts w:ascii="Arial" w:cs="Arial" w:eastAsia="Arial" w:hAnsi="Arial"/>
                <w:sz w:val="22"/>
                <w:szCs w:val="22"/>
                <w:color w:val="auto"/>
              </w:rPr>
              <w:t>Net loss (Non-GAAP)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(7,093)</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(6,820)</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2"/>
              </w:rPr>
              <w:t>(15,267)</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2"/>
              </w:rPr>
              <w:t>(13,114)</w:t>
            </w:r>
          </w:p>
        </w:tc>
        <w:tc>
          <w:tcPr>
            <w:tcW w:w="0" w:type="dxa"/>
            <w:vAlign w:val="bottom"/>
          </w:tcPr>
          <w:p>
            <w:pPr>
              <w:spacing w:after="0"/>
              <w:rPr>
                <w:sz w:val="1"/>
                <w:szCs w:val="1"/>
                <w:color w:val="auto"/>
              </w:rPr>
            </w:pPr>
          </w:p>
        </w:tc>
      </w:tr>
      <w:tr>
        <w:trPr>
          <w:trHeight w:val="21"/>
        </w:trPr>
        <w:tc>
          <w:tcPr>
            <w:tcW w:w="6580" w:type="dxa"/>
            <w:vAlign w:val="bottom"/>
            <w:vMerge w:val="restart"/>
          </w:tcPr>
          <w:p>
            <w:pPr>
              <w:spacing w:after="0" w:line="242" w:lineRule="exact"/>
              <w:rPr>
                <w:sz w:val="20"/>
                <w:szCs w:val="20"/>
                <w:color w:val="auto"/>
              </w:rPr>
            </w:pPr>
            <w:r>
              <w:rPr>
                <w:rFonts w:ascii="Arial" w:cs="Arial" w:eastAsia="Arial" w:hAnsi="Arial"/>
                <w:sz w:val="22"/>
                <w:szCs w:val="22"/>
                <w:color w:val="auto"/>
                <w:w w:val="88"/>
              </w:rPr>
              <w:t>Shares used in net loss per share calculation - basic and diluted (GAAP and</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22"/>
                <w:szCs w:val="22"/>
                <w:color w:val="auto"/>
                <w:w w:val="98"/>
              </w:rPr>
              <w:t>69,158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restart"/>
          </w:tcPr>
          <w:p>
            <w:pPr>
              <w:jc w:val="right"/>
              <w:ind w:right="152"/>
              <w:spacing w:after="0"/>
              <w:rPr>
                <w:sz w:val="20"/>
                <w:szCs w:val="20"/>
                <w:color w:val="auto"/>
              </w:rPr>
            </w:pPr>
            <w:r>
              <w:rPr>
                <w:rFonts w:ascii="Arial" w:cs="Arial" w:eastAsia="Arial" w:hAnsi="Arial"/>
                <w:sz w:val="22"/>
                <w:szCs w:val="22"/>
                <w:color w:val="auto"/>
              </w:rPr>
              <w:t>39,003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22"/>
                <w:szCs w:val="22"/>
                <w:color w:val="auto"/>
                <w:w w:val="98"/>
              </w:rPr>
              <w:t>63,923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ind w:right="112"/>
              <w:spacing w:after="0"/>
              <w:rPr>
                <w:sz w:val="20"/>
                <w:szCs w:val="20"/>
                <w:color w:val="auto"/>
              </w:rPr>
            </w:pPr>
            <w:r>
              <w:rPr>
                <w:rFonts w:ascii="Arial" w:cs="Arial" w:eastAsia="Arial" w:hAnsi="Arial"/>
                <w:sz w:val="22"/>
                <w:szCs w:val="22"/>
                <w:color w:val="auto"/>
              </w:rPr>
              <w:t>38,930</w:t>
            </w:r>
          </w:p>
        </w:tc>
        <w:tc>
          <w:tcPr>
            <w:tcW w:w="0" w:type="dxa"/>
            <w:vAlign w:val="bottom"/>
          </w:tcPr>
          <w:p>
            <w:pPr>
              <w:spacing w:after="0"/>
              <w:rPr>
                <w:sz w:val="1"/>
                <w:szCs w:val="1"/>
                <w:color w:val="auto"/>
              </w:rPr>
            </w:pPr>
          </w:p>
        </w:tc>
      </w:tr>
      <w:tr>
        <w:trPr>
          <w:trHeight w:val="251"/>
        </w:trPr>
        <w:tc>
          <w:tcPr>
            <w:tcW w:w="6580" w:type="dxa"/>
            <w:vAlign w:val="bottom"/>
          </w:tcPr>
          <w:p>
            <w:pPr>
              <w:spacing w:after="0" w:line="251" w:lineRule="exact"/>
              <w:rPr>
                <w:sz w:val="20"/>
                <w:szCs w:val="20"/>
                <w:color w:val="auto"/>
              </w:rPr>
            </w:pPr>
            <w:r>
              <w:rPr>
                <w:rFonts w:ascii="Arial" w:cs="Arial" w:eastAsia="Arial" w:hAnsi="Arial"/>
                <w:sz w:val="22"/>
                <w:szCs w:val="22"/>
                <w:color w:val="auto"/>
              </w:rPr>
              <w:t>Non-GAAP)</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58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(0.20)</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(0.42)</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(0.61)</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(0.76)</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580" w:type="dxa"/>
            <w:vAlign w:val="bottom"/>
          </w:tcPr>
          <w:p>
            <w:pPr>
              <w:spacing w:after="0"/>
              <w:rPr>
                <w:sz w:val="20"/>
                <w:szCs w:val="20"/>
                <w:color w:val="auto"/>
              </w:rPr>
            </w:pPr>
            <w:r>
              <w:rPr>
                <w:rFonts w:ascii="Arial" w:cs="Arial" w:eastAsia="Arial" w:hAnsi="Arial"/>
                <w:sz w:val="22"/>
                <w:szCs w:val="22"/>
                <w:color w:val="auto"/>
              </w:rPr>
              <w:t>Net loss per share - basic and diluted (Non-GAAP)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(0.10)</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(0.17)</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(0.24)</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(0.34)</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040" w:type="dxa"/>
            <w:vAlign w:val="bottom"/>
            <w:gridSpan w:val="9"/>
          </w:tcPr>
          <w:p>
            <w:pPr>
              <w:jc w:val="right"/>
              <w:ind w:right="32"/>
              <w:spacing w:after="0"/>
              <w:rPr>
                <w:sz w:val="20"/>
                <w:szCs w:val="20"/>
                <w:color w:val="auto"/>
              </w:rPr>
            </w:pPr>
            <w:r>
              <w:rPr>
                <w:rFonts w:ascii="Arial" w:cs="Arial" w:eastAsia="Arial" w:hAnsi="Arial"/>
                <w:sz w:val="22"/>
                <w:szCs w:val="22"/>
                <w:b w:val="1"/>
                <w:bCs w:val="1"/>
                <w:color w:val="auto"/>
              </w:rPr>
              <w:t>ITEMIZED RECONCILIATION BETWEEN GAAP AND NON-GAAP GROSS MARGIN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03"/>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22"/>
                <w:szCs w:val="22"/>
                <w:b w:val="1"/>
                <w:bCs w:val="1"/>
                <w:color w:val="auto"/>
                <w:w w:val="90"/>
              </w:rPr>
              <w:t>Three Months Ended</w:t>
            </w:r>
          </w:p>
        </w:tc>
        <w:tc>
          <w:tcPr>
            <w:tcW w:w="2300" w:type="dxa"/>
            <w:vAlign w:val="bottom"/>
            <w:gridSpan w:val="6"/>
          </w:tcPr>
          <w:p>
            <w:pPr>
              <w:ind w:left="60"/>
              <w:spacing w:after="0"/>
              <w:rPr>
                <w:sz w:val="20"/>
                <w:szCs w:val="20"/>
                <w:color w:val="auto"/>
              </w:rPr>
            </w:pPr>
            <w:r>
              <w:rPr>
                <w:rFonts w:ascii="Arial" w:cs="Arial" w:eastAsia="Arial" w:hAnsi="Arial"/>
                <w:sz w:val="22"/>
                <w:szCs w:val="22"/>
                <w:b w:val="1"/>
                <w:bCs w:val="1"/>
                <w:color w:val="auto"/>
                <w:w w:val="89"/>
              </w:rPr>
              <w:t>Six Months Ended June</w:t>
            </w:r>
          </w:p>
        </w:tc>
      </w:tr>
      <w:tr>
        <w:trPr>
          <w:trHeight w:val="282"/>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22"/>
                <w:szCs w:val="22"/>
                <w:b w:val="1"/>
                <w:bCs w:val="1"/>
                <w:color w:val="auto"/>
                <w:w w:val="86"/>
              </w:rPr>
              <w:t>June 30,</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gridSpan w:val="3"/>
          </w:tcPr>
          <w:p>
            <w:pPr>
              <w:jc w:val="right"/>
              <w:ind w:right="32"/>
              <w:spacing w:after="0"/>
              <w:rPr>
                <w:sz w:val="20"/>
                <w:szCs w:val="20"/>
                <w:color w:val="auto"/>
              </w:rPr>
            </w:pPr>
            <w:r>
              <w:rPr>
                <w:rFonts w:ascii="Arial" w:cs="Arial" w:eastAsia="Arial" w:hAnsi="Arial"/>
                <w:sz w:val="22"/>
                <w:szCs w:val="22"/>
                <w:b w:val="1"/>
                <w:bCs w:val="1"/>
                <w:color w:val="auto"/>
              </w:rPr>
              <w:t>30,</w:t>
            </w:r>
          </w:p>
        </w:tc>
        <w:tc>
          <w:tcPr>
            <w:tcW w:w="880" w:type="dxa"/>
            <w:vAlign w:val="bottom"/>
          </w:tcPr>
          <w:p>
            <w:pPr>
              <w:spacing w:after="0"/>
              <w:rPr>
                <w:sz w:val="24"/>
                <w:szCs w:val="24"/>
                <w:color w:val="auto"/>
              </w:rPr>
            </w:pPr>
          </w:p>
        </w:tc>
      </w:tr>
      <w:tr>
        <w:trPr>
          <w:trHeight w:val="265"/>
        </w:trPr>
        <w:tc>
          <w:tcPr>
            <w:tcW w:w="65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2019</w:t>
            </w:r>
          </w:p>
        </w:tc>
        <w:tc>
          <w:tcPr>
            <w:tcW w:w="80" w:type="dxa"/>
            <w:vAlign w:val="bottom"/>
            <w:tcBorders>
              <w:top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rPr>
              <w:t>2019</w:t>
            </w:r>
          </w:p>
        </w:tc>
        <w:tc>
          <w:tcPr>
            <w:tcW w:w="18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r>
      <w:tr>
        <w:trPr>
          <w:trHeight w:val="256"/>
        </w:trPr>
        <w:tc>
          <w:tcPr>
            <w:tcW w:w="6580" w:type="dxa"/>
            <w:vAlign w:val="bottom"/>
          </w:tcPr>
          <w:p>
            <w:pPr>
              <w:spacing w:after="0"/>
              <w:rPr>
                <w:sz w:val="20"/>
                <w:szCs w:val="20"/>
                <w:color w:val="auto"/>
              </w:rPr>
            </w:pPr>
            <w:r>
              <w:rPr>
                <w:rFonts w:ascii="Arial" w:cs="Arial" w:eastAsia="Arial" w:hAnsi="Arial"/>
                <w:sz w:val="22"/>
                <w:szCs w:val="22"/>
                <w:color w:val="auto"/>
              </w:rPr>
              <w:t>Gross profit (GAAP)</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15,363</w:t>
            </w: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940" w:type="dxa"/>
            <w:vAlign w:val="bottom"/>
          </w:tcPr>
          <w:p>
            <w:pPr>
              <w:jc w:val="right"/>
              <w:ind w:right="152"/>
              <w:spacing w:after="0"/>
              <w:rPr>
                <w:sz w:val="20"/>
                <w:szCs w:val="20"/>
                <w:color w:val="auto"/>
              </w:rPr>
            </w:pPr>
            <w:r>
              <w:rPr>
                <w:rFonts w:ascii="Arial" w:cs="Arial" w:eastAsia="Arial" w:hAnsi="Arial"/>
                <w:sz w:val="22"/>
                <w:szCs w:val="22"/>
                <w:color w:val="auto"/>
                <w:w w:val="98"/>
              </w:rPr>
              <w:t>13,588</w:t>
            </w:r>
          </w:p>
        </w:tc>
        <w:tc>
          <w:tcPr>
            <w:tcW w:w="80" w:type="dxa"/>
            <w:vAlign w:val="bottom"/>
          </w:tcPr>
          <w:p>
            <w:pPr>
              <w:spacing w:after="0"/>
              <w:rPr>
                <w:sz w:val="22"/>
                <w:szCs w:val="22"/>
                <w:color w:val="auto"/>
              </w:rPr>
            </w:pPr>
          </w:p>
        </w:tc>
        <w:tc>
          <w:tcPr>
            <w:tcW w:w="240" w:type="dxa"/>
            <w:vAlign w:val="bottom"/>
          </w:tcPr>
          <w:p>
            <w:pPr>
              <w:ind w:left="80"/>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w w:val="92"/>
              </w:rPr>
              <w:t>32,353</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w w:val="95"/>
              </w:rPr>
              <w:t>27,016</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0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5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5,600</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5,600</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Depreciation and amortization (d)</w:t>
            </w:r>
          </w:p>
        </w:tc>
        <w:tc>
          <w:tcPr>
            <w:tcW w:w="20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444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52"/>
              <w:spacing w:after="0"/>
              <w:rPr>
                <w:sz w:val="20"/>
                <w:szCs w:val="20"/>
                <w:color w:val="auto"/>
              </w:rPr>
            </w:pPr>
            <w:r>
              <w:rPr>
                <w:rFonts w:ascii="Arial" w:cs="Arial" w:eastAsia="Arial" w:hAnsi="Arial"/>
                <w:sz w:val="22"/>
                <w:szCs w:val="22"/>
                <w:color w:val="auto"/>
              </w:rPr>
              <w:t>509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897</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1,019</w:t>
            </w:r>
          </w:p>
        </w:tc>
      </w:tr>
      <w:tr>
        <w:trPr>
          <w:trHeight w:val="276"/>
        </w:trPr>
        <w:tc>
          <w:tcPr>
            <w:tcW w:w="6580" w:type="dxa"/>
            <w:vAlign w:val="bottom"/>
          </w:tcPr>
          <w:p>
            <w:pPr>
              <w:spacing w:after="0"/>
              <w:rPr>
                <w:sz w:val="20"/>
                <w:szCs w:val="20"/>
                <w:color w:val="auto"/>
              </w:rPr>
            </w:pPr>
            <w:r>
              <w:rPr>
                <w:rFonts w:ascii="Arial" w:cs="Arial" w:eastAsia="Arial" w:hAnsi="Arial"/>
                <w:sz w:val="22"/>
                <w:szCs w:val="22"/>
                <w:color w:val="auto"/>
              </w:rPr>
              <w:t>Stock-based compensation expense (d)</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108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221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235</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425</w:t>
            </w:r>
          </w:p>
        </w:tc>
      </w:tr>
      <w:tr>
        <w:trPr>
          <w:trHeight w:val="265"/>
        </w:trPr>
        <w:tc>
          <w:tcPr>
            <w:tcW w:w="6580" w:type="dxa"/>
            <w:vAlign w:val="bottom"/>
          </w:tcPr>
          <w:p>
            <w:pPr>
              <w:spacing w:after="0"/>
              <w:rPr>
                <w:sz w:val="20"/>
                <w:szCs w:val="20"/>
                <w:color w:val="auto"/>
              </w:rPr>
            </w:pPr>
            <w:r>
              <w:rPr>
                <w:rFonts w:ascii="Arial" w:cs="Arial" w:eastAsia="Arial" w:hAnsi="Arial"/>
                <w:sz w:val="22"/>
                <w:szCs w:val="22"/>
                <w:color w:val="auto"/>
              </w:rPr>
              <w:t>Gross profit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18,715</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8"/>
              </w:rPr>
              <w:t>17,118</w:t>
            </w:r>
          </w:p>
        </w:tc>
        <w:tc>
          <w:tcPr>
            <w:tcW w:w="80" w:type="dxa"/>
            <w:vAlign w:val="bottom"/>
          </w:tcPr>
          <w:p>
            <w:pPr>
              <w:spacing w:after="0"/>
              <w:rPr>
                <w:sz w:val="23"/>
                <w:szCs w:val="23"/>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2"/>
              </w:rPr>
              <w:t>39,085</w:t>
            </w:r>
          </w:p>
        </w:tc>
        <w:tc>
          <w:tcPr>
            <w:tcW w:w="1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5"/>
              </w:rPr>
              <w:t>34,060</w:t>
            </w:r>
          </w:p>
        </w:tc>
      </w:tr>
      <w:tr>
        <w:trPr>
          <w:trHeight w:val="21"/>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Gross margin percentage (GAAP)</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54.5%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51.4%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55.5%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52.3%</w:t>
            </w:r>
          </w:p>
        </w:tc>
      </w:tr>
      <w:tr>
        <w:trPr>
          <w:trHeight w:val="275"/>
        </w:trPr>
        <w:tc>
          <w:tcPr>
            <w:tcW w:w="6580" w:type="dxa"/>
            <w:vAlign w:val="bottom"/>
          </w:tcPr>
          <w:p>
            <w:pPr>
              <w:spacing w:after="0"/>
              <w:rPr>
                <w:sz w:val="20"/>
                <w:szCs w:val="20"/>
                <w:color w:val="auto"/>
              </w:rPr>
            </w:pPr>
            <w:r>
              <w:rPr>
                <w:rFonts w:ascii="Arial" w:cs="Arial" w:eastAsia="Arial" w:hAnsi="Arial"/>
                <w:sz w:val="22"/>
                <w:szCs w:val="22"/>
                <w:color w:val="auto"/>
              </w:rPr>
              <w:t>Gross margin percentage (Non-GAAP)</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66.4%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64.8%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67.0%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65.9%</w:t>
            </w:r>
          </w:p>
        </w:tc>
      </w:tr>
      <w:tr>
        <w:trPr>
          <w:trHeight w:val="810"/>
        </w:trPr>
        <w:tc>
          <w:tcPr>
            <w:tcW w:w="10300" w:type="dxa"/>
            <w:vAlign w:val="bottom"/>
            <w:gridSpan w:val="10"/>
          </w:tcPr>
          <w:p>
            <w:pPr>
              <w:ind w:left="1100"/>
              <w:spacing w:after="0"/>
              <w:rPr>
                <w:sz w:val="20"/>
                <w:szCs w:val="20"/>
                <w:color w:val="auto"/>
              </w:rPr>
            </w:pPr>
            <w:r>
              <w:rPr>
                <w:rFonts w:ascii="Arial" w:cs="Arial" w:eastAsia="Arial" w:hAnsi="Arial"/>
                <w:sz w:val="22"/>
                <w:szCs w:val="22"/>
                <w:b w:val="1"/>
                <w:bCs w:val="1"/>
                <w:color w:val="auto"/>
                <w:w w:val="99"/>
              </w:rPr>
              <w:t>ITEMIZED RECONCILIATION BETWEEN GAAP AND NON-GAAP OPERATING EXPENSES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03"/>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22"/>
                <w:szCs w:val="22"/>
                <w:b w:val="1"/>
                <w:bCs w:val="1"/>
                <w:color w:val="auto"/>
                <w:w w:val="90"/>
              </w:rPr>
              <w:t>Three Months Ended</w:t>
            </w:r>
          </w:p>
        </w:tc>
        <w:tc>
          <w:tcPr>
            <w:tcW w:w="2300" w:type="dxa"/>
            <w:vAlign w:val="bottom"/>
            <w:gridSpan w:val="5"/>
          </w:tcPr>
          <w:p>
            <w:pPr>
              <w:ind w:left="60"/>
              <w:spacing w:after="0"/>
              <w:rPr>
                <w:sz w:val="20"/>
                <w:szCs w:val="20"/>
                <w:color w:val="auto"/>
              </w:rPr>
            </w:pPr>
            <w:r>
              <w:rPr>
                <w:rFonts w:ascii="Arial" w:cs="Arial" w:eastAsia="Arial" w:hAnsi="Arial"/>
                <w:sz w:val="22"/>
                <w:szCs w:val="22"/>
                <w:b w:val="1"/>
                <w:bCs w:val="1"/>
                <w:color w:val="auto"/>
                <w:w w:val="89"/>
              </w:rPr>
              <w:t>Six Months Ended June</w:t>
            </w:r>
          </w:p>
        </w:tc>
      </w:tr>
      <w:tr>
        <w:trPr>
          <w:trHeight w:val="282"/>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22"/>
                <w:szCs w:val="22"/>
                <w:b w:val="1"/>
                <w:bCs w:val="1"/>
                <w:color w:val="auto"/>
                <w:w w:val="86"/>
              </w:rPr>
              <w:t>June 30,</w:t>
            </w:r>
          </w:p>
        </w:tc>
        <w:tc>
          <w:tcPr>
            <w:tcW w:w="2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22"/>
                <w:szCs w:val="22"/>
                <w:b w:val="1"/>
                <w:bCs w:val="1"/>
                <w:color w:val="auto"/>
              </w:rPr>
              <w:t>30,</w:t>
            </w:r>
          </w:p>
        </w:tc>
        <w:tc>
          <w:tcPr>
            <w:tcW w:w="920" w:type="dxa"/>
            <w:vAlign w:val="bottom"/>
          </w:tcPr>
          <w:p>
            <w:pPr>
              <w:spacing w:after="0"/>
              <w:rPr>
                <w:sz w:val="24"/>
                <w:szCs w:val="24"/>
                <w:color w:val="auto"/>
              </w:rPr>
            </w:pPr>
          </w:p>
        </w:tc>
      </w:tr>
      <w:tr>
        <w:trPr>
          <w:trHeight w:val="265"/>
        </w:trPr>
        <w:tc>
          <w:tcPr>
            <w:tcW w:w="65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2019</w:t>
            </w: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2019</w:t>
            </w: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r>
      <w:tr>
        <w:trPr>
          <w:trHeight w:val="256"/>
        </w:trPr>
        <w:tc>
          <w:tcPr>
            <w:tcW w:w="6580" w:type="dxa"/>
            <w:vAlign w:val="bottom"/>
          </w:tcPr>
          <w:p>
            <w:pPr>
              <w:spacing w:after="0"/>
              <w:rPr>
                <w:sz w:val="20"/>
                <w:szCs w:val="20"/>
                <w:color w:val="auto"/>
              </w:rPr>
            </w:pPr>
            <w:r>
              <w:rPr>
                <w:rFonts w:ascii="Arial" w:cs="Arial" w:eastAsia="Arial" w:hAnsi="Arial"/>
                <w:sz w:val="22"/>
                <w:szCs w:val="22"/>
                <w:color w:val="auto"/>
              </w:rPr>
              <w:t>Operating expenses (GAAP)</w:t>
            </w: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29,999</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b w:val="1"/>
                <w:bCs w:val="1"/>
                <w:color w:val="auto"/>
                <w:w w:val="81"/>
              </w:rPr>
              <w:t>$</w:t>
            </w: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26,373</w:t>
            </w:r>
          </w:p>
        </w:tc>
        <w:tc>
          <w:tcPr>
            <w:tcW w:w="8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132"/>
              <w:spacing w:after="0"/>
              <w:rPr>
                <w:sz w:val="20"/>
                <w:szCs w:val="20"/>
                <w:color w:val="auto"/>
              </w:rPr>
            </w:pPr>
            <w:r>
              <w:rPr>
                <w:rFonts w:ascii="Arial" w:cs="Arial" w:eastAsia="Arial" w:hAnsi="Arial"/>
                <w:sz w:val="22"/>
                <w:szCs w:val="22"/>
                <w:color w:val="auto"/>
                <w:w w:val="98"/>
              </w:rPr>
              <w:t>61,195</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52,434</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2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(2,884)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22"/>
                <w:szCs w:val="22"/>
                <w:color w:val="auto"/>
              </w:rPr>
              <w:t>(1,786)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(5,028)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(3,329)</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(716)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22"/>
                <w:szCs w:val="22"/>
                <w:color w:val="auto"/>
              </w:rPr>
              <w:t>(900)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(1,454)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(1,823)</w:t>
            </w:r>
          </w:p>
        </w:tc>
      </w:tr>
      <w:tr>
        <w:trPr>
          <w:trHeight w:val="276"/>
        </w:trPr>
        <w:tc>
          <w:tcPr>
            <w:tcW w:w="658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41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r>
      <w:tr>
        <w:trPr>
          <w:trHeight w:val="265"/>
        </w:trPr>
        <w:tc>
          <w:tcPr>
            <w:tcW w:w="658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26,440</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23,687</w:t>
            </w:r>
          </w:p>
        </w:tc>
        <w:tc>
          <w:tcPr>
            <w:tcW w:w="80" w:type="dxa"/>
            <w:vAlign w:val="bottom"/>
          </w:tcPr>
          <w:p>
            <w:pPr>
              <w:spacing w:after="0"/>
              <w:rPr>
                <w:sz w:val="23"/>
                <w:szCs w:val="23"/>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8"/>
              </w:rPr>
              <w:t>54,684</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47,282</w:t>
            </w:r>
          </w:p>
        </w:tc>
      </w:tr>
      <w:tr>
        <w:trPr>
          <w:trHeight w:val="21"/>
        </w:trPr>
        <w:tc>
          <w:tcPr>
            <w:tcW w:w="65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73"/>
        </w:trPr>
        <w:tc>
          <w:tcPr>
            <w:tcW w:w="10480" w:type="dxa"/>
            <w:vAlign w:val="bottom"/>
            <w:gridSpan w:val="11"/>
          </w:tcPr>
          <w:p>
            <w:pPr>
              <w:ind w:left="980"/>
              <w:spacing w:after="0"/>
              <w:rPr>
                <w:sz w:val="20"/>
                <w:szCs w:val="20"/>
                <w:color w:val="auto"/>
              </w:rPr>
            </w:pPr>
            <w:r>
              <w:rPr>
                <w:rFonts w:ascii="Arial" w:cs="Arial" w:eastAsia="Arial" w:hAnsi="Arial"/>
                <w:sz w:val="22"/>
                <w:szCs w:val="22"/>
                <w:b w:val="1"/>
                <w:bCs w:val="1"/>
                <w:color w:val="auto"/>
                <w:w w:val="99"/>
              </w:rPr>
              <w:t>ITEMIZED RECONCILIATION BETWEEN GAAP AND NON-GAAP LOSS FROM OPERATIONS</w:t>
            </w:r>
          </w:p>
        </w:tc>
        <w:tc>
          <w:tcPr>
            <w:tcW w:w="920" w:type="dxa"/>
            <w:vAlign w:val="bottom"/>
          </w:tcPr>
          <w:p>
            <w:pPr>
              <w:spacing w:after="0"/>
              <w:rPr>
                <w:sz w:val="24"/>
                <w:szCs w:val="24"/>
                <w:color w:val="auto"/>
              </w:rPr>
            </w:pPr>
          </w:p>
        </w:tc>
      </w:tr>
      <w:tr>
        <w:trPr>
          <w:trHeight w:val="503"/>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22"/>
                <w:szCs w:val="22"/>
                <w:b w:val="1"/>
                <w:bCs w:val="1"/>
                <w:color w:val="auto"/>
                <w:w w:val="90"/>
              </w:rPr>
              <w:t>Three Months Ended</w:t>
            </w:r>
          </w:p>
        </w:tc>
        <w:tc>
          <w:tcPr>
            <w:tcW w:w="2300" w:type="dxa"/>
            <w:vAlign w:val="bottom"/>
            <w:gridSpan w:val="5"/>
          </w:tcPr>
          <w:p>
            <w:pPr>
              <w:ind w:left="60"/>
              <w:spacing w:after="0"/>
              <w:rPr>
                <w:sz w:val="20"/>
                <w:szCs w:val="20"/>
                <w:color w:val="auto"/>
              </w:rPr>
            </w:pPr>
            <w:r>
              <w:rPr>
                <w:rFonts w:ascii="Arial" w:cs="Arial" w:eastAsia="Arial" w:hAnsi="Arial"/>
                <w:sz w:val="22"/>
                <w:szCs w:val="22"/>
                <w:b w:val="1"/>
                <w:bCs w:val="1"/>
                <w:color w:val="auto"/>
                <w:w w:val="89"/>
              </w:rPr>
              <w:t>Six Months Ended June</w:t>
            </w:r>
          </w:p>
        </w:tc>
      </w:tr>
      <w:tr>
        <w:trPr>
          <w:trHeight w:val="282"/>
        </w:trPr>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22"/>
                <w:szCs w:val="22"/>
                <w:b w:val="1"/>
                <w:bCs w:val="1"/>
                <w:color w:val="auto"/>
                <w:w w:val="88"/>
              </w:rPr>
              <w:t>June 30,</w:t>
            </w:r>
          </w:p>
        </w:tc>
        <w:tc>
          <w:tcPr>
            <w:tcW w:w="200" w:type="dxa"/>
            <w:vAlign w:val="bottom"/>
          </w:tcPr>
          <w:p>
            <w:pPr>
              <w:spacing w:after="0"/>
              <w:rPr>
                <w:sz w:val="24"/>
                <w:szCs w:val="24"/>
                <w:color w:val="auto"/>
              </w:rPr>
            </w:pPr>
          </w:p>
        </w:tc>
        <w:tc>
          <w:tcPr>
            <w:tcW w:w="118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rPr>
              <w:t>30,</w:t>
            </w:r>
          </w:p>
        </w:tc>
        <w:tc>
          <w:tcPr>
            <w:tcW w:w="920" w:type="dxa"/>
            <w:vAlign w:val="bottom"/>
          </w:tcPr>
          <w:p>
            <w:pPr>
              <w:spacing w:after="0"/>
              <w:rPr>
                <w:sz w:val="24"/>
                <w:szCs w:val="24"/>
                <w:color w:val="auto"/>
              </w:rPr>
            </w:pPr>
          </w:p>
        </w:tc>
      </w:tr>
      <w:tr>
        <w:trPr>
          <w:trHeight w:val="265"/>
        </w:trPr>
        <w:tc>
          <w:tcPr>
            <w:tcW w:w="65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2019</w:t>
            </w: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2018</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2019</w:t>
            </w: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r>
      <w:tr>
        <w:trPr>
          <w:trHeight w:val="256"/>
        </w:trPr>
        <w:tc>
          <w:tcPr>
            <w:tcW w:w="6580" w:type="dxa"/>
            <w:vAlign w:val="bottom"/>
          </w:tcPr>
          <w:p>
            <w:pPr>
              <w:spacing w:after="0"/>
              <w:rPr>
                <w:sz w:val="20"/>
                <w:szCs w:val="20"/>
                <w:color w:val="auto"/>
              </w:rPr>
            </w:pPr>
            <w:r>
              <w:rPr>
                <w:rFonts w:ascii="Arial" w:cs="Arial" w:eastAsia="Arial" w:hAnsi="Arial"/>
                <w:sz w:val="22"/>
                <w:szCs w:val="22"/>
                <w:color w:val="auto"/>
              </w:rPr>
              <w:t>Loss from operations (GAAP)</w:t>
            </w: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960" w:type="dxa"/>
            <w:vAlign w:val="bottom"/>
          </w:tcPr>
          <w:p>
            <w:pPr>
              <w:jc w:val="right"/>
              <w:ind w:right="32"/>
              <w:spacing w:after="0"/>
              <w:rPr>
                <w:sz w:val="20"/>
                <w:szCs w:val="20"/>
                <w:color w:val="auto"/>
              </w:rPr>
            </w:pPr>
            <w:r>
              <w:rPr>
                <w:rFonts w:ascii="Arial" w:cs="Arial" w:eastAsia="Arial" w:hAnsi="Arial"/>
                <w:sz w:val="22"/>
                <w:szCs w:val="22"/>
                <w:color w:val="auto"/>
                <w:w w:val="97"/>
              </w:rPr>
              <w:t>(14,636)</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52"/>
              <w:spacing w:after="0"/>
              <w:rPr>
                <w:sz w:val="20"/>
                <w:szCs w:val="20"/>
                <w:color w:val="auto"/>
              </w:rPr>
            </w:pPr>
            <w:r>
              <w:rPr>
                <w:rFonts w:ascii="Arial" w:cs="Arial" w:eastAsia="Arial" w:hAnsi="Arial"/>
                <w:sz w:val="22"/>
                <w:szCs w:val="22"/>
                <w:color w:val="auto"/>
                <w:w w:val="97"/>
              </w:rPr>
              <w:t>(12,785)</w:t>
            </w:r>
          </w:p>
        </w:tc>
        <w:tc>
          <w:tcPr>
            <w:tcW w:w="80" w:type="dxa"/>
            <w:vAlign w:val="bottom"/>
          </w:tcPr>
          <w:p>
            <w:pPr>
              <w:spacing w:after="0"/>
              <w:rPr>
                <w:sz w:val="22"/>
                <w:szCs w:val="22"/>
                <w:color w:val="auto"/>
              </w:rPr>
            </w:pPr>
          </w:p>
        </w:tc>
        <w:tc>
          <w:tcPr>
            <w:tcW w:w="1120" w:type="dxa"/>
            <w:vAlign w:val="bottom"/>
            <w:gridSpan w:val="2"/>
          </w:tcPr>
          <w:p>
            <w:pPr>
              <w:jc w:val="right"/>
              <w:ind w:right="32"/>
              <w:spacing w:after="0"/>
              <w:rPr>
                <w:sz w:val="20"/>
                <w:szCs w:val="20"/>
                <w:color w:val="auto"/>
              </w:rPr>
            </w:pPr>
            <w:r>
              <w:rPr>
                <w:rFonts w:ascii="Arial" w:cs="Arial" w:eastAsia="Arial" w:hAnsi="Arial"/>
                <w:sz w:val="22"/>
                <w:szCs w:val="22"/>
                <w:color w:val="auto"/>
                <w:w w:val="95"/>
              </w:rPr>
              <w:t>$ (28,842)</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w w:val="92"/>
              </w:rPr>
              <w:t>(25,418)</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0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2,992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2,007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5,263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3,754</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0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5,600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5,600</w:t>
            </w:r>
          </w:p>
        </w:tc>
      </w:tr>
      <w:tr>
        <w:trPr>
          <w:trHeight w:val="270"/>
        </w:trPr>
        <w:tc>
          <w:tcPr>
            <w:tcW w:w="658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0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Arial" w:cs="Arial" w:eastAsia="Arial" w:hAnsi="Arial"/>
                <w:sz w:val="22"/>
                <w:szCs w:val="22"/>
                <w:color w:val="auto"/>
              </w:rPr>
              <w:t>1,160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1,409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2,351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22"/>
                <w:szCs w:val="22"/>
                <w:color w:val="auto"/>
              </w:rPr>
              <w:t>2,842</w:t>
            </w:r>
          </w:p>
        </w:tc>
      </w:tr>
      <w:tr>
        <w:trPr>
          <w:trHeight w:val="276"/>
        </w:trPr>
        <w:tc>
          <w:tcPr>
            <w:tcW w:w="658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r>
      <w:tr>
        <w:trPr>
          <w:trHeight w:val="265"/>
        </w:trPr>
        <w:tc>
          <w:tcPr>
            <w:tcW w:w="658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(7,725)</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(6,569)</w:t>
            </w:r>
          </w:p>
        </w:tc>
        <w:tc>
          <w:tcPr>
            <w:tcW w:w="80" w:type="dxa"/>
            <w:vAlign w:val="bottom"/>
          </w:tcPr>
          <w:p>
            <w:pPr>
              <w:spacing w:after="0"/>
              <w:rPr>
                <w:sz w:val="23"/>
                <w:szCs w:val="23"/>
                <w:color w:val="auto"/>
              </w:rPr>
            </w:pPr>
          </w:p>
        </w:tc>
        <w:tc>
          <w:tcPr>
            <w:tcW w:w="11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22"/>
                <w:szCs w:val="22"/>
                <w:color w:val="auto"/>
                <w:w w:val="95"/>
              </w:rPr>
              <w:t>$ (15,599)</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2"/>
              </w:rPr>
              <w:t>(13,222)</w:t>
            </w:r>
          </w:p>
        </w:tc>
      </w:tr>
      <w:tr>
        <w:trPr>
          <w:trHeight w:val="21"/>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300" w:hanging="298"/>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acquisition</w:t>
      </w:r>
    </w:p>
    <w:p>
      <w:pPr>
        <w:spacing w:after="0" w:line="21" w:lineRule="exact"/>
        <w:rPr>
          <w:rFonts w:ascii="Arial" w:cs="Arial" w:eastAsia="Arial" w:hAnsi="Arial"/>
          <w:sz w:val="22"/>
          <w:szCs w:val="22"/>
          <w:color w:val="auto"/>
        </w:rPr>
      </w:pPr>
    </w:p>
    <w:p>
      <w:pPr>
        <w:ind w:left="300" w:hanging="298"/>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interest expense, primarily on convertible debt</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ectPr>
          <w:pgSz w:w="11900" w:h="16838" w:orient="portrait"/>
          <w:cols w:equalWidth="0" w:num="1">
            <w:col w:w="11400"/>
          </w:cols>
          <w:pgMar w:left="260" w:top="388" w:right="239" w:bottom="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(e) represents expense associated with research and development, selling, general and administrative activities</w:t>
      </w:r>
    </w:p>
    <w:sectPr>
      <w:pgSz w:w="11900" w:h="16838" w:orient="portrait"/>
      <w:cols w:equalWidth="0" w:num="1">
        <w:col w:w="10199"/>
      </w:cols>
      <w:pgMar w:left="2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2019-12-28T09:05:55Z</dcterms:created>
  <dcterms:modified xsi:type="dcterms:W3CDTF">2019-12-28T09:05:55Z</dcterms:modified>
</cp:coreProperties>
</file>