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34385P108</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2016</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52" w:lineRule="exact"/>
        <w:rPr>
          <w:rFonts w:ascii="MS PGothic" w:cs="MS PGothic" w:eastAsia="MS PGothic" w:hAnsi="MS PGothic"/>
          <w:sz w:val="18"/>
          <w:szCs w:val="18"/>
          <w:color w:val="auto"/>
        </w:rPr>
      </w:pPr>
    </w:p>
    <w:p>
      <w:pPr>
        <w:ind w:left="460" w:right="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1" w:name="page2"/>
    <w:bookmarkEnd w:id="1"/>
    <w:p>
      <w:pPr>
        <w:ind w:left="300"/>
        <w:spacing w:after="0"/>
        <w:tabs>
          <w:tab w:leader="none" w:pos="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4922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492252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I.R.S. IDENTIFICATION NO.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Columbia Wanger Asset Management, LLC</w:t>
            </w:r>
          </w:p>
        </w:tc>
        <w:tc>
          <w:tcPr>
            <w:tcW w:w="6540" w:type="dxa"/>
            <w:vAlign w:val="bottom"/>
            <w:tcBorders>
              <w:bottom w:val="single" w:sz="8" w:color="auto"/>
            </w:tcBorders>
          </w:tcPr>
          <w:p>
            <w:pPr>
              <w:jc w:val="right"/>
              <w:ind w:right="4932"/>
              <w:spacing w:after="0"/>
              <w:rPr>
                <w:sz w:val="20"/>
                <w:szCs w:val="20"/>
                <w:color w:val="auto"/>
              </w:rPr>
            </w:pPr>
            <w:r>
              <w:rPr>
                <w:rFonts w:ascii="Arial" w:cs="Arial" w:eastAsia="Arial" w:hAnsi="Arial"/>
                <w:sz w:val="22"/>
                <w:szCs w:val="22"/>
                <w:color w:val="auto"/>
              </w:rPr>
              <w:t>04-3519872</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4"/>
                <w:szCs w:val="14"/>
                <w:color w:val="auto"/>
              </w:rPr>
            </w:pPr>
          </w:p>
        </w:tc>
        <w:tc>
          <w:tcPr>
            <w:tcW w:w="10940" w:type="dxa"/>
            <w:vAlign w:val="bottom"/>
            <w:gridSpan w:val="5"/>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320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4"/>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4400" w:type="dxa"/>
            <w:vAlign w:val="bottom"/>
            <w:gridSpan w:val="4"/>
          </w:tcPr>
          <w:p>
            <w:pPr>
              <w:ind w:left="120"/>
              <w:spacing w:after="0"/>
              <w:rPr>
                <w:sz w:val="20"/>
                <w:szCs w:val="20"/>
                <w:color w:val="auto"/>
              </w:rPr>
            </w:pPr>
            <w:r>
              <w:rPr>
                <w:rFonts w:ascii="Arial" w:cs="Arial" w:eastAsia="Arial" w:hAnsi="Arial"/>
                <w:sz w:val="18"/>
                <w:szCs w:val="18"/>
                <w:color w:val="auto"/>
              </w:rPr>
              <w:t>SEC USE ONLY</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9"/>
                <w:szCs w:val="19"/>
                <w:color w:val="auto"/>
              </w:rPr>
            </w:pPr>
          </w:p>
        </w:tc>
        <w:tc>
          <w:tcPr>
            <w:tcW w:w="440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Delaware</w:t>
            </w: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8"/>
              </w:rPr>
              <w:t>NUMBER OF</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Borders>
              <w:right w:val="single" w:sz="8" w:color="auto"/>
            </w:tcBorders>
          </w:tcPr>
          <w:p>
            <w:pPr>
              <w:spacing w:after="0"/>
              <w:rPr>
                <w:sz w:val="19"/>
                <w:szCs w:val="19"/>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1440" w:type="dxa"/>
            <w:vAlign w:val="bottom"/>
            <w:tcBorders>
              <w:right w:val="single" w:sz="8" w:color="auto"/>
            </w:tcBorders>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31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020" w:type="dxa"/>
            <w:vAlign w:val="bottom"/>
            <w:tcBorders>
              <w:right w:val="single" w:sz="8" w:color="auto"/>
            </w:tcBorders>
            <w:gridSpan w:val="2"/>
          </w:tcPr>
          <w:p>
            <w:pPr>
              <w:jc w:val="center"/>
              <w:ind w:right="184"/>
              <w:spacing w:after="0" w:line="157" w:lineRule="exact"/>
              <w:rPr>
                <w:sz w:val="20"/>
                <w:szCs w:val="20"/>
                <w:color w:val="auto"/>
              </w:rPr>
            </w:pPr>
            <w:r>
              <w:rPr>
                <w:rFonts w:ascii="Arial" w:cs="Arial" w:eastAsia="Arial" w:hAnsi="Arial"/>
                <w:sz w:val="18"/>
                <w:szCs w:val="18"/>
                <w:color w:val="auto"/>
                <w:w w:val="94"/>
              </w:rPr>
              <w:t>SHARES</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6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Borders>
              <w:right w:val="single" w:sz="8" w:color="auto"/>
            </w:tcBorders>
          </w:tcPr>
          <w:p>
            <w:pPr>
              <w:spacing w:after="0"/>
              <w:rPr>
                <w:sz w:val="20"/>
                <w:szCs w:val="20"/>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6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jc w:val="center"/>
              <w:ind w:right="264"/>
              <w:spacing w:after="0" w:line="182" w:lineRule="exact"/>
              <w:rPr>
                <w:sz w:val="20"/>
                <w:szCs w:val="20"/>
                <w:color w:val="auto"/>
              </w:rPr>
            </w:pPr>
            <w:r>
              <w:rPr>
                <w:rFonts w:ascii="Arial" w:cs="Arial" w:eastAsia="Arial" w:hAnsi="Arial"/>
                <w:sz w:val="18"/>
                <w:szCs w:val="18"/>
                <w:color w:val="auto"/>
                <w:w w:val="99"/>
              </w:rPr>
              <w:t>EACH</w:t>
            </w:r>
          </w:p>
        </w:tc>
        <w:tc>
          <w:tcPr>
            <w:tcW w:w="2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80" w:type="dxa"/>
            <w:vAlign w:val="bottom"/>
            <w:tcBorders>
              <w:right w:val="single" w:sz="8" w:color="auto"/>
            </w:tcBorders>
          </w:tcPr>
          <w:p>
            <w:pPr>
              <w:spacing w:after="0"/>
              <w:rPr>
                <w:sz w:val="15"/>
                <w:szCs w:val="15"/>
                <w:color w:val="auto"/>
              </w:rPr>
            </w:pPr>
          </w:p>
        </w:tc>
        <w:tc>
          <w:tcPr>
            <w:tcW w:w="312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6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4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PERSON WITH</w:t>
            </w: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440" w:type="dxa"/>
            <w:vAlign w:val="bottom"/>
            <w:tcBorders>
              <w:right w:val="single" w:sz="8" w:color="auto"/>
            </w:tcBorders>
            <w:gridSpan w:val="3"/>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Borders>
              <w:right w:val="single" w:sz="8" w:color="auto"/>
            </w:tcBorders>
          </w:tcPr>
          <w:p>
            <w:pPr>
              <w:spacing w:after="0"/>
              <w:rPr>
                <w:sz w:val="19"/>
                <w:szCs w:val="19"/>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gridSpan w:val="2"/>
          </w:tcPr>
          <w:p>
            <w:pPr>
              <w:spacing w:after="0"/>
              <w:rPr>
                <w:sz w:val="20"/>
                <w:szCs w:val="20"/>
                <w:color w:val="auto"/>
              </w:rPr>
            </w:pPr>
          </w:p>
        </w:tc>
        <w:tc>
          <w:tcPr>
            <w:tcW w:w="966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tcBorders>
              <w:right w:val="single" w:sz="8" w:color="auto"/>
            </w:tcBorders>
          </w:tcPr>
          <w:p>
            <w:pPr>
              <w:spacing w:after="0"/>
              <w:rPr>
                <w:sz w:val="19"/>
                <w:szCs w:val="19"/>
                <w:color w:val="auto"/>
              </w:rPr>
            </w:pPr>
          </w:p>
        </w:tc>
        <w:tc>
          <w:tcPr>
            <w:tcW w:w="1280" w:type="dxa"/>
            <w:vAlign w:val="bottom"/>
            <w:gridSpan w:val="3"/>
          </w:tcPr>
          <w:p>
            <w:pPr>
              <w:ind w:left="120"/>
              <w:spacing w:after="0"/>
              <w:rPr>
                <w:sz w:val="20"/>
                <w:szCs w:val="20"/>
                <w:color w:val="auto"/>
              </w:rPr>
            </w:pPr>
            <w:r>
              <w:rPr>
                <w:rFonts w:ascii="Arial" w:cs="Arial" w:eastAsia="Arial" w:hAnsi="Arial"/>
                <w:sz w:val="18"/>
                <w:szCs w:val="18"/>
                <w:color w:val="auto"/>
                <w:w w:val="98"/>
              </w:rPr>
              <w:t>AGGREGATE</w:t>
            </w:r>
          </w:p>
        </w:tc>
        <w:tc>
          <w:tcPr>
            <w:tcW w:w="966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66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Borders>
              <w:right w:val="single" w:sz="8" w:color="auto"/>
            </w:tcBorders>
          </w:tcPr>
          <w:p>
            <w:pPr>
              <w:spacing w:after="0"/>
              <w:rPr>
                <w:sz w:val="19"/>
                <w:szCs w:val="19"/>
                <w:color w:val="auto"/>
              </w:rPr>
            </w:pPr>
          </w:p>
        </w:tc>
        <w:tc>
          <w:tcPr>
            <w:tcW w:w="10940" w:type="dxa"/>
            <w:vAlign w:val="bottom"/>
            <w:gridSpan w:val="5"/>
          </w:tcPr>
          <w:p>
            <w:pPr>
              <w:ind w:left="1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94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40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Less than 5% (closing filing)</w:t>
            </w: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Borders>
              <w:right w:val="single" w:sz="8" w:color="auto"/>
            </w:tcBorders>
          </w:tcPr>
          <w:p>
            <w:pPr>
              <w:spacing w:after="0"/>
              <w:rPr>
                <w:sz w:val="19"/>
                <w:szCs w:val="19"/>
                <w:color w:val="auto"/>
              </w:rPr>
            </w:pPr>
          </w:p>
        </w:tc>
        <w:tc>
          <w:tcPr>
            <w:tcW w:w="4400" w:type="dxa"/>
            <w:vAlign w:val="bottom"/>
            <w:gridSpan w:val="4"/>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IA</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7"/>
          <w:szCs w:val="17"/>
          <w:color w:val="auto"/>
        </w:rPr>
        <w:t>This filing describes the reporting person’s relationship with other persons, but the reporting person does not affirm the existence of a group.</w:t>
      </w:r>
    </w:p>
    <w:p>
      <w:pPr>
        <w:sectPr>
          <w:pgSz w:w="11900" w:h="16838" w:orient="portrait"/>
          <w:cols w:equalWidth="0" w:num="1">
            <w:col w:w="11440"/>
          </w:cols>
          <w:pgMar w:left="240" w:top="283" w:right="21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Fluidigm Corporation</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7000 Shoreline Ct Ste 100.</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South San Francisco, CA 94080-7603</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United States</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Columbia Wanger Asset Management, LLC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227 West Monroe Street, Suite 3000, Chicago, IL 60606.</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Delaware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0219"/>
          </w:cols>
          <w:pgMar w:left="240" w:top="270" w:right="1440"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-206375</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740" w:space="400"/>
            <w:col w:w="10140"/>
          </w:cols>
          <w:pgMar w:left="240" w:top="270" w:right="379" w:bottom="1440" w:gutter="0" w:footer="0" w:header="0"/>
        </w:sectPr>
      </w:pPr>
    </w:p>
    <w:p>
      <w:pPr>
        <w:ind w:left="1140"/>
        <w:spacing w:after="0"/>
        <w:rPr>
          <w:sz w:val="20"/>
          <w:szCs w:val="20"/>
          <w:color w:val="auto"/>
        </w:rPr>
      </w:pPr>
      <w:r>
        <w:rPr>
          <w:rFonts w:ascii="Arial" w:cs="Arial" w:eastAsia="Arial" w:hAnsi="Arial"/>
          <w:sz w:val="16"/>
          <w:szCs w:val="16"/>
          <w:color w:val="auto"/>
        </w:rPr>
        <w:t>34385P108</w:t>
      </w:r>
    </w:p>
    <w:p>
      <w:pPr>
        <w:sectPr>
          <w:pgSz w:w="11900" w:h="16838" w:orient="portrait"/>
          <w:cols w:equalWidth="0" w:num="1">
            <w:col w:w="11280"/>
          </w:cols>
          <w:pgMar w:left="240" w:top="270" w:right="37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Rule 13d-1(b), or 13d-2(b) or (c), Check Whether the Person Filing is a:</w:t>
      </w:r>
    </w:p>
    <w:p>
      <w:pPr>
        <w:spacing w:after="0" w:line="144" w:lineRule="exact"/>
        <w:rPr>
          <w:sz w:val="20"/>
          <w:szCs w:val="20"/>
          <w:color w:val="auto"/>
        </w:rPr>
      </w:pPr>
    </w:p>
    <w:p>
      <w:pPr>
        <w:sectPr>
          <w:pgSz w:w="11900" w:h="16838" w:orient="portrait"/>
          <w:cols w:equalWidth="0" w:num="2">
            <w:col w:w="540" w:space="600"/>
            <w:col w:w="10140"/>
          </w:cols>
          <w:pgMar w:left="240" w:top="270" w:right="3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Columbia Wanger Asset Management, LLC is an investment adviser in accordance with rule 13d-1(b)(1)(ii)(E).</w:t>
      </w:r>
    </w:p>
    <w:p>
      <w:pPr>
        <w:sectPr>
          <w:pgSz w:w="11900" w:h="16838" w:orient="portrait"/>
          <w:cols w:equalWidth="0" w:num="1">
            <w:col w:w="11280"/>
          </w:cols>
          <w:pgMar w:left="240" w:top="270" w:right="37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144" w:lineRule="exact"/>
        <w:rPr>
          <w:sz w:val="20"/>
          <w:szCs w:val="20"/>
          <w:color w:val="auto"/>
        </w:rPr>
      </w:pPr>
    </w:p>
    <w:p>
      <w:pPr>
        <w:sectPr>
          <w:pgSz w:w="11900" w:h="16838" w:orient="portrait"/>
          <w:cols w:equalWidth="0" w:num="2">
            <w:col w:w="540" w:space="600"/>
            <w:col w:w="10140"/>
          </w:cols>
          <w:pgMar w:left="240" w:top="270" w:right="379" w:bottom="1440" w:gutter="0" w:footer="0" w:header="0"/>
          <w:type w:val="continuous"/>
        </w:sectPr>
      </w:pPr>
    </w:p>
    <w:p>
      <w:pPr>
        <w:ind w:left="1140" w:right="100"/>
        <w:spacing w:after="0" w:line="277"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62" w:lineRule="exact"/>
        <w:rPr>
          <w:sz w:val="20"/>
          <w:szCs w:val="20"/>
          <w:color w:val="auto"/>
        </w:rPr>
      </w:pPr>
    </w:p>
    <w:p>
      <w:pPr>
        <w:jc w:val="both"/>
        <w:ind w:left="1140" w:right="200"/>
        <w:spacing w:after="0" w:line="312" w:lineRule="auto"/>
        <w:rPr>
          <w:sz w:val="20"/>
          <w:szCs w:val="20"/>
          <w:color w:val="auto"/>
        </w:rPr>
      </w:pPr>
      <w:r>
        <w:rPr>
          <w:rFonts w:ascii="Arial" w:cs="Arial" w:eastAsia="Arial" w:hAnsi="Arial"/>
          <w:sz w:val="16"/>
          <w:szCs w:val="16"/>
          <w:color w:val="auto"/>
        </w:rPr>
        <w:t>Columbia Wanger Asset Management, LLC (CWAM) does not directly own any shares of common stock of the issuer. As the investment adviser of various unregistered and registered investment companies and other managed accounts, CWAM may be deemed to beneficially own the shares reported herein. CWAM disclaims beneficial ownership of any shares reported on this Schedule.</w:t>
      </w:r>
    </w:p>
    <w:p>
      <w:pPr>
        <w:sectPr>
          <w:pgSz w:w="11900" w:h="16838" w:orient="portrait"/>
          <w:cols w:equalWidth="0" w:num="1">
            <w:col w:w="11280"/>
          </w:cols>
          <w:pgMar w:left="240" w:top="270" w:right="37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5 Percent or Less of a Class:</w:t>
      </w:r>
    </w:p>
    <w:p>
      <w:pPr>
        <w:spacing w:after="0" w:line="144" w:lineRule="exact"/>
        <w:rPr>
          <w:sz w:val="20"/>
          <w:szCs w:val="20"/>
          <w:color w:val="auto"/>
        </w:rPr>
      </w:pPr>
    </w:p>
    <w:p>
      <w:pPr>
        <w:sectPr>
          <w:pgSz w:w="11900" w:h="16838" w:orient="portrait"/>
          <w:cols w:equalWidth="0" w:num="2">
            <w:col w:w="540" w:space="600"/>
            <w:col w:w="10140"/>
          </w:cols>
          <w:pgMar w:left="240" w:top="270" w:right="379" w:bottom="1440" w:gutter="0" w:footer="0" w:header="0"/>
          <w:type w:val="continuous"/>
        </w:sectPr>
      </w:pPr>
    </w:p>
    <w:p>
      <w:pPr>
        <w:ind w:left="1140" w:right="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280"/>
          </w:cols>
          <w:pgMar w:left="240" w:top="270" w:right="379" w:bottom="1440" w:gutter="0" w:footer="0" w:header="0"/>
          <w:type w:val="continuous"/>
        </w:sect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or More than Five Percent on Behalf of Another Person:</w:t>
      </w:r>
    </w:p>
    <w:p>
      <w:pPr>
        <w:spacing w:after="0" w:line="144" w:lineRule="exact"/>
        <w:rPr>
          <w:sz w:val="20"/>
          <w:szCs w:val="20"/>
          <w:color w:val="auto"/>
        </w:rPr>
      </w:pPr>
    </w:p>
    <w:p>
      <w:pPr>
        <w:sectPr>
          <w:pgSz w:w="11900" w:h="16838" w:orient="portrait"/>
          <w:cols w:equalWidth="0" w:num="2">
            <w:col w:w="540" w:space="600"/>
            <w:col w:w="10140"/>
          </w:cols>
          <w:pgMar w:left="240" w:top="270" w:right="37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80"/>
          </w:cols>
          <w:pgMar w:left="240" w:top="270" w:right="37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ectPr>
          <w:pgSz w:w="11900" w:h="16838" w:orient="portrait"/>
          <w:cols w:equalWidth="0" w:num="2">
            <w:col w:w="540" w:space="600"/>
            <w:col w:w="10140"/>
          </w:cols>
          <w:pgMar w:left="240" w:top="270" w:right="37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80"/>
          </w:cols>
          <w:pgMar w:left="240" w:top="270" w:right="37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40" w:space="600"/>
            <w:col w:w="10140"/>
          </w:cols>
          <w:pgMar w:left="240" w:top="270" w:right="37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80"/>
          </w:cols>
          <w:pgMar w:left="240" w:top="270" w:right="37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40" w:space="600"/>
            <w:col w:w="10140"/>
          </w:cols>
          <w:pgMar w:left="240" w:top="270" w:right="37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80"/>
          </w:cols>
          <w:pgMar w:left="240" w:top="270" w:right="379" w:bottom="1440" w:gutter="0" w:footer="0" w:header="0"/>
          <w:type w:val="continuous"/>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7, 2016</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Joseph C. LaPalm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Joseph C. LaPalm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Compliance Officer</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2019-12-07T15:13:00Z</dcterms:created>
  <dcterms:modified xsi:type="dcterms:W3CDTF">2019-12-07T15:13:00Z</dcterms:modified>
</cp:coreProperties>
</file>