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 w:lineRule="exact"/>
        <w:rPr>
          <w:rFonts w:ascii="MS PGothic" w:cs="MS PGothic" w:eastAsia="MS PGothic" w:hAnsi="MS PGothic"/>
          <w:sz w:val="17"/>
          <w:szCs w:val="17"/>
          <w:color w:val="auto"/>
        </w:rPr>
      </w:pPr>
    </w:p>
    <w:p>
      <w:pPr>
        <w:ind w:left="3760"/>
        <w:spacing w:after="0"/>
        <w:rPr>
          <w:rFonts w:ascii="MS PGothic" w:cs="MS PGothic" w:eastAsia="MS PGothic" w:hAnsi="MS PGothic"/>
          <w:sz w:val="17"/>
          <w:szCs w:val="17"/>
          <w:color w:val="auto"/>
        </w:rPr>
      </w:pPr>
      <w:r>
        <w:rPr>
          <w:rFonts w:ascii="Arial" w:cs="Arial" w:eastAsia="Arial" w:hAnsi="Arial"/>
          <w:sz w:val="22"/>
          <w:szCs w:val="22"/>
          <w:b w:val="1"/>
          <w:bCs w:val="1"/>
          <w:color w:val="auto"/>
        </w:rPr>
        <w:t>For the quarterly period ended June 30, 2020</w:t>
      </w:r>
    </w:p>
    <w:p>
      <w:pPr>
        <w:jc w:val="center"/>
        <w:ind w:right="-59"/>
        <w:spacing w:after="0" w:line="232" w:lineRule="auto"/>
        <w:rPr>
          <w:sz w:val="20"/>
          <w:szCs w:val="20"/>
          <w:color w:val="auto"/>
        </w:rPr>
      </w:pPr>
      <w:r>
        <w:rPr>
          <w:rFonts w:ascii="Arial" w:cs="Arial" w:eastAsia="Arial" w:hAnsi="Arial"/>
          <w:sz w:val="22"/>
          <w:szCs w:val="22"/>
          <w:b w:val="1"/>
          <w:bCs w:val="1"/>
          <w:color w:val="auto"/>
        </w:rPr>
        <w:t>or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00"/>
          </w:cols>
          <w:pgMar w:left="320" w:top="1179" w:right="379" w:bottom="1440" w:gutter="0" w:footer="0" w:header="0"/>
        </w:sectPr>
      </w:pPr>
    </w:p>
    <w:p>
      <w:pPr>
        <w:spacing w:after="0" w:line="34" w:lineRule="exact"/>
        <w:rPr>
          <w:sz w:val="24"/>
          <w:szCs w:val="24"/>
          <w:color w:val="auto"/>
        </w:rPr>
      </w:pPr>
    </w:p>
    <w:p>
      <w:pPr>
        <w:ind w:left="376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28" w:lineRule="exact"/>
        <w:rPr>
          <w:sz w:val="24"/>
          <w:szCs w:val="24"/>
          <w:color w:val="auto"/>
        </w:rPr>
      </w:pPr>
    </w:p>
    <w:p>
      <w:pPr>
        <w:sectPr>
          <w:pgSz w:w="11900" w:h="16838" w:orient="portrait"/>
          <w:cols w:equalWidth="0" w:num="2">
            <w:col w:w="6580" w:space="720"/>
            <w:col w:w="3900"/>
          </w:cols>
          <w:pgMar w:left="320" w:top="1179" w:right="379" w:bottom="1440" w:gutter="0" w:footer="0" w:header="0"/>
          <w:type w:val="continuous"/>
        </w:sectPr>
      </w:pPr>
    </w:p>
    <w:p>
      <w:pPr>
        <w:ind w:left="4000"/>
        <w:spacing w:after="0"/>
        <w:rPr>
          <w:sz w:val="20"/>
          <w:szCs w:val="20"/>
          <w:color w:val="auto"/>
        </w:rPr>
      </w:pPr>
      <w:r>
        <w:rPr>
          <w:rFonts w:ascii="Arial" w:cs="Arial" w:eastAsia="Arial" w:hAnsi="Arial"/>
          <w:sz w:val="12"/>
          <w:szCs w:val="12"/>
          <w:color w:val="auto"/>
        </w:rPr>
        <w:t>_____________________________________________</w:t>
      </w:r>
    </w:p>
    <w:p>
      <w:pPr>
        <w:sectPr>
          <w:pgSz w:w="11900" w:h="16838" w:orient="portrait"/>
          <w:cols w:equalWidth="0" w:num="1">
            <w:col w:w="11200"/>
          </w:cols>
          <w:pgMar w:left="320" w:top="1179" w:right="379" w:bottom="1440" w:gutter="0" w:footer="0" w:header="0"/>
          <w:type w:val="continuous"/>
        </w:sectPr>
      </w:pP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147955</wp:posOffset>
            </wp:positionV>
            <wp:extent cx="214312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0"/>
          </w:cols>
          <w:pgMar w:left="320" w:top="1179" w:right="379" w:bottom="1440" w:gutter="0" w:footer="0" w:header="0"/>
          <w:type w:val="continuous"/>
        </w:sectPr>
      </w:pPr>
    </w:p>
    <w:p>
      <w:pPr>
        <w:spacing w:after="0" w:line="124" w:lineRule="exact"/>
        <w:rPr>
          <w:sz w:val="24"/>
          <w:szCs w:val="24"/>
          <w:color w:val="auto"/>
        </w:rPr>
      </w:pPr>
    </w:p>
    <w:p>
      <w:pPr>
        <w:ind w:left="26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95" w:lineRule="exact"/>
        <w:rPr>
          <w:sz w:val="24"/>
          <w:szCs w:val="24"/>
          <w:color w:val="auto"/>
        </w:rPr>
      </w:pPr>
    </w:p>
    <w:p>
      <w:pPr>
        <w:sectPr>
          <w:pgSz w:w="11900" w:h="16838" w:orient="portrait"/>
          <w:cols w:equalWidth="0" w:num="2">
            <w:col w:w="7200" w:space="720"/>
            <w:col w:w="3280"/>
          </w:cols>
          <w:pgMar w:left="320" w:top="1179" w:right="379" w:bottom="1440" w:gutter="0" w:footer="0" w:header="0"/>
          <w:type w:val="continuous"/>
        </w:sectPr>
      </w:pPr>
    </w:p>
    <w:p>
      <w:pPr>
        <w:ind w:left="11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97" w:lineRule="exact"/>
        <w:rPr>
          <w:sz w:val="24"/>
          <w:szCs w:val="24"/>
          <w:color w:val="auto"/>
        </w:rPr>
      </w:pPr>
    </w:p>
    <w:p>
      <w:pPr>
        <w:sectPr>
          <w:pgSz w:w="11900" w:h="16838" w:orient="portrait"/>
          <w:cols w:equalWidth="0" w:num="2">
            <w:col w:w="6500" w:space="720"/>
            <w:col w:w="3980"/>
          </w:cols>
          <w:pgMar w:left="320" w:top="1179" w:right="379" w:bottom="1440" w:gutter="0" w:footer="0" w:header="0"/>
          <w:type w:val="continuous"/>
        </w:sectPr>
      </w:pPr>
    </w:p>
    <w:p>
      <w:pPr>
        <w:spacing w:after="0" w:line="27" w:lineRule="exact"/>
        <w:rPr>
          <w:sz w:val="24"/>
          <w:szCs w:val="24"/>
          <w:color w:val="auto"/>
        </w:rPr>
      </w:pPr>
    </w:p>
    <w:p>
      <w:pPr>
        <w:ind w:left="820"/>
        <w:spacing w:after="0"/>
        <w:rPr>
          <w:sz w:val="20"/>
          <w:szCs w:val="20"/>
          <w:color w:val="auto"/>
        </w:rPr>
      </w:pPr>
      <w:r>
        <w:rPr>
          <w:rFonts w:ascii="Arial" w:cs="Arial" w:eastAsia="Arial" w:hAnsi="Arial"/>
          <w:sz w:val="15"/>
          <w:szCs w:val="15"/>
          <w:b w:val="1"/>
          <w:bCs w:val="1"/>
          <w:color w:val="auto"/>
        </w:rPr>
        <w:t>2 Tower Place, Ste 2000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South San Francisco,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w:t>
      </w:r>
    </w:p>
    <w:p>
      <w:pPr>
        <w:spacing w:after="0" w:line="20" w:lineRule="exact"/>
        <w:rPr>
          <w:sz w:val="24"/>
          <w:szCs w:val="24"/>
          <w:color w:val="auto"/>
        </w:rPr>
      </w:pPr>
      <w:r>
        <w:rPr>
          <w:sz w:val="24"/>
          <w:szCs w:val="24"/>
          <w:color w:val="auto"/>
        </w:rPr>
        <w:br w:type="column"/>
      </w:r>
    </w:p>
    <w:p>
      <w:pPr>
        <w:jc w:val="center"/>
        <w:ind w:right="2620"/>
        <w:spacing w:after="0"/>
        <w:rPr>
          <w:sz w:val="20"/>
          <w:szCs w:val="20"/>
          <w:color w:val="auto"/>
        </w:rPr>
      </w:pPr>
      <w:r>
        <w:rPr>
          <w:rFonts w:ascii="Arial" w:cs="Arial" w:eastAsia="Arial" w:hAnsi="Arial"/>
          <w:sz w:val="16"/>
          <w:szCs w:val="16"/>
          <w:b w:val="1"/>
          <w:bCs w:val="1"/>
          <w:color w:val="auto"/>
        </w:rPr>
        <w:t>94080</w:t>
      </w:r>
    </w:p>
    <w:p>
      <w:pPr>
        <w:spacing w:after="0" w:line="94" w:lineRule="exact"/>
        <w:rPr>
          <w:sz w:val="24"/>
          <w:szCs w:val="24"/>
          <w:color w:val="auto"/>
        </w:rPr>
      </w:pPr>
    </w:p>
    <w:p>
      <w:pPr>
        <w:sectPr>
          <w:pgSz w:w="11900" w:h="16838" w:orient="portrait"/>
          <w:cols w:equalWidth="0" w:num="4">
            <w:col w:w="2620" w:space="600"/>
            <w:col w:w="1640" w:space="220"/>
            <w:col w:w="2320" w:space="720"/>
            <w:col w:w="3080"/>
          </w:cols>
          <w:pgMar w:left="320" w:top="1179" w:right="379"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143" w:lineRule="exact"/>
        <w:rPr>
          <w:sz w:val="24"/>
          <w:szCs w:val="24"/>
          <w:color w:val="auto"/>
        </w:rPr>
      </w:pPr>
    </w:p>
    <w:p>
      <w:pPr>
        <w:sectPr>
          <w:pgSz w:w="11900" w:h="16838" w:orient="portrait"/>
          <w:cols w:equalWidth="0" w:num="2">
            <w:col w:w="7320" w:space="720"/>
            <w:col w:w="3160"/>
          </w:cols>
          <w:pgMar w:left="320" w:top="1179"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(650) 266-6000</w:t>
      </w:r>
    </w:p>
    <w:p>
      <w:pPr>
        <w:spacing w:after="0" w:line="4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1179" w:right="379" w:bottom="1440" w:gutter="0" w:footer="0" w:header="0"/>
          <w:type w:val="continuous"/>
        </w:sectPr>
      </w:pPr>
    </w:p>
    <w:p>
      <w:pPr>
        <w:spacing w:after="0" w:line="137" w:lineRule="exact"/>
        <w:rPr>
          <w:sz w:val="24"/>
          <w:szCs w:val="24"/>
          <w:color w:val="auto"/>
        </w:rPr>
      </w:pPr>
    </w:p>
    <w:p>
      <w:pPr>
        <w:ind w:left="176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2"/>
          <w:szCs w:val="12"/>
          <w:color w:val="auto"/>
        </w:rPr>
        <w:t>Name of each exchange on which registered</w:t>
      </w:r>
    </w:p>
    <w:p>
      <w:pPr>
        <w:spacing w:after="0" w:line="64" w:lineRule="exact"/>
        <w:rPr>
          <w:sz w:val="24"/>
          <w:szCs w:val="24"/>
          <w:color w:val="auto"/>
        </w:rPr>
      </w:pPr>
    </w:p>
    <w:p>
      <w:pPr>
        <w:sectPr>
          <w:pgSz w:w="11900" w:h="16838" w:orient="portrait"/>
          <w:cols w:equalWidth="0" w:num="3">
            <w:col w:w="4280" w:space="720"/>
            <w:col w:w="1800" w:space="720"/>
            <w:col w:w="3680"/>
          </w:cols>
          <w:pgMar w:left="320" w:top="1179" w:right="379" w:bottom="1440" w:gutter="0" w:footer="0" w:header="0"/>
          <w:type w:val="continuous"/>
        </w:sectPr>
      </w:pPr>
    </w:p>
    <w:p>
      <w:pPr>
        <w:ind w:left="62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FLDM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222" w:lineRule="exact"/>
        <w:rPr>
          <w:sz w:val="24"/>
          <w:szCs w:val="24"/>
          <w:color w:val="auto"/>
        </w:rPr>
      </w:pPr>
    </w:p>
    <w:p>
      <w:pPr>
        <w:sectPr>
          <w:pgSz w:w="11900" w:h="16838" w:orient="portrait"/>
          <w:cols w:equalWidth="0" w:num="3">
            <w:col w:w="4560" w:space="720"/>
            <w:col w:w="1500" w:space="720"/>
            <w:col w:w="3700"/>
          </w:cols>
          <w:pgMar w:left="320" w:top="1179" w:right="379" w:bottom="1440" w:gutter="0" w:footer="0" w:header="0"/>
          <w:type w:val="continuous"/>
        </w:sectPr>
      </w:pP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6"/>
          <w:szCs w:val="16"/>
          <w:color w:val="auto"/>
        </w:rPr>
        <w:t>ct.</w:t>
      </w:r>
    </w:p>
    <w:p>
      <w:pPr>
        <w:spacing w:after="0" w:line="164" w:lineRule="exact"/>
        <w:rPr>
          <w:sz w:val="24"/>
          <w:szCs w:val="24"/>
          <w:color w:val="auto"/>
        </w:rPr>
      </w:pPr>
    </w:p>
    <w:tbl>
      <w:tblPr>
        <w:tblLayout w:type="fixed"/>
        <w:tblInd w:w="12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80" w:type="dxa"/>
            <w:vAlign w:val="bottom"/>
          </w:tcPr>
          <w:p>
            <w:pPr>
              <w:ind w:left="120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4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340" w:right="188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2020, there were 71,316,370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9"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PART I.</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rPr>
              <w:t>FINANCIAL INFORMATION</w:t>
            </w:r>
          </w:p>
        </w:tc>
        <w:tc>
          <w:tcPr>
            <w:tcW w:w="3360" w:type="dxa"/>
            <w:vAlign w:val="bottom"/>
            <w:gridSpan w:val="3"/>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96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12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8960" w:type="dxa"/>
            <w:vAlign w:val="bottom"/>
            <w:gridSpan w:val="17"/>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Condensed Consolidated Balance Sheets as of June 30, 2020 and December 31, 2019</w:t>
              </w:r>
            </w:hyperlink>
          </w:p>
        </w:tc>
        <w:tc>
          <w:tcPr>
            <w:tcW w:w="12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8960" w:type="dxa"/>
            <w:vAlign w:val="bottom"/>
            <w:gridSpan w:val="17"/>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Condensed Consolidated Statements of Operations for the three and six months ended June 30, 2020 and 2019</w:t>
              </w:r>
            </w:hyperlink>
          </w:p>
        </w:tc>
        <w:tc>
          <w:tcPr>
            <w:tcW w:w="12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8960" w:type="dxa"/>
            <w:vAlign w:val="bottom"/>
            <w:gridSpan w:val="17"/>
          </w:tcPr>
          <w:p>
            <w:pPr>
              <w:spacing w:after="0"/>
              <w:rPr>
                <w:rFonts w:ascii="Arial" w:cs="Arial" w:eastAsia="Arial" w:hAnsi="Arial"/>
                <w:sz w:val="18"/>
                <w:szCs w:val="18"/>
                <w:u w:val="single" w:color="auto"/>
                <w:color w:val="0000FF"/>
                <w:w w:val="91"/>
              </w:rPr>
            </w:pPr>
            <w:hyperlink w:anchor="page42">
              <w:r>
                <w:rPr>
                  <w:rFonts w:ascii="Arial" w:cs="Arial" w:eastAsia="Arial" w:hAnsi="Arial"/>
                  <w:sz w:val="18"/>
                  <w:szCs w:val="18"/>
                  <w:u w:val="single" w:color="auto"/>
                  <w:color w:val="0000FF"/>
                  <w:w w:val="91"/>
                </w:rPr>
                <w:t>Condensed Consolidated Statements of Comprehensive Loss for the three and six months ended June 30, 2020 and 2019</w:t>
              </w:r>
            </w:hyperlink>
          </w:p>
        </w:tc>
        <w:tc>
          <w:tcPr>
            <w:tcW w:w="12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84"/>
        </w:trPr>
        <w:tc>
          <w:tcPr>
            <w:tcW w:w="1000" w:type="dxa"/>
            <w:vAlign w:val="bottom"/>
          </w:tcPr>
          <w:p>
            <w:pPr>
              <w:spacing w:after="0"/>
              <w:rPr>
                <w:sz w:val="24"/>
                <w:szCs w:val="24"/>
                <w:color w:val="auto"/>
              </w:rPr>
            </w:pPr>
          </w:p>
        </w:tc>
        <w:tc>
          <w:tcPr>
            <w:tcW w:w="8960" w:type="dxa"/>
            <w:vAlign w:val="bottom"/>
            <w:gridSpan w:val="17"/>
          </w:tcPr>
          <w:p>
            <w:pPr>
              <w:spacing w:after="0"/>
              <w:rPr>
                <w:rFonts w:ascii="Arial" w:cs="Arial" w:eastAsia="Arial" w:hAnsi="Arial"/>
                <w:sz w:val="18"/>
                <w:szCs w:val="18"/>
                <w:u w:val="single" w:color="auto"/>
                <w:color w:val="0000FF"/>
                <w:w w:val="92"/>
              </w:rPr>
            </w:pPr>
            <w:hyperlink w:anchor="page7">
              <w:r>
                <w:rPr>
                  <w:rFonts w:ascii="Arial" w:cs="Arial" w:eastAsia="Arial" w:hAnsi="Arial"/>
                  <w:sz w:val="18"/>
                  <w:szCs w:val="18"/>
                  <w:u w:val="single" w:color="auto"/>
                  <w:color w:val="0000FF"/>
                  <w:w w:val="92"/>
                </w:rPr>
                <w:t>Condensed Consolidated Statements of Stockholders' Equity for the three and six months ended June 30, 2020 and 2019</w:t>
              </w:r>
            </w:hyperlink>
          </w:p>
        </w:tc>
        <w:tc>
          <w:tcPr>
            <w:tcW w:w="12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8960" w:type="dxa"/>
            <w:vAlign w:val="bottom"/>
            <w:gridSpan w:val="17"/>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 xml:space="preserve">Condensed Consolidated Statements of Cash Flows for the three and six months ended </w:t>
              </w:r>
              <w:r>
                <w:rPr>
                  <w:rFonts w:ascii="Arial" w:cs="Arial" w:eastAsia="Arial" w:hAnsi="Arial"/>
                  <w:sz w:val="18"/>
                  <w:szCs w:val="18"/>
                  <w:u w:val="single" w:color="auto"/>
                  <w:color w:val="0000FF"/>
                  <w:w w:val="99"/>
                </w:rPr>
                <w:t>June 30, 2020 and 2019</w:t>
              </w:r>
            </w:hyperlink>
          </w:p>
        </w:tc>
        <w:tc>
          <w:tcPr>
            <w:tcW w:w="124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63"/>
        </w:trPr>
        <w:tc>
          <w:tcPr>
            <w:tcW w:w="1000" w:type="dxa"/>
            <w:vAlign w:val="bottom"/>
          </w:tcPr>
          <w:p>
            <w:pPr>
              <w:spacing w:after="0"/>
              <w:rPr>
                <w:sz w:val="22"/>
                <w:szCs w:val="22"/>
                <w:color w:val="auto"/>
              </w:rPr>
            </w:pPr>
          </w:p>
        </w:tc>
        <w:tc>
          <w:tcPr>
            <w:tcW w:w="40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2300" w:type="dxa"/>
            <w:vAlign w:val="bottom"/>
            <w:tcBorders>
              <w:top w:val="single" w:sz="8" w:color="0000FF"/>
            </w:tcBorders>
            <w:gridSpan w:val="4"/>
          </w:tcPr>
          <w:p>
            <w:pPr>
              <w:spacing w:after="0"/>
              <w:rPr>
                <w:sz w:val="22"/>
                <w:szCs w:val="22"/>
                <w:color w:val="auto"/>
              </w:rPr>
            </w:pPr>
          </w:p>
        </w:tc>
        <w:tc>
          <w:tcPr>
            <w:tcW w:w="2660" w:type="dxa"/>
            <w:vAlign w:val="bottom"/>
            <w:gridSpan w:val="2"/>
          </w:tcPr>
          <w:p>
            <w:pPr>
              <w:spacing w:after="0"/>
              <w:rPr>
                <w:sz w:val="22"/>
                <w:szCs w:val="22"/>
                <w:color w:val="auto"/>
              </w:rPr>
            </w:pPr>
          </w:p>
        </w:tc>
        <w:tc>
          <w:tcPr>
            <w:tcW w:w="12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9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24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5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4600" w:type="dxa"/>
            <w:vAlign w:val="bottom"/>
            <w:gridSpan w:val="5"/>
          </w:tcPr>
          <w:p>
            <w:pPr>
              <w:spacing w:after="0"/>
              <w:rPr>
                <w:sz w:val="24"/>
                <w:szCs w:val="24"/>
                <w:color w:val="auto"/>
              </w:rPr>
            </w:pPr>
          </w:p>
        </w:tc>
        <w:tc>
          <w:tcPr>
            <w:tcW w:w="124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7"/>
              </w:rPr>
              <w:t>OTHER INFORMATION</w:t>
            </w:r>
          </w:p>
        </w:tc>
        <w:tc>
          <w:tcPr>
            <w:tcW w:w="3540" w:type="dxa"/>
            <w:vAlign w:val="bottom"/>
            <w:gridSpan w:val="4"/>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7620" w:type="dxa"/>
            <w:vAlign w:val="bottom"/>
            <w:gridSpan w:val="11"/>
          </w:tcPr>
          <w:p>
            <w:pPr>
              <w:spacing w:after="0"/>
              <w:rPr>
                <w:sz w:val="24"/>
                <w:szCs w:val="24"/>
                <w:color w:val="auto"/>
              </w:rPr>
            </w:pPr>
          </w:p>
        </w:tc>
        <w:tc>
          <w:tcPr>
            <w:tcW w:w="124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41</w:t>
              </w:r>
            </w:hyperlink>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9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124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41</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vMerge w:val="continue"/>
          </w:tcPr>
          <w:p>
            <w:pPr>
              <w:spacing w:after="0"/>
              <w:rPr>
                <w:sz w:val="24"/>
                <w:szCs w:val="24"/>
                <w:color w:val="auto"/>
              </w:rPr>
            </w:pP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7640" w:type="dxa"/>
            <w:vAlign w:val="bottom"/>
            <w:gridSpan w:val="12"/>
          </w:tcPr>
          <w:p>
            <w:pPr>
              <w:spacing w:after="0"/>
              <w:rPr>
                <w:sz w:val="24"/>
                <w:szCs w:val="24"/>
                <w:color w:val="auto"/>
              </w:rPr>
            </w:pPr>
          </w:p>
        </w:tc>
        <w:tc>
          <w:tcPr>
            <w:tcW w:w="124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66</w:t>
              </w:r>
            </w:hyperlink>
          </w:p>
        </w:tc>
        <w:tc>
          <w:tcPr>
            <w:tcW w:w="0" w:type="dxa"/>
            <w:vAlign w:val="bottom"/>
          </w:tcPr>
          <w:p>
            <w:pPr>
              <w:spacing w:after="0"/>
              <w:rPr>
                <w:sz w:val="1"/>
                <w:szCs w:val="1"/>
                <w:color w:val="auto"/>
              </w:rPr>
            </w:pP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96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124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68</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360" w:type="dxa"/>
            <w:vAlign w:val="bottom"/>
            <w:gridSpan w:val="1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96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124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69</w:t>
              </w:r>
            </w:hyperlink>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0" w:type="dxa"/>
            <w:vAlign w:val="bottom"/>
            <w:gridSpan w:val="1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rPr>
              <w:t>EXHIBIT LIST</w:t>
            </w:r>
          </w:p>
        </w:tc>
        <w:tc>
          <w:tcPr>
            <w:tcW w:w="8800" w:type="dxa"/>
            <w:vAlign w:val="bottom"/>
            <w:gridSpan w:val="15"/>
          </w:tcPr>
          <w:p>
            <w:pPr>
              <w:spacing w:after="0"/>
              <w:rPr>
                <w:sz w:val="22"/>
                <w:szCs w:val="22"/>
                <w:color w:val="auto"/>
              </w:rPr>
            </w:pPr>
          </w:p>
        </w:tc>
        <w:tc>
          <w:tcPr>
            <w:tcW w:w="124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53"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6"/>
          <w:szCs w:val="16"/>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21,661</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36,978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Accounts receivable (net of allowances of $101 and $6, at June 30, 2020 and December 31, 2019,</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18,900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78,450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96,096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right-of-use asset, net</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39,027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Developed technology, net</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45,644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46,200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106,328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282,348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264,812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Accrued compensation and related benefits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 current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current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38,348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32,821</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53,821</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149,629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111,200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Preferred stock, $0.001 par value, 10,000 shares authorized, no shares issued and outstanding at either June</w:t>
            </w:r>
          </w:p>
        </w:tc>
        <w:tc>
          <w:tcPr>
            <w:tcW w:w="3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 2020 or December 31, 2019</w:t>
            </w:r>
          </w:p>
        </w:tc>
        <w:tc>
          <w:tcPr>
            <w:tcW w:w="3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360"/>
              <w:spacing w:after="0" w:line="176" w:lineRule="exact"/>
              <w:rPr>
                <w:sz w:val="20"/>
                <w:szCs w:val="20"/>
                <w:color w:val="auto"/>
              </w:rPr>
            </w:pPr>
            <w:r>
              <w:rPr>
                <w:rFonts w:ascii="Arial" w:cs="Arial" w:eastAsia="Arial" w:hAnsi="Arial"/>
                <w:sz w:val="18"/>
                <w:szCs w:val="18"/>
                <w:color w:val="auto"/>
                <w:w w:val="94"/>
              </w:rPr>
              <w:t>Common stock: $0.001 par value, 200,000 shares authorized at June 30, 2020 and December 31, 2019;</w:t>
            </w:r>
          </w:p>
        </w:tc>
        <w:tc>
          <w:tcPr>
            <w:tcW w:w="30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ind w:right="7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w w:val="93"/>
              </w:rPr>
              <w:t>71,283 and 69,956 shares issued and outstanding at June 30, 2020 and December 31, 2019, respectively</w:t>
            </w:r>
          </w:p>
        </w:tc>
        <w:tc>
          <w:tcPr>
            <w:tcW w:w="3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786,193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777,765</w:t>
            </w:r>
          </w:p>
        </w:tc>
        <w:tc>
          <w:tcPr>
            <w:tcW w:w="0" w:type="dxa"/>
            <w:vAlign w:val="bottom"/>
          </w:tcPr>
          <w:p>
            <w:pPr>
              <w:spacing w:after="0"/>
              <w:rPr>
                <w:sz w:val="1"/>
                <w:szCs w:val="1"/>
                <w:color w:val="auto"/>
              </w:rPr>
            </w:pP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(652,736)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(623,641)</w:t>
            </w:r>
          </w:p>
        </w:tc>
        <w:tc>
          <w:tcPr>
            <w:tcW w:w="0" w:type="dxa"/>
            <w:vAlign w:val="bottom"/>
          </w:tcPr>
          <w:p>
            <w:pPr>
              <w:spacing w:after="0"/>
              <w:rPr>
                <w:sz w:val="1"/>
                <w:szCs w:val="1"/>
                <w:color w:val="auto"/>
              </w:rPr>
            </w:pP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132,719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153,612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282,348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264,812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ind w:left="4460"/>
        <w:spacing w:after="0"/>
        <w:rPr>
          <w:sz w:val="20"/>
          <w:szCs w:val="20"/>
          <w:color w:val="auto"/>
        </w:rPr>
      </w:pPr>
      <w:r>
        <w:rPr>
          <w:rFonts w:ascii="Arial" w:cs="Arial" w:eastAsia="Arial" w:hAnsi="Arial"/>
          <w:sz w:val="18"/>
          <w:szCs w:val="18"/>
          <w:b w:val="1"/>
          <w:bCs w:val="1"/>
          <w:color w:val="auto"/>
        </w:rPr>
        <w:t>FLUIDIGM CORPORATION</w:t>
      </w:r>
    </w:p>
    <w:p>
      <w:pPr>
        <w:spacing w:after="0" w:line="10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0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7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3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17,405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23,235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36,386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48,062</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4,961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10,245</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Development revenue</w:t>
            </w: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26,058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28,196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53,675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58,307</w:t>
            </w: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9,483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11,100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19,123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22,489</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3,465</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8,448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7,865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16,237</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22,134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43,311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44,958</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39,784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42,832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82,343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87,149</w:t>
            </w: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(3,192)</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715</w:t>
            </w: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(14,896)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(40,319)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1,101</w:t>
            </w: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(13,015)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(13,753)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(28,995)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(39,218)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7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(0.61)</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70,916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69,158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70,691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63,923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4" w:name="page5"/>
    <w:bookmarkEnd w:id="4"/>
    <w:p>
      <w:pPr>
        <w:ind w:left="4460"/>
        <w:spacing w:after="0"/>
        <w:rPr>
          <w:sz w:val="20"/>
          <w:szCs w:val="20"/>
          <w:color w:val="auto"/>
        </w:rPr>
      </w:pPr>
      <w:r>
        <w:rPr>
          <w:rFonts w:ascii="Arial" w:cs="Arial" w:eastAsia="Arial" w:hAnsi="Arial"/>
          <w:sz w:val="18"/>
          <w:szCs w:val="18"/>
          <w:b w:val="1"/>
          <w:bCs w:val="1"/>
          <w:color w:val="auto"/>
        </w:rPr>
        <w:t>FLUIDIGM CORPORATION</w:t>
      </w:r>
    </w:p>
    <w:p>
      <w:pPr>
        <w:spacing w:after="0" w:line="10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0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7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4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(28,995)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(39,218)</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Net change in unrealized gain (loss) on investments</w:t>
            </w:r>
          </w:p>
        </w:tc>
        <w:tc>
          <w:tcPr>
            <w:tcW w:w="26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65</w:t>
            </w:r>
          </w:p>
        </w:tc>
      </w:tr>
      <w:tr>
        <w:trPr>
          <w:trHeight w:val="27"/>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w:t>
            </w: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(12,939)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(29,222)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(39,154)</w:t>
            </w:r>
          </w:p>
        </w:tc>
      </w:tr>
      <w:tr>
        <w:trPr>
          <w:trHeight w:val="21"/>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94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74"/>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92"/>
              </w:rPr>
              <w:t>Comprehensive</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1060" w:type="dxa"/>
            <w:vAlign w:val="bottom"/>
          </w:tcPr>
          <w:p>
            <w:pPr>
              <w:jc w:val="center"/>
              <w:ind w:right="74"/>
              <w:spacing w:after="0" w:line="129" w:lineRule="exact"/>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Income (Loss)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060" w:type="dxa"/>
            <w:vAlign w:val="bottom"/>
          </w:tcPr>
          <w:p>
            <w:pPr>
              <w:jc w:val="center"/>
              <w:ind w:right="74"/>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8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777,765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(623,641)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153,612</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w w:val="98"/>
              </w:rPr>
              <w:t>Issuance of restricted stock, net of shares withheld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for taxes, and other</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Cumulative-effect of new accounting standard for</w:t>
            </w: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Topic 326 Credit Losses</w:t>
            </w: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InstruNor AS</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(15,980)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Balance as of March 31, 2020</w:t>
            </w:r>
          </w:p>
        </w:tc>
        <w:tc>
          <w:tcPr>
            <w:tcW w:w="8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70,696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782,031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(639,721)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141,496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Issuance of restricted stock, net of shares withheld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taxes, and other</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Issuance of common stock under ESPP</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3"/>
        </w:trPr>
        <w:tc>
          <w:tcPr>
            <w:tcW w:w="4000" w:type="dxa"/>
            <w:vAlign w:val="bottom"/>
          </w:tcPr>
          <w:p>
            <w:pPr>
              <w:ind w:left="20"/>
              <w:spacing w:after="0"/>
              <w:rPr>
                <w:sz w:val="20"/>
                <w:szCs w:val="20"/>
                <w:color w:val="auto"/>
              </w:rPr>
            </w:pPr>
            <w:r>
              <w:rPr>
                <w:rFonts w:ascii="Arial" w:cs="Arial" w:eastAsia="Arial" w:hAnsi="Arial"/>
                <w:sz w:val="18"/>
                <w:szCs w:val="18"/>
                <w:color w:val="auto"/>
              </w:rPr>
              <w:t>Balance as of June 30, 2020</w:t>
            </w: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71,283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786,193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(652,736)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132,719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4000" w:type="dxa"/>
            <w:vAlign w:val="bottom"/>
          </w:tcPr>
          <w:p>
            <w:pPr>
              <w:spacing w:after="0"/>
              <w:rPr>
                <w:sz w:val="24"/>
                <w:szCs w:val="24"/>
                <w:color w:val="auto"/>
              </w:rPr>
            </w:pPr>
          </w:p>
        </w:tc>
        <w:tc>
          <w:tcPr>
            <w:tcW w:w="194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4"/>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16"/>
        </w:trPr>
        <w:tc>
          <w:tcPr>
            <w:tcW w:w="40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16"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1280" w:type="dxa"/>
            <w:vAlign w:val="bottom"/>
            <w:gridSpan w:val="2"/>
          </w:tcPr>
          <w:p>
            <w:pPr>
              <w:jc w:val="center"/>
              <w:ind w:right="260"/>
              <w:spacing w:after="0" w:line="116" w:lineRule="exact"/>
              <w:rPr>
                <w:sz w:val="20"/>
                <w:szCs w:val="20"/>
                <w:color w:val="auto"/>
              </w:rPr>
            </w:pPr>
            <w:r>
              <w:rPr>
                <w:rFonts w:ascii="Arial" w:cs="Arial" w:eastAsia="Arial" w:hAnsi="Arial"/>
                <w:sz w:val="13"/>
                <w:szCs w:val="13"/>
                <w:b w:val="1"/>
                <w:bCs w:val="1"/>
                <w:color w:val="auto"/>
                <w:w w:val="92"/>
              </w:rPr>
              <w:t>Comprehensive</w:t>
            </w:r>
          </w:p>
        </w:tc>
        <w:tc>
          <w:tcPr>
            <w:tcW w:w="160" w:type="dxa"/>
            <w:vAlign w:val="bottom"/>
          </w:tcPr>
          <w:p>
            <w:pPr>
              <w:spacing w:after="0"/>
              <w:rPr>
                <w:sz w:val="10"/>
                <w:szCs w:val="10"/>
                <w:color w:val="auto"/>
              </w:rPr>
            </w:pPr>
          </w:p>
        </w:tc>
        <w:tc>
          <w:tcPr>
            <w:tcW w:w="1160" w:type="dxa"/>
            <w:vAlign w:val="bottom"/>
            <w:gridSpan w:val="2"/>
          </w:tcPr>
          <w:p>
            <w:pPr>
              <w:jc w:val="center"/>
              <w:ind w:right="26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1060" w:type="dxa"/>
            <w:vAlign w:val="bottom"/>
          </w:tcPr>
          <w:p>
            <w:pPr>
              <w:jc w:val="center"/>
              <w:ind w:right="74"/>
              <w:spacing w:after="0" w:line="116" w:lineRule="exact"/>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Income (Loss)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060" w:type="dxa"/>
            <w:vAlign w:val="bottom"/>
          </w:tcPr>
          <w:p>
            <w:pPr>
              <w:jc w:val="center"/>
              <w:ind w:right="74"/>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8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631,605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(558,851)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72,116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Issuance of common stock on bond conversion</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19,460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133,279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133,298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Issuance of restricted stock, net of shares withheld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taxes, and other</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Issuance of common stock from option exercises</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Balance as of March 31, 2019</w:t>
            </w:r>
          </w:p>
        </w:tc>
        <w:tc>
          <w:tcPr>
            <w:tcW w:w="8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68,991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767,169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(584,316)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182,245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Issuance of restricted stock, net of shares withheld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taxes, and other</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Issuance of common stock from option exercises</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common stock under ESPP</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2019</w:t>
            </w: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69,400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771,263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(598,069)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172,640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6" w:name="page7"/>
    <w:bookmarkEnd w:id="6"/>
    <w:p>
      <w:pPr>
        <w:ind w:left="4460"/>
        <w:spacing w:after="0"/>
        <w:rPr>
          <w:sz w:val="20"/>
          <w:szCs w:val="20"/>
          <w:color w:val="auto"/>
        </w:rPr>
      </w:pPr>
      <w:r>
        <w:rPr>
          <w:rFonts w:ascii="Arial" w:cs="Arial" w:eastAsia="Arial" w:hAnsi="Arial"/>
          <w:sz w:val="18"/>
          <w:szCs w:val="18"/>
          <w:b w:val="1"/>
          <w:bCs w:val="1"/>
          <w:color w:val="auto"/>
        </w:rPr>
        <w:t>FLUIDIGM CORPORATION</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(28,995)</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(39,218)</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5,263</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Amortization of developed technology</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5,936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5,600</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discounts, premiums and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2,037</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Lease amortization</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96"/>
        </w:trPr>
        <w:tc>
          <w:tcPr>
            <w:tcW w:w="8300" w:type="dxa"/>
            <w:vAlign w:val="bottom"/>
          </w:tcPr>
          <w:p>
            <w:pPr>
              <w:ind w:left="20"/>
              <w:spacing w:after="0"/>
              <w:rPr>
                <w:sz w:val="20"/>
                <w:szCs w:val="20"/>
                <w:color w:val="auto"/>
              </w:rPr>
            </w:pPr>
            <w:r>
              <w:rPr>
                <w:rFonts w:ascii="Arial" w:cs="Arial" w:eastAsia="Arial" w:hAnsi="Arial"/>
                <w:sz w:val="14"/>
                <w:szCs w:val="14"/>
                <w:color w:val="auto"/>
              </w:rPr>
              <w:t>Provision for excess and obsolete inventory</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disposal of property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Other non-cash items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9,055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(2,420)</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97"/>
        </w:trPr>
        <w:tc>
          <w:tcPr>
            <w:tcW w:w="8300" w:type="dxa"/>
            <w:vAlign w:val="bottom"/>
          </w:tcPr>
          <w:p>
            <w:pPr>
              <w:ind w:left="34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197"/>
        </w:trPr>
        <w:tc>
          <w:tcPr>
            <w:tcW w:w="830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(9,161)</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(7,085)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(25,143)</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00" w:type="dxa"/>
            <w:vAlign w:val="bottom"/>
          </w:tcPr>
          <w:p>
            <w:pPr>
              <w:ind w:left="20"/>
              <w:spacing w:after="0"/>
              <w:rPr>
                <w:sz w:val="20"/>
                <w:szCs w:val="20"/>
                <w:color w:val="auto"/>
              </w:rPr>
            </w:pPr>
            <w:r>
              <w:rPr>
                <w:rFonts w:ascii="Arial" w:cs="Arial" w:eastAsia="Arial" w:hAnsi="Arial"/>
                <w:sz w:val="14"/>
                <w:szCs w:val="14"/>
                <w:color w:val="auto"/>
              </w:rPr>
              <w:t>Acquisition, net of cash acquired</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(5,154)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(44,614)</w:t>
            </w:r>
          </w:p>
        </w:tc>
        <w:tc>
          <w:tcPr>
            <w:tcW w:w="0" w:type="dxa"/>
            <w:vAlign w:val="bottom"/>
          </w:tcPr>
          <w:p>
            <w:pPr>
              <w:spacing w:after="0"/>
              <w:rPr>
                <w:sz w:val="1"/>
                <w:szCs w:val="1"/>
                <w:color w:val="auto"/>
              </w:rPr>
            </w:pPr>
          </w:p>
        </w:tc>
      </w:tr>
      <w:tr>
        <w:trPr>
          <w:trHeight w:val="196"/>
        </w:trPr>
        <w:tc>
          <w:tcPr>
            <w:tcW w:w="8300" w:type="dxa"/>
            <w:vAlign w:val="bottom"/>
          </w:tcPr>
          <w:p>
            <w:pPr>
              <w:ind w:left="20"/>
              <w:spacing w:after="0"/>
              <w:rPr>
                <w:sz w:val="20"/>
                <w:szCs w:val="20"/>
                <w:color w:val="auto"/>
              </w:rPr>
            </w:pPr>
            <w:r>
              <w:rPr>
                <w:rFonts w:ascii="Arial" w:cs="Arial" w:eastAsia="Arial" w:hAnsi="Arial"/>
                <w:sz w:val="14"/>
                <w:szCs w:val="14"/>
                <w:color w:val="auto"/>
              </w:rPr>
              <w:t>Proceeds from sale of investments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27,586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(45,299)</w:t>
            </w:r>
          </w:p>
        </w:tc>
        <w:tc>
          <w:tcPr>
            <w:tcW w:w="0" w:type="dxa"/>
            <w:vAlign w:val="bottom"/>
          </w:tcPr>
          <w:p>
            <w:pPr>
              <w:spacing w:after="0"/>
              <w:rPr>
                <w:sz w:val="1"/>
                <w:szCs w:val="1"/>
                <w:color w:val="auto"/>
              </w:rPr>
            </w:pPr>
          </w:p>
        </w:tc>
      </w:tr>
      <w:tr>
        <w:trPr>
          <w:trHeight w:val="176"/>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debt issuance cost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6"/>
        </w:trPr>
        <w:tc>
          <w:tcPr>
            <w:tcW w:w="83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stock issuance from ESPP</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Payments for taxes related to net share settlement of equity awards and 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(69,280)</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23,736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95,401</w:t>
            </w:r>
          </w:p>
        </w:tc>
        <w:tc>
          <w:tcPr>
            <w:tcW w:w="0" w:type="dxa"/>
            <w:vAlign w:val="bottom"/>
          </w:tcPr>
          <w:p>
            <w:pPr>
              <w:spacing w:after="0"/>
              <w:rPr>
                <w:sz w:val="1"/>
                <w:szCs w:val="1"/>
                <w:color w:val="auto"/>
              </w:rPr>
            </w:pPr>
          </w:p>
        </w:tc>
      </w:tr>
      <w:tr>
        <w:trPr>
          <w:trHeight w:val="22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44,040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26,121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1,531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00" w:type="dxa"/>
            <w:vAlign w:val="bottom"/>
          </w:tcPr>
          <w:p>
            <w:pPr>
              <w:ind w:left="20"/>
              <w:spacing w:after="0" w:line="149" w:lineRule="exact"/>
              <w:rPr>
                <w:sz w:val="20"/>
                <w:szCs w:val="20"/>
                <w:color w:val="auto"/>
              </w:rPr>
            </w:pPr>
            <w:r>
              <w:rPr>
                <w:rFonts w:ascii="Arial" w:cs="Arial" w:eastAsia="Arial" w:hAnsi="Arial"/>
                <w:sz w:val="14"/>
                <w:szCs w:val="14"/>
                <w:color w:val="auto"/>
              </w:rPr>
              <w:t>Cash paid for income taxes, net of refunds</w:t>
            </w:r>
          </w:p>
        </w:tc>
        <w:tc>
          <w:tcPr>
            <w:tcW w:w="320" w:type="dxa"/>
            <w:vAlign w:val="bottom"/>
            <w:tcBorders>
              <w:bottom w:val="single" w:sz="8" w:color="auto"/>
            </w:tcBorders>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194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 retirement obligations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Fluidigm Corporation (the Company, Fluidigm, we, our or us) creates, manufactures, and markets technologies and tools for life sciences research, including preparatory and analytical instruments for Mass Cytometry, PCR, Library Prep, Single Cell Genomics, and consumables, including integrated fluidic circuits (IFC), assays, and reagents. Our focus is on the most pressing needs in translational and clinical research, including infectious disease, cancer, immunology and immunotherapy. We sell our instruments, consumables and services to academic institutions, clinical laboratories, and contract research organizations, as well as biopharmaceutical, biotechnology, and agricultural biotechnology companies. The Company was formerly known as Mycometrix Corporation and changed its name to Fluidigm Corporation in April 2001. Fluidigm Corporation was founded in 1999 and is headquartered in South San Francisco, California.</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75"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 owned subsidiaries. As of June 30, 2020, we had wholly owned subsidiaries in Singapore, Canada, the Netherlands, Japan, France,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34" w:lineRule="exact"/>
        <w:rPr>
          <w:sz w:val="20"/>
          <w:szCs w:val="20"/>
          <w:color w:val="auto"/>
        </w:rPr>
      </w:pPr>
    </w:p>
    <w:p>
      <w:pPr>
        <w:jc w:val="both"/>
        <w:ind w:right="580" w:firstLine="486"/>
        <w:spacing w:after="0" w:line="286" w:lineRule="auto"/>
        <w:rPr>
          <w:sz w:val="20"/>
          <w:szCs w:val="20"/>
          <w:color w:val="auto"/>
        </w:rPr>
      </w:pPr>
      <w:r>
        <w:rPr>
          <w:rFonts w:ascii="Arial" w:cs="Arial" w:eastAsia="Arial" w:hAnsi="Arial"/>
          <w:sz w:val="17"/>
          <w:szCs w:val="17"/>
          <w:color w:val="auto"/>
        </w:rPr>
        <w:t>Certain prior period amounts in the condensed consolidated statements of income and condensed consolidated statements of cash flows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160" w:firstLine="486"/>
        <w:spacing w:after="0" w:line="26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assessed certain accounting matters that generally require consideration of forecasted financial information in the context of information available to us and the unknown impact of COVID-19 as of June 30, 2020. These accounting matters included, but were not limited to, our allowance for doubtful accounts and credit losses, inventory and related reserves and the carrying value of goodwill and other long lived assets. Actual results could differ materially from these estimates and could have a material adverse effect on our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7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Income and expense accounts are translated at monthly average exchange rates during the year.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We also generate revenue from</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ind w:right="500"/>
        <w:spacing w:after="0" w:line="342" w:lineRule="auto"/>
        <w:rPr>
          <w:sz w:val="20"/>
          <w:szCs w:val="20"/>
          <w:color w:val="auto"/>
        </w:rPr>
      </w:pPr>
      <w:r>
        <w:rPr>
          <w:rFonts w:ascii="Arial" w:cs="Arial" w:eastAsia="Arial" w:hAnsi="Arial"/>
          <w:sz w:val="16"/>
          <w:szCs w:val="16"/>
          <w:color w:val="auto"/>
        </w:rPr>
        <w:t>development agreements, license and royalty agreements and grants. Revenue is reported net of any sales, use and value-added taxes we collect from customers as required by government authorities. Research and development cost includes costs associated with development and grant revenue.</w:t>
      </w:r>
    </w:p>
    <w:p>
      <w:pPr>
        <w:spacing w:after="0" w:line="70"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3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13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condensed consolidated balance sheet as deferred revenue.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Development Revenue</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Company has entered and may continue to enter into development agreements with third parties that provide for up-front and periodic milestone payments. Our development agreements may include more than one performance obligation. At the inception of the contract, we assess whether each obligation represents a separate performance obligation or whether such obligations should be combined as a single performance obligation. The transaction price for each development agreement is determined based on the amount of consideration we expect to be entitled to for satisfying all performance obligations within the agreement.</w:t>
      </w:r>
    </w:p>
    <w:p>
      <w:pPr>
        <w:spacing w:after="0" w:line="134"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assess the nature of the combined performance obligation to determine whether the combined performance obligation is satisfied over time or at a point in time and, if over time, the appropriate method of measuring progress for purposes of recognizing revenue. In arrangements where we satisfy performance obligation(s) over time, we recognize development revenue typically using an input method based on our costs incurred relative to the total expected cost which determines the extent of our progress toward completion. As part of the accounting for these arrangements, we must develop estimates and assumptions that require judgment to determine the transaction price and progress towards completion. We review our estimate of the transaction price and progress toward completion based on the best information available to recognize the cumulative progress toward completion as of the end of each reporting period, and make revisions to such estimates as necessary.</w:t>
      </w:r>
    </w:p>
    <w:p>
      <w:pPr>
        <w:spacing w:after="0" w:line="12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may also generate revenue from development or collaboration agreements that do not include upfront or milestone-based payments and generally recognize revenue on these types of agreements based on the timing of development activities.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Revenue</w:t>
      </w:r>
    </w:p>
    <w:p>
      <w:pPr>
        <w:spacing w:after="0" w:line="17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Other revenue consists of license and royalty revenue, and grant revenue. We recognize revenue from license agreements when the license is transferred to the customer and the customer is able to use and benefit from the license. For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contracts that include sales-based royalties, we recognize revenue at the later of (i) when the related sales occur, or (ii) when the performance obligation to which some or all of the royalty has been allocated has been satisfied.</w:t>
      </w:r>
    </w:p>
    <w:p>
      <w:pPr>
        <w:spacing w:after="0" w:line="116"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In March 2020, we entered into an agreement to settle intellectual property infringement claims, in which we received a $3.5 million payment in exchange for a perpetual license under certain Fluidigm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133"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We receive grants from various entities to perform research and development activities over contractually defined periods. Revenue is generally recognized provided that the conditions under which the grants were provided have been met and any remaining performance obligations are perfunctory.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 To date, capitalized contract costs have been immaterial.</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71" w:lineRule="exact"/>
        <w:rPr>
          <w:sz w:val="20"/>
          <w:szCs w:val="20"/>
          <w:color w:val="auto"/>
        </w:rPr>
      </w:pPr>
    </w:p>
    <w:p>
      <w:pPr>
        <w:jc w:val="both"/>
        <w:ind w:right="300" w:firstLine="486"/>
        <w:spacing w:after="0" w:line="311"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condensed consolidated statements of operations.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71"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Applying the revenue recognition practices discussed above often requires significant judgment. Judgment is required when identifying performance obligations, estimating SSP and allocating purchasing consideration in multi-element arrangements, determining the transaction price and progress towards completion on development 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ind w:right="460" w:firstLine="486"/>
        <w:spacing w:after="0" w:line="263"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17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34"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generally do not require collateral to support credit sales. To reduce credit risk, we perform credit evaluations of our customers. One customer from whom we derived development revenue exceeded 10% of revenue for the three months ended June 30, 2020. No other customer represented more than 10% of total revenue for three and six months ended June 30, 2020 or 2019. Including the development revenue, revenues from our five largest customers were 32% and 30% of total revenue for the three months ended June 30, 2020 and 2019, respectively. Revenues from our five largest customers were 23% and 20% of total revenue for the six months ended June 30, 2020 and 2019, respectively. There was no single customer that represented more than 10% of total accounts receivable at June 30, 2020, or December 31, 2019.</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0" w:name="page11"/>
    <w:bookmarkEnd w:id="10"/>
    <w:p>
      <w:pPr>
        <w:ind w:right="340" w:firstLine="486"/>
        <w:spacing w:after="0" w:line="286" w:lineRule="auto"/>
        <w:rPr>
          <w:sz w:val="20"/>
          <w:szCs w:val="20"/>
          <w:color w:val="auto"/>
        </w:rPr>
      </w:pPr>
      <w:r>
        <w:rPr>
          <w:rFonts w:ascii="Arial" w:cs="Arial" w:eastAsia="Arial" w:hAnsi="Arial"/>
          <w:sz w:val="17"/>
          <w:szCs w:val="17"/>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We determine if an arrangement is a lease, or contains a lease, at inception. Operating leases are included in operating lease right-of-use (ROU) assets and current and non-current operating lease liabilities in our condensed consolidated balance sheets. ROU assets represent our right-to-use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Significant judgment is required in determining the incremental collateralized borrowing rate. Lease expense for lease payments is recognized on a straight-line basis over the lease term.</w:t>
      </w:r>
    </w:p>
    <w:p>
      <w:pPr>
        <w:spacing w:after="0" w:line="12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elected the short-term lease recognition exemption for all leases that qualify. For those leases that qualify, we will not recognize ROU assets or lease liabilities for leases with an initial lease term of one year or less. We also elected not to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17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3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economic downturns and other macroeconomic events, including the current COVID-19 pandemic,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w:t>
      </w:r>
    </w:p>
    <w:p>
      <w:pPr>
        <w:spacing w:after="0" w:line="123"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an impairment loss equal to the difference would be recorded to goodwill. We did not recognize any impairment of goodwill for any of the periods presented herein.</w:t>
      </w:r>
    </w:p>
    <w:p>
      <w:pPr>
        <w:spacing w:after="0" w:line="13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intangibles for any of the periods presented herein.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2.75% Exchange Convertible Senior Notes due 2034 (2018 Notes). 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1" w:name="page12"/>
    <w:bookmarkEnd w:id="11"/>
    <w:p>
      <w:pPr>
        <w:jc w:val="both"/>
        <w:ind w:right="100"/>
        <w:spacing w:after="0" w:line="263" w:lineRule="auto"/>
        <w:rPr>
          <w:sz w:val="20"/>
          <w:szCs w:val="20"/>
          <w:color w:val="auto"/>
        </w:rPr>
      </w:pPr>
      <w:r>
        <w:rPr>
          <w:rFonts w:ascii="Arial" w:cs="Arial" w:eastAsia="Arial" w:hAnsi="Arial"/>
          <w:sz w:val="18"/>
          <w:szCs w:val="18"/>
          <w:color w:val="auto"/>
        </w:rPr>
        <w:t>accounted for in equity. In the first quarter of 2019, the 2018 Notes were converted into 19.5 million shares of our common stock and the 2018 Notes were retired. We recorded a loss of $9.0 million on the retirement of the 2018 Notes. We determined the fair value of the 2018 Notes using valuation techniques that required us to make assumptions related to the implied discount rate.</w:t>
      </w:r>
    </w:p>
    <w:p>
      <w:pPr>
        <w:spacing w:after="0" w:line="130"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November 2019, we closed a private placement to qualified institutional buyers pursuant to Rule 144A under the Securities Act of $55.0 million aggregate principal amount of our 5.25% Senior Convertible Notes due 2024 (2019 Notes). Most of the issuance proceeds were used to retire approximately $50.2 million of aggregate principal amount of our 2014 Notes, leaving approximately $1.1 million of aggregate principal amount of our 2014 Notes outstanding.</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the 2019 Notes do not provide for a cash conversion feature, the 2019 Notes are recorded for as debt in their entirety in accordance with ASC</w:t>
      </w:r>
    </w:p>
    <w:p>
      <w:pPr>
        <w:spacing w:after="0" w:line="46" w:lineRule="exact"/>
        <w:rPr>
          <w:sz w:val="20"/>
          <w:szCs w:val="20"/>
          <w:color w:val="auto"/>
        </w:rPr>
      </w:pPr>
    </w:p>
    <w:p>
      <w:pPr>
        <w:ind w:right="100" w:firstLine="8"/>
        <w:spacing w:after="0" w:line="323" w:lineRule="auto"/>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2014, 2018 and 2019 Notes, offering-related costs, including underwriting costs, were capitalized as debt issuance costs, recorded as an offset to the carrying value of the related Notes, and are amortized over the expected term of the related Notes using the effective interest method.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7 for a detailed discussion of the accounting treatment of the transactions and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7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condensed consolidated statements of comprehensive loss.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accumulated other comprehensive loss, net of tax, for the three and six months ended June 30, 2020 is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Unrealized Gain</w:t>
            </w:r>
          </w:p>
        </w:tc>
        <w:tc>
          <w:tcPr>
            <w:tcW w:w="120" w:type="dxa"/>
            <w:vAlign w:val="bottom"/>
          </w:tcPr>
          <w:p>
            <w:pPr>
              <w:spacing w:after="0"/>
              <w:rPr>
                <w:sz w:val="14"/>
                <w:szCs w:val="14"/>
                <w:color w:val="auto"/>
              </w:rPr>
            </w:pPr>
          </w:p>
        </w:tc>
        <w:tc>
          <w:tcPr>
            <w:tcW w:w="1320" w:type="dxa"/>
            <w:vAlign w:val="bottom"/>
          </w:tcPr>
          <w:p>
            <w:pPr>
              <w:jc w:val="right"/>
              <w:ind w:right="17"/>
              <w:spacing w:after="0"/>
              <w:rPr>
                <w:sz w:val="20"/>
                <w:szCs w:val="20"/>
                <w:color w:val="auto"/>
              </w:rPr>
            </w:pPr>
            <w:r>
              <w:rPr>
                <w:rFonts w:ascii="Arial" w:cs="Arial" w:eastAsia="Arial" w:hAnsi="Arial"/>
                <w:sz w:val="14"/>
                <w:szCs w:val="14"/>
                <w:b w:val="1"/>
                <w:bCs w:val="1"/>
                <w:color w:val="auto"/>
                <w:w w:val="92"/>
              </w:rPr>
              <w:t>Accumulated Other</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(Loss) on Investments</w:t>
            </w:r>
          </w:p>
        </w:tc>
        <w:tc>
          <w:tcPr>
            <w:tcW w:w="120" w:type="dxa"/>
            <w:vAlign w:val="bottom"/>
          </w:tcPr>
          <w:p>
            <w:pPr>
              <w:spacing w:after="0"/>
              <w:rPr>
                <w:sz w:val="16"/>
                <w:szCs w:val="16"/>
                <w:color w:val="auto"/>
              </w:rPr>
            </w:pPr>
          </w:p>
        </w:tc>
        <w:tc>
          <w:tcPr>
            <w:tcW w:w="1320" w:type="dxa"/>
            <w:vAlign w:val="bottom"/>
          </w:tcPr>
          <w:p>
            <w:pPr>
              <w:jc w:val="right"/>
              <w:ind w:right="197"/>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at December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center"/>
              <w:ind w:left="617"/>
              <w:spacing w:after="0"/>
              <w:rPr>
                <w:sz w:val="20"/>
                <w:szCs w:val="20"/>
                <w:color w:val="auto"/>
              </w:rPr>
            </w:pPr>
            <w:r>
              <w:rPr>
                <w:rFonts w:ascii="Arial" w:cs="Arial" w:eastAsia="Arial" w:hAnsi="Arial"/>
                <w:sz w:val="18"/>
                <w:szCs w:val="18"/>
                <w:color w:val="auto"/>
                <w:w w:val="95"/>
              </w:rPr>
              <w:t>(618)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1"/>
                <w:szCs w:val="21"/>
                <w:color w:val="auto"/>
              </w:rPr>
            </w:pPr>
          </w:p>
        </w:tc>
        <w:tc>
          <w:tcPr>
            <w:tcW w:w="1300" w:type="dxa"/>
            <w:vAlign w:val="bottom"/>
          </w:tcPr>
          <w:p>
            <w:pPr>
              <w:jc w:val="center"/>
              <w:ind w:left="617"/>
              <w:spacing w:after="0"/>
              <w:rPr>
                <w:sz w:val="20"/>
                <w:szCs w:val="20"/>
                <w:color w:val="auto"/>
              </w:rPr>
            </w:pPr>
            <w:r>
              <w:rPr>
                <w:rFonts w:ascii="Arial" w:cs="Arial" w:eastAsia="Arial" w:hAnsi="Arial"/>
                <w:sz w:val="18"/>
                <w:szCs w:val="18"/>
                <w:color w:val="auto"/>
                <w:w w:val="95"/>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at March 31, 2020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617"/>
              <w:spacing w:after="0"/>
              <w:rPr>
                <w:sz w:val="20"/>
                <w:szCs w:val="20"/>
                <w:color w:val="auto"/>
              </w:rPr>
            </w:pPr>
            <w:r>
              <w:rPr>
                <w:rFonts w:ascii="Arial" w:cs="Arial" w:eastAsia="Arial" w:hAnsi="Arial"/>
                <w:sz w:val="18"/>
                <w:szCs w:val="18"/>
                <w:color w:val="auto"/>
                <w:w w:val="95"/>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1"/>
                <w:szCs w:val="21"/>
                <w:color w:val="auto"/>
              </w:rPr>
            </w:pPr>
          </w:p>
        </w:tc>
        <w:tc>
          <w:tcPr>
            <w:tcW w:w="1300" w:type="dxa"/>
            <w:vAlign w:val="bottom"/>
          </w:tcPr>
          <w:p>
            <w:pPr>
              <w:jc w:val="center"/>
              <w:ind w:left="637"/>
              <w:spacing w:after="0"/>
              <w:rPr>
                <w:sz w:val="20"/>
                <w:szCs w:val="20"/>
                <w:color w:val="auto"/>
              </w:rPr>
            </w:pPr>
            <w:r>
              <w:rPr>
                <w:rFonts w:ascii="Arial" w:cs="Arial" w:eastAsia="Arial" w:hAnsi="Arial"/>
                <w:sz w:val="18"/>
                <w:szCs w:val="18"/>
                <w:color w:val="auto"/>
                <w:w w:val="86"/>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at June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center"/>
              <w:ind w:left="617"/>
              <w:spacing w:after="0"/>
              <w:rPr>
                <w:sz w:val="20"/>
                <w:szCs w:val="20"/>
                <w:color w:val="auto"/>
              </w:rPr>
            </w:pPr>
            <w:r>
              <w:rPr>
                <w:rFonts w:ascii="Arial" w:cs="Arial" w:eastAsia="Arial" w:hAnsi="Arial"/>
                <w:sz w:val="18"/>
                <w:szCs w:val="18"/>
                <w:color w:val="auto"/>
                <w:w w:val="95"/>
              </w:rPr>
              <w:t>(812)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Immaterial amounts of unrealized gains and losses have been reclassified into the condensed consolidated statement of operations for the three and six months ended June 30, 2020 and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75" w:lineRule="exact"/>
        <w:rPr>
          <w:sz w:val="20"/>
          <w:szCs w:val="20"/>
          <w:color w:val="auto"/>
        </w:rPr>
      </w:pPr>
    </w:p>
    <w:p>
      <w:pPr>
        <w:jc w:val="both"/>
        <w:ind w:right="240" w:firstLine="486"/>
        <w:spacing w:after="0" w:line="311" w:lineRule="auto"/>
        <w:rPr>
          <w:sz w:val="20"/>
          <w:szCs w:val="20"/>
          <w:color w:val="auto"/>
        </w:rPr>
      </w:pPr>
      <w:r>
        <w:rPr>
          <w:rFonts w:ascii="Arial" w:cs="Arial" w:eastAsia="Arial" w:hAnsi="Arial"/>
          <w:sz w:val="16"/>
          <w:szCs w:val="16"/>
          <w:color w:val="auto"/>
        </w:rPr>
        <w:t>Our basic and diluted net loss per share is calculated by dividing net loss by the weighted-average number of shares of common stock outstanding for the period. Restricted stock units, performance share units, and stock options to purchase our common stock are considered to be potentially dilutive common shares but have been excluded from the calculation of diluted net loss per share as their effect is anti-dilutive for all periods presented.</w:t>
      </w:r>
    </w:p>
    <w:p>
      <w:pPr>
        <w:spacing w:after="0" w:line="9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units and performance awards</w:t>
            </w:r>
          </w:p>
        </w:tc>
        <w:tc>
          <w:tcPr>
            <w:tcW w:w="4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8,237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2019</w:t>
            </w:r>
          </w:p>
        </w:tc>
        <w:tc>
          <w:tcPr>
            <w:tcW w:w="45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760" w:type="dxa"/>
            <w:vAlign w:val="bottom"/>
            <w:gridSpan w:val="2"/>
          </w:tcPr>
          <w:p>
            <w:pPr>
              <w:jc w:val="right"/>
              <w:ind w:right="88"/>
              <w:spacing w:after="0"/>
              <w:rPr>
                <w:sz w:val="20"/>
                <w:szCs w:val="20"/>
                <w:color w:val="auto"/>
              </w:rPr>
            </w:pPr>
            <w:r>
              <w:rPr>
                <w:rFonts w:ascii="Arial" w:cs="Arial" w:eastAsia="Arial" w:hAnsi="Arial"/>
                <w:sz w:val="18"/>
                <w:szCs w:val="18"/>
                <w:color w:val="auto"/>
              </w:rPr>
              <w:t>18,966</w:t>
            </w:r>
          </w:p>
        </w:tc>
        <w:tc>
          <w:tcPr>
            <w:tcW w:w="10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2019</w:t>
            </w: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4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2014</w:t>
            </w:r>
          </w:p>
        </w:tc>
        <w:tc>
          <w:tcPr>
            <w:tcW w:w="45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760" w:type="dxa"/>
            <w:vAlign w:val="bottom"/>
            <w:gridSpan w:val="2"/>
          </w:tcPr>
          <w:p>
            <w:pPr>
              <w:jc w:val="right"/>
              <w:ind w:right="8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42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Total</w:t>
            </w:r>
          </w:p>
        </w:tc>
        <w:tc>
          <w:tcPr>
            <w:tcW w:w="4540" w:type="dxa"/>
            <w:vAlign w:val="bottom"/>
            <w:tcBorders>
              <w:bottom w:val="single" w:sz="8" w:color="CCEEFF"/>
            </w:tcBorders>
            <w:shd w:val="clear" w:color="auto" w:fill="CCEEFF"/>
          </w:tcPr>
          <w:p>
            <w:pPr>
              <w:spacing w:after="0"/>
              <w:rPr>
                <w:sz w:val="24"/>
                <w:szCs w:val="24"/>
                <w:color w:val="auto"/>
              </w:rPr>
            </w:pPr>
          </w:p>
        </w:tc>
        <w:tc>
          <w:tcPr>
            <w:tcW w:w="4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29,634</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10</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17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 August 2018, the U.S.-based Financial Accounting Standards Board (FASB) issued Accounting Standards Update (ASU) 2018-15-Intangibles-Goodwill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The adoption of the new guidance did not have a significant impact on our financial results.</w:t>
      </w:r>
    </w:p>
    <w:p>
      <w:pPr>
        <w:spacing w:after="0" w:line="12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is effective for annual and interim goodwill impairment testing performed for our fiscal year beginning January 1, 2020. The adoption of the new guidance did not have a significant impact on our financial results.</w:t>
      </w:r>
    </w:p>
    <w:p>
      <w:pPr>
        <w:spacing w:after="0" w:line="138"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FASB issued two ASUs related to financial instruments – credit losses. The ASUs issued were: (1) in June 2016, ASU 2016-13, Financial Instruments-Credit Losses (Topic 326): Measurement of Credit Losses on Financial Instruments, and (2) in November 2018, ASU 2018-19-Codification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leasing standard. These ASUs are effective for fiscal years beginning after December 15, 2019, and interim periods within those years, with early adoption permitted. The modified retrospective method is required upon adoption. The adoption of the new guidance resulted in an adjustment of approximately $0.1 million to reduce the accumulated deficit component of stockholders’ equity and decrease current assets by the same amount in our condensed consolidated balance sheet.</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November 2019, the FASB issued ASU 2019-12-Income Taxes (Topic 740): Simplifying the Accounting for Income Taxes. The amendments in this update improve consistent application of and simplify U.S.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We are currently evaluating the impact of adoption on our condensed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75"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On January 17, 2020, we completed the acquisition of all of the outstanding shares of InstruNor AS, a privately held Norwegian company (InstruNor).</w:t>
      </w:r>
    </w:p>
    <w:p>
      <w:pPr>
        <w:spacing w:after="0" w:line="11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InstruNor is a provider of the only fully integrated sample preparation system for flow and mass cytometry. The acquisition of InstruNor supports our entry into the sample preparation market for cytometry analysis and expands our capabilities to include fully automated sample preparation for flow and mass cytometry. The value of this technology is reflected in the intangible asset for developed technology. The developed technology was valued using a discounted cash flow model for which the most sensitive assumption was revenue growth rate.</w:t>
      </w:r>
    </w:p>
    <w:p>
      <w:pPr>
        <w:spacing w:after="0" w:line="13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purchase price of $7.2 million included approximately $5.2 million in cash and 485,451 shares of our common stock valued at the closing price on the effective date of $4.22.</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net cash flows is summarized below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6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January 17, 2020</w:t>
            </w:r>
          </w:p>
        </w:tc>
      </w:tr>
      <w:tr>
        <w:trPr>
          <w:trHeight w:val="249"/>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 paid to former equity 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5,165</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Less: cash and cash equivalents acquired</w:t>
            </w:r>
          </w:p>
        </w:tc>
        <w:tc>
          <w:tcPr>
            <w:tcW w:w="14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w:t>
            </w:r>
          </w:p>
        </w:tc>
      </w:tr>
      <w:tr>
        <w:trPr>
          <w:trHeight w:val="27"/>
        </w:trPr>
        <w:tc>
          <w:tcPr>
            <w:tcW w:w="9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InstruNor, net of cash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5,154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61" w:right="3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type w:val="continuous"/>
        </w:sectPr>
      </w:pPr>
    </w:p>
    <w:bookmarkStart w:id="13" w:name="page14"/>
    <w:bookmarkEnd w:id="13"/>
    <w:p>
      <w:pPr>
        <w:spacing w:after="0" w:line="130"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acquisition was accounted for in accordance with ASC 805, Business Combinations. The assets acquired and liabilities assumed were recorded at their estimated fair values at the InstruNor acquisition date. Goodwill of $2.2 million was calculated as the purchase price less the fair value of the net assets acquired as follows (in thousands):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6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17, 2020</w:t>
            </w: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Cash consideration paid on closing to former equity 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5,165</w:t>
            </w:r>
          </w:p>
        </w:tc>
      </w:tr>
      <w:tr>
        <w:trPr>
          <w:trHeight w:val="27"/>
        </w:trPr>
        <w:tc>
          <w:tcPr>
            <w:tcW w:w="9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Non-cash consideration common shares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2,049</w:t>
            </w:r>
          </w:p>
        </w:tc>
      </w:tr>
      <w:tr>
        <w:trPr>
          <w:trHeight w:val="237"/>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Total purchase price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7,214</w:t>
            </w:r>
          </w:p>
        </w:tc>
      </w:tr>
      <w:tr>
        <w:trPr>
          <w:trHeight w:val="27"/>
        </w:trPr>
        <w:tc>
          <w:tcPr>
            <w:tcW w:w="9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Assets acquired: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9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32</w:t>
            </w:r>
          </w:p>
        </w:tc>
      </w:tr>
      <w:tr>
        <w:trPr>
          <w:trHeight w:val="27"/>
        </w:trPr>
        <w:tc>
          <w:tcPr>
            <w:tcW w:w="9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153</w:t>
            </w:r>
          </w:p>
        </w:tc>
      </w:tr>
      <w:tr>
        <w:trPr>
          <w:trHeight w:val="27"/>
        </w:trPr>
        <w:tc>
          <w:tcPr>
            <w:tcW w:w="9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5,380</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Liabilities assumed:</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9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w:t>
            </w:r>
          </w:p>
        </w:tc>
      </w:tr>
      <w:tr>
        <w:trPr>
          <w:trHeight w:val="27"/>
        </w:trPr>
        <w:tc>
          <w:tcPr>
            <w:tcW w:w="9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566</w:t>
            </w:r>
          </w:p>
        </w:tc>
      </w:tr>
      <w:tr>
        <w:trPr>
          <w:trHeight w:val="237"/>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Fair value of identifiable net assets acquired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4,994</w:t>
            </w:r>
          </w:p>
        </w:tc>
      </w:tr>
      <w:tr>
        <w:trPr>
          <w:trHeight w:val="27"/>
        </w:trPr>
        <w:tc>
          <w:tcPr>
            <w:tcW w:w="9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acquired on acquisition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2,220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presents our revenue for the three and six months ended June 30, 2020 and 2019, respectively, based on geographic area and by source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3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Markets: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13,940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11,120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28,784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24,091</w:t>
            </w:r>
          </w:p>
        </w:tc>
      </w:tr>
      <w:tr>
        <w:trPr>
          <w:trHeight w:val="27"/>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14,653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19,373</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5,859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10,238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14,843</w:t>
            </w:r>
          </w:p>
        </w:tc>
      </w:tr>
      <w:tr>
        <w:trPr>
          <w:trHeight w:val="27"/>
        </w:trPr>
        <w:tc>
          <w:tcPr>
            <w:tcW w:w="5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26,058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28,196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53,675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58,307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48"/>
        </w:trPr>
        <w:tc>
          <w:tcPr>
            <w:tcW w:w="5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24"/>
                <w:szCs w:val="24"/>
                <w:color w:val="auto"/>
              </w:rPr>
            </w:pPr>
          </w:p>
        </w:tc>
        <w:tc>
          <w:tcPr>
            <w:tcW w:w="24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3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Source: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8,577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12,201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18,048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25,041</w:t>
            </w:r>
          </w:p>
        </w:tc>
      </w:tr>
      <w:tr>
        <w:trPr>
          <w:trHeight w:val="27"/>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8,828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18,338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23,021</w:t>
            </w: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17,405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23,235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36,386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48,062</w:t>
            </w:r>
          </w:p>
        </w:tc>
      </w:tr>
      <w:tr>
        <w:trPr>
          <w:trHeight w:val="27"/>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10,245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Development revenue</w:t>
            </w:r>
          </w:p>
        </w:tc>
        <w:tc>
          <w:tcPr>
            <w:tcW w:w="26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120"/>
              <w:spacing w:after="0"/>
              <w:rPr>
                <w:sz w:val="20"/>
                <w:szCs w:val="20"/>
                <w:color w:val="auto"/>
              </w:rPr>
            </w:pPr>
            <w:r>
              <w:rPr>
                <w:rFonts w:ascii="Arial" w:cs="Arial" w:eastAsia="Arial" w:hAnsi="Arial"/>
                <w:sz w:val="18"/>
                <w:szCs w:val="18"/>
                <w:color w:val="auto"/>
              </w:rPr>
              <w:t>License and royalty revenue</w:t>
            </w:r>
          </w:p>
        </w:tc>
        <w:tc>
          <w:tcPr>
            <w:tcW w:w="26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tcPr>
          <w:p>
            <w:pPr>
              <w:ind w:left="120"/>
              <w:spacing w:after="0"/>
              <w:rPr>
                <w:sz w:val="20"/>
                <w:szCs w:val="20"/>
                <w:color w:val="auto"/>
              </w:rPr>
            </w:pPr>
            <w:r>
              <w:rPr>
                <w:rFonts w:ascii="Arial" w:cs="Arial" w:eastAsia="Arial" w:hAnsi="Arial"/>
                <w:sz w:val="18"/>
                <w:szCs w:val="18"/>
                <w:color w:val="auto"/>
              </w:rPr>
              <w:t>Total other revenue</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26,058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28,196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53,675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58,307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We reported $20.0 million of deferred revenue in our December 31, 2019 consolidated balance sheet. During the six months ended June 30, 2020, $6.2 million of the opening balance was recognized as revenue and $8.4 million of net additional advance payments were received from customers, primarily associated with instrument service contracts. At June 30, 2020, we reported $22.2 million of deferred revenue.</w:t>
      </w:r>
    </w:p>
    <w:p>
      <w:pPr>
        <w:spacing w:after="0" w:line="11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June 30, 2020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 xml:space="preserve">Expected Revenue </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249"/>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7,401</w:t>
            </w:r>
          </w:p>
        </w:tc>
        <w:tc>
          <w:tcPr>
            <w:tcW w:w="0" w:type="dxa"/>
            <w:vAlign w:val="bottom"/>
          </w:tcPr>
          <w:p>
            <w:pPr>
              <w:spacing w:after="0"/>
              <w:rPr>
                <w:sz w:val="1"/>
                <w:szCs w:val="1"/>
                <w:color w:val="auto"/>
              </w:rPr>
            </w:pP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8,636</w:t>
            </w:r>
          </w:p>
        </w:tc>
        <w:tc>
          <w:tcPr>
            <w:tcW w:w="0" w:type="dxa"/>
            <w:vAlign w:val="bottom"/>
          </w:tcPr>
          <w:p>
            <w:pPr>
              <w:spacing w:after="0"/>
              <w:rPr>
                <w:sz w:val="1"/>
                <w:szCs w:val="1"/>
                <w:color w:val="auto"/>
              </w:rPr>
            </w:pPr>
          </w:p>
        </w:tc>
      </w:tr>
      <w:tr>
        <w:trPr>
          <w:trHeight w:val="27"/>
        </w:trPr>
        <w:tc>
          <w:tcPr>
            <w:tcW w:w="9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43"/>
        </w:trPr>
        <w:tc>
          <w:tcPr>
            <w:tcW w:w="95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7"/>
        </w:trPr>
        <w:tc>
          <w:tcPr>
            <w:tcW w:w="9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23,903</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9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20" w:hanging="332"/>
        <w:spacing w:after="0" w:line="255" w:lineRule="auto"/>
        <w:tabs>
          <w:tab w:leader="none" w:pos="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revenue includes both billed amounts included in deferred revenue and unbilled amounts that are not reflected in our condensed consolidated financial statements and are subject to change if our customers decide to cancel or modify their contracts. Purchase orders for instrument service contracts can generally be canceled before the service period begins without penalty.</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5" w:name="page16"/>
    <w:bookmarkEnd w:id="15"/>
    <w:p>
      <w:pPr>
        <w:ind w:right="140" w:firstLine="486"/>
        <w:spacing w:after="0" w:line="277" w:lineRule="auto"/>
        <w:rPr>
          <w:sz w:val="20"/>
          <w:szCs w:val="20"/>
          <w:color w:val="auto"/>
        </w:rPr>
      </w:pPr>
      <w:r>
        <w:rPr>
          <w:rFonts w:ascii="Arial" w:cs="Arial" w:eastAsia="Arial" w:hAnsi="Arial"/>
          <w:sz w:val="18"/>
          <w:szCs w:val="18"/>
          <w:color w:val="auto"/>
        </w:rPr>
        <w:t>We apply the practical expedient that permits us not to disclose information about unsatisfied performance obligations for service contracts with an expected term of one year or less.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75"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In connection with our acquisition of DVS Sciences, Inc. in February 2014, we recognized goodwill of $104.1 million and $112.0 million of developed technology. In the first quarter of 2020, we recognized $2.2 million of goodwill from the InstruNor acquisition and $5.4 million of developed technology (see Note 3). We are amortizing InstruNor developed technology over 8.0 years.</w:t>
      </w:r>
    </w:p>
    <w:p>
      <w:pPr>
        <w:spacing w:after="0" w:line="13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our current results, assumptions regarding future performance, strategic initiatives and overall economic factors, including the ongoing global COVID-19 pandemic and macroeconomic developments to determine the existence of potential indicators of impairment and assess if it is more likely than not that the fair value of our reporting unit or intangible assets is less than their carrying value. If indicators of impairment are identified, a quantitative impairment test is performed.</w:t>
      </w:r>
    </w:p>
    <w:p>
      <w:pPr>
        <w:spacing w:after="0" w:line="12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During the first quarter of fiscal 2020, the Company assessed whether the current and potential future impact of the COVID-19 pandemic represented an event which necessitated an impairment review. This assessment included an update of the qualitative and quantitative factors affecting our business. As a result of this assessment, we determined that a triggering event had occurred and a quantitative impairment test was performed. As a result of this quantitative analysis, we determined that the fair values of our goodwill and developed technology intangibles were not less than their carrying values and no impairment was recognized.</w:t>
      </w:r>
    </w:p>
    <w:p>
      <w:pPr>
        <w:spacing w:after="0" w:line="13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Intangible assets also include other patents and licenses, which are included in other non-current assets. Intangible assets, net, were as follows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June 30, 2020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8"/>
              </w:rPr>
              <w:t>Gross Amount</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1"/>
              <w:spacing w:after="0" w:line="15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95"/>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117,380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(71,736)</w:t>
            </w:r>
          </w:p>
        </w:tc>
        <w:tc>
          <w:tcPr>
            <w:tcW w:w="100" w:type="dxa"/>
            <w:vAlign w:val="bottom"/>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45,644</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9.9 years</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Patents and licenses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5"/>
        </w:trPr>
        <w:tc>
          <w:tcPr>
            <w:tcW w:w="5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8"/>
              </w:rPr>
              <w:t>Gross Amount</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1"/>
              <w:spacing w:after="0" w:line="15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89"/>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112,000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46,200</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Patents and licenses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21"/>
              <w:spacing w:after="0"/>
              <w:rPr>
                <w:sz w:val="20"/>
                <w:szCs w:val="20"/>
                <w:color w:val="auto"/>
              </w:rPr>
            </w:pPr>
            <w:r>
              <w:rPr>
                <w:rFonts w:ascii="Arial" w:cs="Arial" w:eastAsia="Arial" w:hAnsi="Arial"/>
                <w:sz w:val="18"/>
                <w:szCs w:val="18"/>
                <w:color w:val="auto"/>
              </w:rPr>
              <w:t>(8,342)</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Total amortization expense for the three months ended June 30, 2020 and 2019 was $3.2 million and $3.1 million, respectively. Amortization of intangibles was $6.4 million and $6.2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7"/>
          <w:szCs w:val="17"/>
          <w:color w:val="auto"/>
        </w:rPr>
        <w:t>Based on the carrying value of intangible assets, net, as of June 30, 2020, the amortization expense is expected to be as follows (in thousands):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Developed Technology</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Patents and Licenses</w:t>
            </w:r>
          </w:p>
        </w:tc>
        <w:tc>
          <w:tcPr>
            <w:tcW w:w="320" w:type="dxa"/>
            <w:vAlign w:val="bottom"/>
          </w:tcPr>
          <w:p>
            <w:pPr>
              <w:spacing w:after="0"/>
              <w:rPr>
                <w:sz w:val="14"/>
                <w:szCs w:val="14"/>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vMerge w:val="continue"/>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 Expense</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 Expense</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(remainder of the year)</w:t>
            </w: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5,936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11,873</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12,632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11,873</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12,549</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11,873</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12,443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2,073</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45,644</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48,116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Details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cash equivalents and restricted cash consisted of the following as of June 30, 2020 and December 31, 2019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42,965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21,661</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2,075</w:t>
            </w:r>
          </w:p>
        </w:tc>
      </w:tr>
      <w:tr>
        <w:trPr>
          <w:trHeight w:val="27"/>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44,040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23,736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Short-term restricted cash of approximately $75 thousand is included in prepaid expenses and other current assets and $1.0 million of non-current restricted cash is included in other non-current assets in the condensed consolidated balance sheet as of June 30,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as of June 30, 2020 and December 31, 2019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December 31, 2019</w:t>
            </w:r>
          </w:p>
        </w:tc>
      </w:tr>
      <w:tr>
        <w:trPr>
          <w:trHeight w:val="250"/>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9,665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6,133</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659</w:t>
            </w:r>
          </w:p>
        </w:tc>
      </w:tr>
      <w:tr>
        <w:trPr>
          <w:trHeight w:val="27"/>
        </w:trPr>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7,092</w:t>
            </w:r>
          </w:p>
        </w:tc>
      </w:tr>
      <w:tr>
        <w:trPr>
          <w:trHeight w:val="263"/>
        </w:trPr>
        <w:tc>
          <w:tcPr>
            <w:tcW w:w="75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18,900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13,884</w:t>
            </w:r>
          </w:p>
        </w:tc>
      </w:tr>
      <w:tr>
        <w:trPr>
          <w:trHeight w:val="21"/>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consisted of the following as of June 30, 2020 and December 31, 2019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December 31, 2019</w:t>
            </w:r>
          </w:p>
        </w:tc>
      </w:tr>
      <w:tr>
        <w:trPr>
          <w:trHeight w:val="249"/>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3,997</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30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19,652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19,325</w:t>
            </w:r>
          </w:p>
        </w:tc>
      </w:tr>
      <w:tr>
        <w:trPr>
          <w:trHeight w:val="27"/>
        </w:trPr>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7,788</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30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1,824</w:t>
            </w:r>
          </w:p>
        </w:tc>
      </w:tr>
      <w:tr>
        <w:trPr>
          <w:trHeight w:val="27"/>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34,066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32,934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(26,309)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(24,954)</w:t>
            </w:r>
          </w:p>
        </w:tc>
      </w:tr>
      <w:tr>
        <w:trPr>
          <w:trHeight w:val="27"/>
        </w:trPr>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w:t>
            </w:r>
          </w:p>
        </w:tc>
      </w:tr>
      <w:tr>
        <w:trPr>
          <w:trHeight w:val="236"/>
        </w:trPr>
        <w:tc>
          <w:tcPr>
            <w:tcW w:w="75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7,865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8,056</w:t>
            </w:r>
          </w:p>
        </w:tc>
      </w:tr>
      <w:tr>
        <w:trPr>
          <w:trHeight w:val="27"/>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Warranties</w:t>
      </w:r>
    </w:p>
    <w:p>
      <w:pPr>
        <w:spacing w:after="0" w:line="17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Activity for our warranty accrual for the six months ended June 30, 2020 and 2019, which are included in other accrued liabilities, is summarized below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96"/>
        </w:trPr>
        <w:tc>
          <w:tcPr>
            <w:tcW w:w="75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863</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Accrual for current period warranties</w:t>
            </w:r>
          </w:p>
        </w:tc>
        <w:tc>
          <w:tcPr>
            <w:tcW w:w="11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657</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costs incurred</w:t>
            </w: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63"/>
        </w:trPr>
        <w:tc>
          <w:tcPr>
            <w:tcW w:w="75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1,091</w:t>
            </w:r>
          </w:p>
        </w:tc>
      </w:tr>
      <w:tr>
        <w:trPr>
          <w:trHeight w:val="21"/>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Notes and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Senior Convertible Notes (2014 Notes)</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2014 Notes. We received $195.2 million, net of underwriting discounts, from the issuance of the 2014 Notes and incurred approximately $1.1 million in offering-related expenses. The underwriting discount of $6.0 million and the debt issuance costs of $1.1 million were recorded as offsets to the proceeds. The underwriting discount and offering-related expenses are being amortized to interest expense using the effective-interest rate method. The effective interest rate on the 2014 Notes, reflecting the impact of debt discounts and issuance costs, is 3.0%. The 2014 Notes will mature on February 1, 2034, unless earlier converted, redeemed, or repurchased in accordance with the terms of the 2014 Notes. We have retired the majority of the 2014 Notes through the issuance of the 2018 Notes and 2019 Notes, as discussed below. As of June 30, 2020, there is $1.1 million aggregate principal of the 2014 Notes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Senior Convertible Notes (2018 Notes)</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March 2018, we entered into separate privately negotiated transactions with certain holders of our 2014 Notes to exchange $150.0 million in aggregate principal amount of the 2014 Notes for 2018 Notes, leaving $51.3 million of the aggregate principal amount of 2014 Notes outstanding. As of the closing of the 2018 Notes on March 12, 2018, the estimated fair value was $145.5 million. The difference between the $150.0 million aggregate principal amount of the 2018 Notes and its fair value was being amortized over the expected term of the 2018 Notes using the effective interest method through the first note holder put date of February 6, 2023.</w:t>
      </w:r>
    </w:p>
    <w:p>
      <w:pPr>
        <w:spacing w:after="0" w:line="134"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The 2018 Notes accrued interest at a rate of 2.75% payable semi-annually in arrears on February 1 and August 1 of each year. The 2018 Notes were set to mature on February 1, 2034, unless earlier converted, redeemed, or repurchased in accordance with the terms of the indenture governing the 2018 Notes. The initial conversion rate of the 2018 Notes was 126.9438 shares of our common stock, par value $0.001 per share, per $1,000 principal amount of the 2018 Notes (which is equivalent to an initial conversion price of approximately $7.88 per share). The conversion rate was subject to adjustment upon the occurrence of certain specified events. Those certain specified events included holders who converted their 2018 Notes voluntarily prior to our exercise of the issuer’s conversion option described below or in connection with a make-whole fundamental change prior to February 6, 2023, entitling the holders, under certain circumstances, to a make-whole premium in the form of an increase in the conversion rate determined by reference to a make-whole table set forth in the indenture governing the 2018 Notes. Any time prior to the maturity of the 2018 Notes, we could convert the 2018 Notes, in whole but not in part, into cash, shares of our common stock, or combination thereof, if the closing price of our common stock equaled or exceeded 110% of the conversion price then in effect for a specified number of days.</w:t>
      </w:r>
    </w:p>
    <w:p>
      <w:pPr>
        <w:spacing w:after="0" w:line="131"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Offering-related costs for the 2018 Notes were approximately $2.8 million. Offering-related costs of $2.2 million were capitalized as debt issuance costs, recorded as an offset to the carrying value of the 2018 Notes, and were being amortized over the expected term of the 2018 Notes using the effective interest method through the first note holder put date of February 6, 2023. The effective interest rate on the 2018 Notes was 12.3%. Offering-related costs of $0.6 million were accounted for as equity issuance costs, recorded as an offset to additional paid-in capital, and were not subject to amortization. Offering-related costs were allocated between debt and equity in the same proportion as the allocation of the 2018 Notes between debt and equity.</w:t>
      </w:r>
    </w:p>
    <w:p>
      <w:pPr>
        <w:spacing w:after="0" w:line="10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the first quarter of 2019, we received notices from holders of the 2018 Notes electing to voluntarily convert approximately $138.1 million in aggregate principal amount of the 2018 Notes. In February 2019, we notified the trustee, U.S. Bank National Association, of our intention to exercise our issuer’s conversion option with respect to the remaining approximately $11.9 million in aggregate principal amount of 2018 Notes. In total, $150.0 million of the 2018 Notes were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right="240"/>
        <w:spacing w:after="0" w:line="263" w:lineRule="auto"/>
        <w:rPr>
          <w:sz w:val="20"/>
          <w:szCs w:val="20"/>
          <w:color w:val="auto"/>
        </w:rPr>
      </w:pPr>
      <w:r>
        <w:rPr>
          <w:rFonts w:ascii="Arial" w:cs="Arial" w:eastAsia="Arial" w:hAnsi="Arial"/>
          <w:sz w:val="18"/>
          <w:szCs w:val="18"/>
          <w:color w:val="auto"/>
        </w:rPr>
        <w:t>converted into 19.5 million shares of our common stock and the bonds were retired. We recognized a loss of $9.0 million on the retirement of the 2018 Notes, which represented the difference between the fair value of the bonds retired and their carrying costs. The net impact on equity was $133.3 million and represented the fair value of the bonds retired.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Senior Convertible Notes (2019 Notes)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November 2019, we issued $55.0 million aggregate principal amount of 2019 Notes. Net proceeds of the offering of the 2019 Notes issuance were $52.7 million, after deductions for commissions and other debt issuance costs of approximately $2.3 million. $51.8 million of the proceeds of the 2019 Notes were used to retire $50.2 million aggregate principal amount of our 2014 Notes, leaving $1.1 million of aggregate principal value of 2014 Notes outstanding. We accounted for the transaction as an extinguishment of debt due to the significance of the change in value of the embedded conversion option, resulting in a $3.0 million loss in the fourth quarter of 2019. The loss on extinguishment of debt was calculated as the difference between the reacquisition price (i.e., the fair value of the principal amount of 2019 Notes) and the net carrying value of the 2014 Notes exchanged.</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2019 Notes bear interest at 5.25% per annum, payable semiannually in arrears on June 1 and December 1 of each year, beginning on June 1,</w:t>
      </w:r>
    </w:p>
    <w:p>
      <w:pPr>
        <w:spacing w:after="0" w:line="4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2020. The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144"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then in effect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110"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Offering-related costs for the 2019 Notes were capitalized as debt issuance costs and are recorded as an offset to the carrying value of the 2019 Notes. The debt issuance costs are being amortized over the expected term of the 2019 Notes using the effective interest method through the maturity date of December 1, 2024. The effective interest rate on the 2019 Notes is 6.2%.</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values of the components of the 2014 Notes and the 2019 Notes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3"/>
        </w:trPr>
        <w:tc>
          <w:tcPr>
            <w:tcW w:w="3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2.75% 2014 Notes due 2034</w:t>
            </w:r>
          </w:p>
        </w:tc>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38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w:t>
            </w:r>
          </w:p>
        </w:tc>
        <w:tc>
          <w:tcPr>
            <w:tcW w:w="3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CEEFF"/>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0"/>
              <w:spacing w:after="0"/>
              <w:rPr>
                <w:sz w:val="20"/>
                <w:szCs w:val="20"/>
                <w:color w:val="auto"/>
              </w:rPr>
            </w:pPr>
            <w:r>
              <w:rPr>
                <w:rFonts w:ascii="Arial" w:cs="Arial" w:eastAsia="Arial" w:hAnsi="Arial"/>
                <w:sz w:val="18"/>
                <w:szCs w:val="18"/>
                <w:b w:val="1"/>
                <w:bCs w:val="1"/>
                <w:color w:val="auto"/>
              </w:rPr>
              <w:t>5.25% 2019 Notes due 2024</w:t>
            </w: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38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Unamortized debt issuance cost</w:t>
            </w:r>
          </w:p>
        </w:tc>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8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52,962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52,764</w:t>
            </w:r>
          </w:p>
        </w:tc>
        <w:tc>
          <w:tcPr>
            <w:tcW w:w="0" w:type="dxa"/>
            <w:vAlign w:val="bottom"/>
          </w:tcPr>
          <w:p>
            <w:pPr>
              <w:spacing w:after="0"/>
              <w:rPr>
                <w:sz w:val="1"/>
                <w:szCs w:val="1"/>
                <w:color w:val="auto"/>
              </w:rPr>
            </w:pPr>
          </w:p>
        </w:tc>
      </w:tr>
      <w:tr>
        <w:trPr>
          <w:trHeight w:val="263"/>
        </w:trPr>
        <w:tc>
          <w:tcPr>
            <w:tcW w:w="3980" w:type="dxa"/>
            <w:vAlign w:val="bottom"/>
          </w:tcPr>
          <w:p>
            <w:pPr>
              <w:ind w:left="200"/>
              <w:spacing w:after="0"/>
              <w:rPr>
                <w:sz w:val="20"/>
                <w:szCs w:val="20"/>
                <w:color w:val="auto"/>
              </w:rPr>
            </w:pPr>
            <w:r>
              <w:rPr>
                <w:rFonts w:ascii="Arial" w:cs="Arial" w:eastAsia="Arial" w:hAnsi="Arial"/>
                <w:sz w:val="18"/>
                <w:szCs w:val="18"/>
                <w:color w:val="auto"/>
              </w:rPr>
              <w:t>Net carrying value of all Notes</w:t>
            </w:r>
          </w:p>
        </w:tc>
        <w:tc>
          <w:tcPr>
            <w:tcW w:w="35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54,013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53,821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540" w:type="dxa"/>
            <w:vAlign w:val="bottom"/>
            <w:vMerge w:val="restart"/>
          </w:tcPr>
          <w:p>
            <w:pPr>
              <w:jc w:val="right"/>
              <w:ind w:right="171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9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2018 Revolving Credit Facility</w:t>
      </w:r>
    </w:p>
    <w:p>
      <w:pPr>
        <w:spacing w:after="0" w:line="17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August 2018, we entered into a revolving credit facility with Silicon Valley Bank (as amended, the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we may make and repay borrowings from time to time until the maturity of the Revolving Credit Facility. The Borrowing Base as of June 30, 2020 under the Revolving Credit Facility was $7.3 million. There were no borrowings outstanding under the Revolving Credit Facility at June 30, 2020.</w:t>
      </w:r>
    </w:p>
    <w:p>
      <w:pPr>
        <w:spacing w:after="0" w:line="12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Revolving Credit Facility is collateralized by substantially all our property, other than intellectual property. Until an amendment in April 2020, the Revolving Credit Facility was set to mature on August 2, 2020. The interest rate on outstanding loans under the Revolving Credit Facility was the greater of (i) prime rate plus 0.50% or (ii) 5.50%. Interest on any outstanding loans is due and payable monthly and the principal balance is due at maturity, though loans can be prepaid at any time without penalty. In addition, we pay a quarterly unused revolving line facility fee of 0.75% per annum on the average unused facility and an annual commitment fee of $112,500.</w:t>
      </w:r>
    </w:p>
    <w:p>
      <w:pPr>
        <w:spacing w:after="0" w:line="134"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Effective April 21, 2020, the Revolving Credit Facility was amended to extend the maturity date to August 2, 2022. In addition, the interest rate on outstanding loans under the Revolving Credit Facility was reduced by 0.25%. The quarterly unused line fee, which was previously based on the Maximum Amount, will now be based on the Borrowing Base. The annual commitment fee of $112,500 is unchanged.</w:t>
      </w:r>
    </w:p>
    <w:p>
      <w:pPr>
        <w:spacing w:after="0" w:line="111"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The Revolving Credit Facility contains customary affirmative and negative covenants that,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us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 We were in compliance with all the terms and conditions of the Revolving Credit Facility at June 30,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7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 have operating leases for buildings, equipment and vehicles. Existing leases have remaining terms of less than one year to ten years. Some leases contain options to extend the lease, usually for up to five years, and termination options.</w:t>
      </w:r>
    </w:p>
    <w:p>
      <w:pPr>
        <w:spacing w:after="0" w:line="116"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Supplemental balance sheet information related to leases was as follows as of June 30, 2020 and December 31, 2019 (in thousands, except for discount rate and lease term):</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buildings</w:t>
            </w:r>
          </w:p>
        </w:tc>
        <w:tc>
          <w:tcPr>
            <w:tcW w:w="34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40,618</w:t>
            </w:r>
          </w:p>
        </w:tc>
        <w:tc>
          <w:tcPr>
            <w:tcW w:w="6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Operating lease right-of-use equipment</w:t>
            </w:r>
          </w:p>
        </w:tc>
        <w:tc>
          <w:tcPr>
            <w:tcW w:w="3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vehicles</w:t>
            </w:r>
          </w:p>
        </w:tc>
        <w:tc>
          <w:tcPr>
            <w:tcW w:w="3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Total operating lease right-of-use assets, gross</w:t>
            </w:r>
          </w:p>
        </w:tc>
        <w:tc>
          <w:tcPr>
            <w:tcW w:w="3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41,103</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180" w:type="dxa"/>
            <w:vAlign w:val="bottom"/>
            <w:tcBorders>
              <w:top w:val="single" w:sz="8" w:color="auto"/>
            </w:tcBorders>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3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4560" w:type="dxa"/>
            <w:vAlign w:val="bottom"/>
          </w:tcPr>
          <w:p>
            <w:pPr>
              <w:ind w:left="20"/>
              <w:spacing w:after="0"/>
              <w:rPr>
                <w:sz w:val="20"/>
                <w:szCs w:val="20"/>
                <w:color w:val="auto"/>
              </w:rPr>
            </w:pPr>
            <w:r>
              <w:rPr>
                <w:rFonts w:ascii="Arial" w:cs="Arial" w:eastAsia="Arial" w:hAnsi="Arial"/>
                <w:sz w:val="18"/>
                <w:szCs w:val="18"/>
                <w:color w:val="auto"/>
              </w:rPr>
              <w:t>Total operating lease right-of-use assets, net</w:t>
            </w:r>
          </w:p>
        </w:tc>
        <w:tc>
          <w:tcPr>
            <w:tcW w:w="3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39,027</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80" w:type="dxa"/>
            <w:vAlign w:val="bottom"/>
            <w:tcBorders>
              <w:top w:val="single" w:sz="8" w:color="auto"/>
              <w:bottom w:val="single" w:sz="8" w:color="auto"/>
            </w:tcBorders>
          </w:tcPr>
          <w:p>
            <w:pPr>
              <w:spacing w:after="0"/>
              <w:rPr>
                <w:sz w:val="22"/>
                <w:szCs w:val="22"/>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3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2,170</w:t>
            </w:r>
          </w:p>
        </w:tc>
        <w:tc>
          <w:tcPr>
            <w:tcW w:w="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1,833</w:t>
            </w:r>
          </w:p>
        </w:tc>
        <w:tc>
          <w:tcPr>
            <w:tcW w:w="18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456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41,309</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180" w:type="dxa"/>
            <w:vAlign w:val="bottom"/>
            <w:tcBorders>
              <w:top w:val="single" w:sz="8" w:color="auto"/>
              <w:bottom w:val="single" w:sz="8" w:color="auto"/>
            </w:tcBorders>
          </w:tcPr>
          <w:p>
            <w:pPr>
              <w:spacing w:after="0"/>
              <w:rPr>
                <w:sz w:val="22"/>
                <w:szCs w:val="22"/>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3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per annum</w:t>
            </w:r>
          </w:p>
        </w:tc>
        <w:tc>
          <w:tcPr>
            <w:tcW w:w="3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850"/>
        </w:trPr>
        <w:tc>
          <w:tcPr>
            <w:tcW w:w="4560" w:type="dxa"/>
            <w:vAlign w:val="bottom"/>
          </w:tcPr>
          <w:p>
            <w:pPr>
              <w:spacing w:after="0"/>
              <w:rPr>
                <w:sz w:val="24"/>
                <w:szCs w:val="24"/>
                <w:color w:val="auto"/>
              </w:rPr>
            </w:pPr>
          </w:p>
        </w:tc>
        <w:tc>
          <w:tcPr>
            <w:tcW w:w="3160" w:type="dxa"/>
            <w:vAlign w:val="bottom"/>
          </w:tcPr>
          <w:p>
            <w:pPr>
              <w:jc w:val="right"/>
              <w:ind w:right="191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0" w:name="page21"/>
    <w:bookmarkEnd w:id="20"/>
    <w:p>
      <w:pPr>
        <w:ind w:right="220" w:firstLine="486"/>
        <w:spacing w:after="0" w:line="259" w:lineRule="auto"/>
        <w:rPr>
          <w:sz w:val="20"/>
          <w:szCs w:val="20"/>
          <w:color w:val="auto"/>
        </w:rPr>
      </w:pPr>
      <w:r>
        <w:rPr>
          <w:rFonts w:ascii="Arial" w:cs="Arial" w:eastAsia="Arial" w:hAnsi="Arial"/>
          <w:sz w:val="18"/>
          <w:szCs w:val="18"/>
          <w:color w:val="auto"/>
        </w:rPr>
        <w:t>A new operating lease for our corporate headquarters in South San Francisco, California commenced in March 2020. We recorded a ROU asset of $35.7 million at the inception of the lease and an operating lease liability of $35.3 million. The lease term is approximately ten years. Future minimum lease payments over the life of the lease were discounted at a rate of 12.55%, which was our estimated incremental collateralized borrowing rate for the term of the lease at the inception of the lease.</w:t>
      </w:r>
    </w:p>
    <w:p>
      <w:pPr>
        <w:spacing w:after="0" w:line="133"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The following table presents the components of lease expense for the three and six months ended June 30, 2020 and 2019, respectively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9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 (including variable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4,511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3,056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660" w:type="dxa"/>
            <w:vAlign w:val="bottom"/>
          </w:tcPr>
          <w:p>
            <w:pPr>
              <w:ind w:left="20"/>
              <w:spacing w:after="0"/>
              <w:rPr>
                <w:sz w:val="20"/>
                <w:szCs w:val="20"/>
                <w:color w:val="auto"/>
              </w:rPr>
            </w:pPr>
            <w:r>
              <w:rPr>
                <w:rFonts w:ascii="Arial" w:cs="Arial" w:eastAsia="Arial" w:hAnsi="Arial"/>
                <w:sz w:val="18"/>
                <w:szCs w:val="18"/>
                <w:color w:val="auto"/>
              </w:rPr>
              <w:t>Variable costs including non-lease component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1,303</w:t>
            </w:r>
          </w:p>
        </w:tc>
      </w:tr>
      <w:tr>
        <w:trPr>
          <w:trHeight w:val="21"/>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Cash Flow Information:</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paid for amounts included in the measurement of operating lease liabilities (included in net cash used in operating activities in thousands):</w:t>
      </w:r>
    </w:p>
    <w:p>
      <w:pPr>
        <w:spacing w:after="0" w:line="66"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23495</wp:posOffset>
            </wp:positionV>
            <wp:extent cx="17316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ind w:left="9020"/>
        <w:spacing w:after="0"/>
        <w:tabs>
          <w:tab w:leader="none" w:pos="104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8520" w:val="left"/>
          <w:tab w:leader="none" w:pos="9240" w:val="left"/>
          <w:tab w:leader="none" w:pos="9920" w:val="left"/>
          <w:tab w:leader="none" w:pos="10660" w:val="left"/>
        </w:tabs>
        <w:rPr>
          <w:sz w:val="20"/>
          <w:szCs w:val="20"/>
          <w:color w:val="auto"/>
        </w:rPr>
      </w:pPr>
      <w:r>
        <w:rPr>
          <w:rFonts w:ascii="Arial" w:cs="Arial" w:eastAsia="Arial" w:hAnsi="Arial"/>
          <w:sz w:val="18"/>
          <w:szCs w:val="18"/>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1,987</w:t>
        <w:tab/>
        <w:t>$</w:t>
      </w:r>
      <w:r>
        <w:rPr>
          <w:sz w:val="20"/>
          <w:szCs w:val="20"/>
          <w:color w:val="auto"/>
        </w:rPr>
        <w:tab/>
      </w:r>
      <w:r>
        <w:rPr>
          <w:rFonts w:ascii="Arial" w:cs="Arial" w:eastAsia="Arial" w:hAnsi="Arial"/>
          <w:sz w:val="15"/>
          <w:szCs w:val="15"/>
          <w:color w:val="auto"/>
        </w:rPr>
        <w:t>2,061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57785</wp:posOffset>
            </wp:positionV>
            <wp:extent cx="1731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4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Future minimum lease payments under commenced non-cancelable operating leases, which are as of June 30, 2020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55"/>
              <w:spacing w:after="0"/>
              <w:rPr>
                <w:sz w:val="20"/>
                <w:szCs w:val="20"/>
                <w:color w:val="auto"/>
              </w:rPr>
            </w:pPr>
            <w:r>
              <w:rPr>
                <w:rFonts w:ascii="Arial" w:cs="Arial" w:eastAsia="Arial" w:hAnsi="Arial"/>
                <w:sz w:val="14"/>
                <w:szCs w:val="14"/>
                <w:b w:val="1"/>
                <w:bCs w:val="1"/>
                <w:color w:val="auto"/>
                <w:w w:val="95"/>
              </w:rPr>
              <w:t>Minimum Lease</w:t>
            </w:r>
          </w:p>
        </w:tc>
        <w:tc>
          <w:tcPr>
            <w:tcW w:w="0" w:type="dxa"/>
            <w:vAlign w:val="bottom"/>
          </w:tcPr>
          <w:p>
            <w:pPr>
              <w:spacing w:after="0"/>
              <w:rPr>
                <w:sz w:val="1"/>
                <w:szCs w:val="1"/>
                <w:color w:val="auto"/>
              </w:rPr>
            </w:pPr>
          </w:p>
        </w:tc>
      </w:tr>
      <w:tr>
        <w:trPr>
          <w:trHeight w:val="148"/>
        </w:trPr>
        <w:tc>
          <w:tcPr>
            <w:tcW w:w="9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2"/>
                <w:szCs w:val="12"/>
                <w:color w:val="auto"/>
              </w:rPr>
            </w:pPr>
          </w:p>
        </w:tc>
        <w:tc>
          <w:tcPr>
            <w:tcW w:w="12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Payments for</w:t>
            </w:r>
          </w:p>
        </w:tc>
        <w:tc>
          <w:tcPr>
            <w:tcW w:w="0" w:type="dxa"/>
            <w:vAlign w:val="bottom"/>
          </w:tcPr>
          <w:p>
            <w:pPr>
              <w:spacing w:after="0"/>
              <w:rPr>
                <w:sz w:val="1"/>
                <w:szCs w:val="1"/>
                <w:color w:val="auto"/>
              </w:rPr>
            </w:pPr>
          </w:p>
        </w:tc>
      </w:tr>
      <w:tr>
        <w:trPr>
          <w:trHeight w:val="192"/>
        </w:trPr>
        <w:tc>
          <w:tcPr>
            <w:tcW w:w="9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(remainder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7"/>
        </w:trPr>
        <w:tc>
          <w:tcPr>
            <w:tcW w:w="9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7"/>
        </w:trPr>
        <w:tc>
          <w:tcPr>
            <w:tcW w:w="9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39,231</w:t>
            </w:r>
          </w:p>
        </w:tc>
        <w:tc>
          <w:tcPr>
            <w:tcW w:w="0" w:type="dxa"/>
            <w:vAlign w:val="bottom"/>
          </w:tcPr>
          <w:p>
            <w:pPr>
              <w:spacing w:after="0"/>
              <w:rPr>
                <w:sz w:val="1"/>
                <w:szCs w:val="1"/>
                <w:color w:val="auto"/>
              </w:rPr>
            </w:pPr>
          </w:p>
        </w:tc>
      </w:tr>
      <w:tr>
        <w:trPr>
          <w:trHeight w:val="27"/>
        </w:trPr>
        <w:tc>
          <w:tcPr>
            <w:tcW w:w="9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70,739</w:t>
            </w:r>
          </w:p>
        </w:tc>
        <w:tc>
          <w:tcPr>
            <w:tcW w:w="0" w:type="dxa"/>
            <w:vAlign w:val="bottom"/>
          </w:tcPr>
          <w:p>
            <w:pPr>
              <w:spacing w:after="0"/>
              <w:rPr>
                <w:sz w:val="1"/>
                <w:szCs w:val="1"/>
                <w:color w:val="auto"/>
              </w:rPr>
            </w:pP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(29,430)</w:t>
            </w:r>
          </w:p>
        </w:tc>
        <w:tc>
          <w:tcPr>
            <w:tcW w:w="0" w:type="dxa"/>
            <w:vAlign w:val="bottom"/>
          </w:tcPr>
          <w:p>
            <w:pPr>
              <w:spacing w:after="0"/>
              <w:rPr>
                <w:sz w:val="1"/>
                <w:szCs w:val="1"/>
                <w:color w:val="auto"/>
              </w:rPr>
            </w:pPr>
          </w:p>
        </w:tc>
      </w:tr>
      <w:tr>
        <w:trPr>
          <w:trHeight w:val="27"/>
        </w:trPr>
        <w:tc>
          <w:tcPr>
            <w:tcW w:w="9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41,309</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75" w:lineRule="exact"/>
        <w:rPr>
          <w:sz w:val="20"/>
          <w:szCs w:val="20"/>
          <w:color w:val="auto"/>
        </w:rPr>
      </w:pPr>
    </w:p>
    <w:p>
      <w:pPr>
        <w:ind w:right="60" w:firstLine="486"/>
        <w:spacing w:after="0" w:line="276" w:lineRule="auto"/>
        <w:rPr>
          <w:sz w:val="20"/>
          <w:szCs w:val="20"/>
          <w:color w:val="auto"/>
        </w:rPr>
      </w:pPr>
      <w:r>
        <w:rPr>
          <w:rFonts w:ascii="Arial" w:cs="Arial" w:eastAsia="Arial" w:hAnsi="Arial"/>
          <w:sz w:val="18"/>
          <w:szCs w:val="18"/>
          <w:color w:val="auto"/>
        </w:rPr>
        <w:t>The following tables summarize our cash and available-for-sale securities that were measured at fair value by significant investment category within the fair value hierarchy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84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Short-Term</w:t>
            </w:r>
          </w:p>
        </w:tc>
        <w:tc>
          <w:tcPr>
            <w:tcW w:w="140" w:type="dxa"/>
            <w:vAlign w:val="bottom"/>
          </w:tcPr>
          <w:p>
            <w:pPr>
              <w:spacing w:after="0"/>
              <w:rPr>
                <w:sz w:val="13"/>
                <w:szCs w:val="13"/>
                <w:color w:val="auto"/>
              </w:rPr>
            </w:pPr>
          </w:p>
        </w:tc>
        <w:tc>
          <w:tcPr>
            <w:tcW w:w="8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2"/>
              </w:rPr>
              <w:t>Cash-</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4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6"/>
                <w:szCs w:val="16"/>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Equivalents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236"/>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Cash-unrestricted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20,196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20,196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20,196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Cash-restricted</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37"/>
        </w:trPr>
        <w:tc>
          <w:tcPr>
            <w:tcW w:w="3660" w:type="dxa"/>
            <w:vAlign w:val="bottom"/>
          </w:tcPr>
          <w:p>
            <w:pPr>
              <w:jc w:val="center"/>
              <w:ind w:right="2610"/>
              <w:spacing w:after="0"/>
              <w:rPr>
                <w:sz w:val="20"/>
                <w:szCs w:val="20"/>
                <w:color w:val="auto"/>
              </w:rPr>
            </w:pPr>
            <w:r>
              <w:rPr>
                <w:rFonts w:ascii="Arial" w:cs="Arial" w:eastAsia="Arial" w:hAnsi="Arial"/>
                <w:sz w:val="18"/>
                <w:szCs w:val="18"/>
                <w:color w:val="auto"/>
                <w:w w:val="86"/>
              </w:rPr>
              <w:t>Total cash</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21,271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21,271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20,196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jc w:val="center"/>
              <w:ind w:right="2590"/>
              <w:spacing w:after="0"/>
              <w:rPr>
                <w:sz w:val="20"/>
                <w:szCs w:val="20"/>
                <w:color w:val="auto"/>
              </w:rPr>
            </w:pPr>
            <w:r>
              <w:rPr>
                <w:rFonts w:ascii="Arial" w:cs="Arial" w:eastAsia="Arial" w:hAnsi="Arial"/>
                <w:sz w:val="18"/>
                <w:szCs w:val="18"/>
                <w:color w:val="auto"/>
                <w:w w:val="99"/>
              </w:rPr>
              <w:t>Level I:</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25,197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25,200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46,468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46,471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42,965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84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Short-Term</w:t>
            </w:r>
          </w:p>
        </w:tc>
        <w:tc>
          <w:tcPr>
            <w:tcW w:w="140" w:type="dxa"/>
            <w:vAlign w:val="bottom"/>
          </w:tcPr>
          <w:p>
            <w:pPr>
              <w:spacing w:after="0"/>
              <w:rPr>
                <w:sz w:val="13"/>
                <w:szCs w:val="13"/>
                <w:color w:val="auto"/>
              </w:rPr>
            </w:pPr>
          </w:p>
        </w:tc>
        <w:tc>
          <w:tcPr>
            <w:tcW w:w="8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2"/>
              </w:rPr>
              <w:t>Cash-</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4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6"/>
                <w:szCs w:val="16"/>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Equivalents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236"/>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Cash-unrestricted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Cash-restricted</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7"/>
        </w:trPr>
        <w:tc>
          <w:tcPr>
            <w:tcW w:w="3660" w:type="dxa"/>
            <w:vAlign w:val="bottom"/>
          </w:tcPr>
          <w:p>
            <w:pPr>
              <w:jc w:val="center"/>
              <w:ind w:right="2610"/>
              <w:spacing w:after="0"/>
              <w:rPr>
                <w:sz w:val="20"/>
                <w:szCs w:val="20"/>
                <w:color w:val="auto"/>
              </w:rPr>
            </w:pPr>
            <w:r>
              <w:rPr>
                <w:rFonts w:ascii="Arial" w:cs="Arial" w:eastAsia="Arial" w:hAnsi="Arial"/>
                <w:sz w:val="18"/>
                <w:szCs w:val="18"/>
                <w:color w:val="auto"/>
                <w:w w:val="86"/>
              </w:rPr>
              <w:t>Total cash</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18,689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18,689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jc w:val="center"/>
              <w:ind w:right="2590"/>
              <w:spacing w:after="0"/>
              <w:rPr>
                <w:sz w:val="20"/>
                <w:szCs w:val="20"/>
                <w:color w:val="auto"/>
              </w:rPr>
            </w:pPr>
            <w:r>
              <w:rPr>
                <w:rFonts w:ascii="Arial" w:cs="Arial" w:eastAsia="Arial" w:hAnsi="Arial"/>
                <w:sz w:val="18"/>
                <w:szCs w:val="18"/>
                <w:color w:val="auto"/>
                <w:w w:val="99"/>
              </w:rPr>
              <w:t>Level I:</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36,942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41,989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42,025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36,978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60,678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60,714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21,661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There were no transfers between Level I and Level II measurements, and no changes in the valuation techniques used, during the six months ended June 30, 2020.</w:t>
      </w:r>
    </w:p>
    <w:p>
      <w:pPr>
        <w:spacing w:after="0" w:line="11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six months ended June 30, 2020 and 2019. None of our investments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ind w:right="540" w:firstLine="486"/>
        <w:spacing w:after="0" w:line="311" w:lineRule="auto"/>
        <w:rPr>
          <w:sz w:val="20"/>
          <w:szCs w:val="20"/>
          <w:color w:val="auto"/>
        </w:rPr>
      </w:pPr>
      <w:r>
        <w:rPr>
          <w:rFonts w:ascii="Arial" w:cs="Arial" w:eastAsia="Arial" w:hAnsi="Arial"/>
          <w:sz w:val="16"/>
          <w:szCs w:val="16"/>
          <w:color w:val="auto"/>
        </w:rPr>
        <w:t>In 2019, we significantly reduced the amount of our outstanding debt. As a result, these securities are not traded frequently, so it is difficult to estimate a reliable and accurate market price and represent Level III valuations. A fair value for these assets cannot be determined by using readily observable inputs or measures, such as market prices or models. Fair values were estimated using pricing models and risk-adjusted value ranges.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ind w:left="500"/>
        <w:spacing w:after="0"/>
        <w:rPr>
          <w:sz w:val="20"/>
          <w:szCs w:val="20"/>
          <w:color w:val="auto"/>
        </w:rPr>
      </w:pPr>
      <w:r>
        <w:rPr>
          <w:rFonts w:ascii="Arial" w:cs="Arial" w:eastAsia="Arial" w:hAnsi="Arial"/>
          <w:sz w:val="17"/>
          <w:szCs w:val="17"/>
          <w:color w:val="auto"/>
        </w:rPr>
        <w:t>The following table summarizes the par value, carrying value and the estimated fair value of the 2014 and 2019 Notes at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respectively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June 30, 2020</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2"/>
              </w:rPr>
              <w:t>December 31, 2019</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2019 Notes</w:t>
            </w:r>
          </w:p>
        </w:tc>
        <w:tc>
          <w:tcPr>
            <w:tcW w:w="14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52,962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82,369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7"/>
              <w:spacing w:after="0"/>
              <w:rPr>
                <w:sz w:val="20"/>
                <w:szCs w:val="20"/>
                <w:color w:val="auto"/>
              </w:rPr>
            </w:pPr>
            <w:r>
              <w:rPr>
                <w:rFonts w:ascii="Arial" w:cs="Arial" w:eastAsia="Arial" w:hAnsi="Arial"/>
                <w:sz w:val="18"/>
                <w:szCs w:val="18"/>
                <w:color w:val="auto"/>
              </w:rPr>
              <w:t>52,764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73,975</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56,079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54,013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83,491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56,079</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53,821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75,097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InstruNor Acquisition</w:t>
      </w:r>
    </w:p>
    <w:p>
      <w:pPr>
        <w:spacing w:after="0" w:line="17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In January 2020, we completed the acquisition of all of the outstanding shares of InstruNor (see Note 3). The purchase price was approximately $7.2 million, consisting of $5.2 million in cash and 485,451 shares of our common stock.</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Conversion of 2018 Notes</w:t>
      </w:r>
    </w:p>
    <w:p>
      <w:pPr>
        <w:spacing w:after="0" w:line="171"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In the first quarter of 2019, we issued 19,460,260 shares of our common stock in connection with the conversion of our 2018 Notes (see Note 7). As a result of this issuance of our common stock, we recorded a total of $133.3 million of equity, which was equivalent to the fair value of the bonds retired.</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2020, we had reserved shares of common stock for future issuance under equity compensation plans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 To Be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Securities To Be</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Issued Upon Release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Restricted Stock</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Remaining Securities</w:t>
            </w:r>
          </w:p>
        </w:tc>
        <w:tc>
          <w:tcPr>
            <w:tcW w:w="0" w:type="dxa"/>
            <w:vAlign w:val="bottom"/>
          </w:tcPr>
          <w:p>
            <w:pPr>
              <w:spacing w:after="0"/>
              <w:rPr>
                <w:sz w:val="1"/>
                <w:szCs w:val="1"/>
                <w:color w:val="auto"/>
              </w:rPr>
            </w:pPr>
          </w:p>
        </w:tc>
      </w:tr>
      <w:tr>
        <w:trPr>
          <w:trHeight w:val="148"/>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000's)</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 Exercise</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and Performance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Available For Future</w:t>
            </w:r>
          </w:p>
        </w:tc>
        <w:tc>
          <w:tcPr>
            <w:tcW w:w="0" w:type="dxa"/>
            <w:vAlign w:val="bottom"/>
          </w:tcPr>
          <w:p>
            <w:pPr>
              <w:spacing w:after="0"/>
              <w:rPr>
                <w:sz w:val="1"/>
                <w:szCs w:val="1"/>
                <w:color w:val="auto"/>
              </w:rPr>
            </w:pPr>
          </w:p>
        </w:tc>
      </w:tr>
      <w:tr>
        <w:trPr>
          <w:trHeight w:val="192"/>
        </w:trPr>
        <w:tc>
          <w:tcPr>
            <w:tcW w:w="678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Options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24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2009 Equity Incentive Plan</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2011 Equity Incentive Plan</w:t>
            </w: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21"/>
                <w:szCs w:val="21"/>
                <w:color w:val="auto"/>
              </w:rPr>
            </w:pPr>
          </w:p>
        </w:tc>
        <w:tc>
          <w:tcPr>
            <w:tcW w:w="1420" w:type="dxa"/>
            <w:vAlign w:val="bottom"/>
          </w:tcPr>
          <w:p>
            <w:pPr>
              <w:jc w:val="right"/>
              <w:ind w:right="77"/>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DVS Sciences Inc. 2010 Equity Incentive Plan</w:t>
            </w: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2017 Inducement Award Plan</w:t>
            </w: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4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 Employee Stock Purchase Plan</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p>
        </w:tc>
        <w:tc>
          <w:tcPr>
            <w:tcW w:w="14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Plans</w:t>
      </w:r>
    </w:p>
    <w:p>
      <w:pPr>
        <w:spacing w:after="0" w:line="175"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Our board of directors sets the terms, conditions, and restrictions related to our 2017 Employee Stock Purchase Plan (ESPP) and the grant of stock options, restricted stock units (RSUs) and performance-based awards under our equity incentive plans. Our board of directors determines the number of awards to grant and also sets vesting criteria.</w:t>
      </w:r>
    </w:p>
    <w:p>
      <w:pPr>
        <w:spacing w:after="0" w:line="130"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general, RSUs vest on a quarterly basis over a period of four years from the date of grant at a rate of either 25% on the first anniversary of the grant date and ratably each quarter over the remaining 12 quarters, or ratably each quarter over 16 quarters, subject to the employees’ continued employment. In May 2020, we granted 1.8 million retention RSUs that vest over three years, with 50% of the RSUs vesting after one year and 25% of the RSUs vesting each year thereafter.</w:t>
      </w:r>
    </w:p>
    <w:p>
      <w:pPr>
        <w:spacing w:after="0" w:line="133" w:lineRule="exact"/>
        <w:rPr>
          <w:sz w:val="20"/>
          <w:szCs w:val="20"/>
          <w:color w:val="auto"/>
        </w:rPr>
      </w:pPr>
    </w:p>
    <w:p>
      <w:pPr>
        <w:ind w:right="220" w:firstLine="486"/>
        <w:spacing w:after="0" w:line="296" w:lineRule="auto"/>
        <w:rPr>
          <w:sz w:val="20"/>
          <w:szCs w:val="20"/>
          <w:color w:val="auto"/>
        </w:rPr>
      </w:pPr>
      <w:r>
        <w:rPr>
          <w:rFonts w:ascii="Arial" w:cs="Arial" w:eastAsia="Arial" w:hAnsi="Arial"/>
          <w:sz w:val="16"/>
          <w:szCs w:val="16"/>
          <w:color w:val="auto"/>
        </w:rPr>
        <w:t>Incentive stock options and non-statutory stock options granted under our 2011 Equity Incentive Plan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options vest at a rate of either 25% on the first anniversary of the option grant date and ratably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p>
      <w:pPr>
        <w:ind w:right="20"/>
        <w:spacing w:after="0" w:line="277" w:lineRule="auto"/>
        <w:rPr>
          <w:sz w:val="20"/>
          <w:szCs w:val="20"/>
          <w:color w:val="auto"/>
        </w:rPr>
      </w:pPr>
      <w:r>
        <w:rPr>
          <w:rFonts w:ascii="Arial" w:cs="Arial" w:eastAsia="Arial" w:hAnsi="Arial"/>
          <w:sz w:val="18"/>
          <w:szCs w:val="18"/>
          <w:color w:val="auto"/>
        </w:rPr>
        <w:t>each month over the remaining period of 36 months, or ratably each month over 48 months. We may grant options with different vesting terms from time to time.</w:t>
      </w:r>
    </w:p>
    <w:p>
      <w:pPr>
        <w:spacing w:after="0" w:line="116"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175"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In January 2011, our board of directors adopted the 2011 Plan under which incentive stock options, non-statutory stock options, RSUs, stock appreciation rights, performance stock units (PSUs), and performance shares may be granted to our employees, directors, and consultants. In April 2019, our board of directors authorized, and in June 2019, our stockholders approved an amendment and restatement of the 2011 Plan to make various changes, including increasing the number of shares reserved for issuance by approximately 5.0 million shares and extending the term of the 2011 Plan until April 2029. In May 2020, our board of directors authorized, and in June 2020, our stockholders approved an increase in the number of shares reserved for issuance under the 2011 Plan of 1.4 million shares.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2017 Inducement Award Plan</w:t>
      </w:r>
    </w:p>
    <w:p>
      <w:pPr>
        <w:spacing w:after="0" w:line="17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Our 2009 Equity Incentive Plan (the 2009 Plan) terminated on the date the 2011 Plan was adopted. Options granted, or shares issued under the 2009 Plan that were outstanding on the date the 2011 Plan became effective, remained subject to the terms of the 2009 Plan.</w:t>
      </w:r>
    </w:p>
    <w:p>
      <w:pPr>
        <w:spacing w:after="0" w:line="11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January 2017, we adopted the Fluidigm Corporation 2017 Inducement Award Plan (Inducement Plan) and reserved 2 million shares of our common stock for issuance pursuant to equity awards granted under the Inducement Plan. The Inducement Plan provided for the grant of equity-based awards on terms substantially similar to the 2011 Plan. In accordance with Rule 5635(c)(4) of the Nasdaq Listing Rules, awards under the Inducement Plan were only be made to individuals not previously our employees or non-employee members of our board of directors (or following such individual’s bona fide period of non-employment), as an inducement material to the individual’s entry into employment with us or in connection with a merger or acquisition, to the extent permitted by Rule 5635(c)(3) of the Nasdaq Listing Rules. In June 2019, concurrently with the increase in shares available for grant under the 2011 Plan, the Inducement Plan was terminated such that no further grants could be made thereunder. Options granted and shares issued under the Inducement Plan that were outstanding when the Inducement Plan was terminated remain outstanding subject to their terms and the terms of the Inducement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Expense Information</w:t>
      </w:r>
    </w:p>
    <w:p>
      <w:pPr>
        <w:spacing w:after="0" w:line="175"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We use the Black-Scholes option-pricing model to estimate the fair value of stock options granted under our equity incentive plans. We grant stock options at exercise prices not less than the fair value of our common stock at the date of grant. The fair value of RSUs granted to employees was estimated on the date of grant by multiplying the number of shares granted by the fair market value of our common stock on the grant date.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Activity under the 2011 Plan, the 2009 Plan, and the Inducement Plan was as follows: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8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Number of Units (in 000s)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BFE4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Balance at December 31, 2019</w:t>
            </w:r>
          </w:p>
        </w:tc>
        <w:tc>
          <w:tcPr>
            <w:tcW w:w="184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2,551</w:t>
            </w:r>
          </w:p>
        </w:tc>
        <w:tc>
          <w:tcPr>
            <w:tcW w:w="22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E4FF"/>
            </w:tcBorders>
            <w:shd w:val="clear" w:color="auto" w:fill="BFE4FF"/>
          </w:tcPr>
          <w:p>
            <w:pPr>
              <w:jc w:val="right"/>
              <w:ind w:right="77"/>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RSU granted</w:t>
            </w:r>
          </w:p>
        </w:tc>
        <w:tc>
          <w:tcPr>
            <w:tcW w:w="1840" w:type="dxa"/>
            <w:vAlign w:val="bottom"/>
          </w:tcPr>
          <w:p>
            <w:pPr>
              <w:jc w:val="right"/>
              <w:ind w:right="73"/>
              <w:spacing w:after="0"/>
              <w:rPr>
                <w:sz w:val="20"/>
                <w:szCs w:val="20"/>
                <w:color w:val="auto"/>
              </w:rPr>
            </w:pPr>
            <w:r>
              <w:rPr>
                <w:rFonts w:ascii="Arial" w:cs="Arial" w:eastAsia="Arial" w:hAnsi="Arial"/>
                <w:sz w:val="18"/>
                <w:szCs w:val="18"/>
                <w:color w:val="auto"/>
              </w:rPr>
              <w:t>3,642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RSU released</w:t>
            </w:r>
          </w:p>
        </w:tc>
        <w:tc>
          <w:tcPr>
            <w:tcW w:w="18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(602)</w:t>
            </w:r>
          </w:p>
        </w:tc>
        <w:tc>
          <w:tcPr>
            <w:tcW w:w="22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E4FF"/>
            </w:tcBorders>
            <w:shd w:val="clear" w:color="auto" w:fill="BFE4FF"/>
          </w:tcPr>
          <w:p>
            <w:pPr>
              <w:jc w:val="right"/>
              <w:ind w:right="77"/>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RSU forfeited</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(222)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BFE4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74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4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Balance as of June 30, 2020</w:t>
            </w:r>
          </w:p>
        </w:tc>
        <w:tc>
          <w:tcPr>
            <w:tcW w:w="1840" w:type="dxa"/>
            <w:vAlign w:val="bottom"/>
            <w:tcBorders>
              <w:bottom w:val="single" w:sz="8" w:color="auto"/>
            </w:tcBorders>
            <w:shd w:val="clear" w:color="auto" w:fill="BFE4FF"/>
          </w:tcPr>
          <w:p>
            <w:pPr>
              <w:jc w:val="right"/>
              <w:ind w:right="73"/>
              <w:spacing w:after="0"/>
              <w:rPr>
                <w:sz w:val="20"/>
                <w:szCs w:val="20"/>
                <w:color w:val="auto"/>
              </w:rPr>
            </w:pPr>
            <w:r>
              <w:rPr>
                <w:rFonts w:ascii="Arial" w:cs="Arial" w:eastAsia="Arial" w:hAnsi="Arial"/>
                <w:sz w:val="18"/>
                <w:szCs w:val="18"/>
                <w:color w:val="auto"/>
              </w:rPr>
              <w:t>5,369</w:t>
            </w:r>
          </w:p>
        </w:tc>
        <w:tc>
          <w:tcPr>
            <w:tcW w:w="22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E4FF"/>
            </w:tcBorders>
            <w:shd w:val="clear" w:color="auto" w:fill="BFE4FF"/>
          </w:tcPr>
          <w:p>
            <w:pPr>
              <w:jc w:val="right"/>
              <w:ind w:right="77"/>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7440" w:type="dxa"/>
            <w:vAlign w:val="bottom"/>
            <w:tcBorders>
              <w:top w:val="single" w:sz="8" w:color="BFE4FF"/>
            </w:tcBorders>
          </w:tcPr>
          <w:p>
            <w:pPr>
              <w:spacing w:after="0" w:line="20" w:lineRule="exact"/>
              <w:rPr>
                <w:sz w:val="1"/>
                <w:szCs w:val="1"/>
                <w:color w:val="auto"/>
              </w:rPr>
            </w:pPr>
          </w:p>
        </w:tc>
        <w:tc>
          <w:tcPr>
            <w:tcW w:w="18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740" w:type="dxa"/>
            <w:vAlign w:val="bottom"/>
            <w:tcBorders>
              <w:top w:val="single" w:sz="8" w:color="BFE4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As of June 30, 2020, the unrecognized compensation costs related to outstanding unvested RSUs under our equity incentive plans were $24.8 million. We expect to recognize those costs over a weighted average period of 3.0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5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Average Remaining</w:t>
            </w:r>
          </w:p>
        </w:tc>
        <w:tc>
          <w:tcPr>
            <w:tcW w:w="160" w:type="dxa"/>
            <w:vAlign w:val="bottom"/>
          </w:tcPr>
          <w:p>
            <w:pPr>
              <w:spacing w:after="0"/>
              <w:rPr>
                <w:sz w:val="14"/>
                <w:szCs w:val="14"/>
                <w:color w:val="auto"/>
              </w:rPr>
            </w:pPr>
          </w:p>
        </w:tc>
        <w:tc>
          <w:tcPr>
            <w:tcW w:w="12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 Life (in</w:t>
            </w:r>
          </w:p>
        </w:tc>
        <w:tc>
          <w:tcPr>
            <w:tcW w:w="160" w:type="dxa"/>
            <w:vAlign w:val="bottom"/>
          </w:tcPr>
          <w:p>
            <w:pPr>
              <w:spacing w:after="0"/>
              <w:rPr>
                <w:sz w:val="11"/>
                <w:szCs w:val="11"/>
                <w:color w:val="auto"/>
              </w:rPr>
            </w:pPr>
          </w:p>
        </w:tc>
        <w:tc>
          <w:tcPr>
            <w:tcW w:w="12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0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Options (000s)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per Option</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9"/>
                <w:szCs w:val="9"/>
                <w:b w:val="1"/>
                <w:bCs w:val="1"/>
                <w:color w:val="auto"/>
                <w:w w:val="92"/>
              </w:rPr>
              <w:t>(1)</w:t>
            </w:r>
            <w:r>
              <w:rPr>
                <w:rFonts w:ascii="Arial" w:cs="Arial" w:eastAsia="Arial" w:hAnsi="Arial"/>
                <w:sz w:val="14"/>
                <w:szCs w:val="14"/>
                <w:b w:val="1"/>
                <w:bCs w:val="1"/>
                <w:color w:val="auto"/>
                <w:w w:val="92"/>
              </w:rPr>
              <w:t xml:space="preserve"> in (000s)</w:t>
            </w:r>
          </w:p>
        </w:tc>
        <w:tc>
          <w:tcPr>
            <w:tcW w:w="0" w:type="dxa"/>
            <w:vAlign w:val="bottom"/>
          </w:tcPr>
          <w:p>
            <w:pPr>
              <w:spacing w:after="0"/>
              <w:rPr>
                <w:sz w:val="1"/>
                <w:szCs w:val="1"/>
                <w:color w:val="auto"/>
              </w:rPr>
            </w:pPr>
          </w:p>
        </w:tc>
      </w:tr>
      <w:tr>
        <w:trPr>
          <w:trHeight w:val="24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2,027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105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Options forfeited</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(274)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2020</w:t>
            </w:r>
          </w:p>
        </w:tc>
        <w:tc>
          <w:tcPr>
            <w:tcW w:w="15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1,858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tcPr>
          <w:p>
            <w:pPr>
              <w:ind w:left="20"/>
              <w:spacing w:after="0"/>
              <w:rPr>
                <w:sz w:val="20"/>
                <w:szCs w:val="20"/>
                <w:color w:val="auto"/>
              </w:rPr>
            </w:pPr>
            <w:r>
              <w:rPr>
                <w:rFonts w:ascii="Arial" w:cs="Arial" w:eastAsia="Arial" w:hAnsi="Arial"/>
                <w:sz w:val="18"/>
                <w:szCs w:val="18"/>
                <w:color w:val="auto"/>
              </w:rPr>
              <w:t>Vested at June 30, 2020</w:t>
            </w:r>
          </w:p>
        </w:tc>
        <w:tc>
          <w:tcPr>
            <w:tcW w:w="15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1,372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expected to vest at June 30, 2020</w:t>
            </w:r>
          </w:p>
        </w:tc>
        <w:tc>
          <w:tcPr>
            <w:tcW w:w="15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right="380" w:hanging="332"/>
        <w:spacing w:after="0" w:line="342" w:lineRule="auto"/>
        <w:tabs>
          <w:tab w:leader="none" w:pos="334"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intrinsic value as of June 30, 2020 was calculated as the difference between the closing price per share of our common stock on the last trading day of June 30, 2020, which was $4.01, and the exercise price of the options, multiplied by the number of in-the-money options.</w:t>
      </w:r>
    </w:p>
    <w:p>
      <w:pPr>
        <w:spacing w:after="0" w:line="70"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As of June 30, 2020, the unrecognized compensation costs related to outstanding unvested options under our equity incentive plans were $1.4 million. We expect to recognize those costs over a weighted average period of 1.5 years.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Performance Stock Units with Market Conditions</w:t>
      </w:r>
    </w:p>
    <w:p>
      <w:pPr>
        <w:spacing w:after="0" w:line="17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have granted PSU awards to certain executive officers and senior level employees. The number of PSUs ultimately earned under these awards is calculated based on the Total Shareholder Return (TSR) of our common stock as compared to the TSR of a defined group of peer companies during the applicable three-year performance period. The percentage of PSUs that vest will depend on our relative position at the end of the performance period and can range from 0% to 200% of the number of units granted. Under FASB ASC Topic 718, the provisions of the PSU awards related to TSR are considered a market condition, and the effects of that market condition are reflected in the grant date fair value of the awards. We used a Monte Carlo simulation pricing model to incorporate the market condition effects at our grant date.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Activity under the TSR-based PSUs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Number of Units (in 000s)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BFE4FF"/>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249"/>
        </w:trPr>
        <w:tc>
          <w:tcPr>
            <w:tcW w:w="73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Balance at December 31, 2019</w:t>
            </w:r>
          </w:p>
        </w:tc>
        <w:tc>
          <w:tcPr>
            <w:tcW w:w="1940" w:type="dxa"/>
            <w:vAlign w:val="bottom"/>
            <w:tcBorders>
              <w:bottom w:val="single" w:sz="8" w:color="BFE4FF"/>
            </w:tcBorders>
            <w:gridSpan w:val="2"/>
            <w:shd w:val="clear" w:color="auto" w:fill="BFE4FF"/>
          </w:tcPr>
          <w:p>
            <w:pPr>
              <w:jc w:val="right"/>
              <w:ind w:right="79"/>
              <w:spacing w:after="0"/>
              <w:rPr>
                <w:sz w:val="20"/>
                <w:szCs w:val="20"/>
                <w:color w:val="auto"/>
              </w:rPr>
            </w:pPr>
            <w:r>
              <w:rPr>
                <w:rFonts w:ascii="Arial" w:cs="Arial" w:eastAsia="Arial" w:hAnsi="Arial"/>
                <w:sz w:val="18"/>
                <w:szCs w:val="18"/>
                <w:color w:val="auto"/>
              </w:rPr>
              <w:t>547</w:t>
            </w:r>
          </w:p>
        </w:tc>
        <w:tc>
          <w:tcPr>
            <w:tcW w:w="22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E4FF"/>
            </w:tcBorders>
            <w:shd w:val="clear" w:color="auto" w:fill="BFE4FF"/>
          </w:tcPr>
          <w:p>
            <w:pPr>
              <w:jc w:val="right"/>
              <w:ind w:right="77"/>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PSU granted</w:t>
            </w:r>
          </w:p>
        </w:tc>
        <w:tc>
          <w:tcPr>
            <w:tcW w:w="1940" w:type="dxa"/>
            <w:vAlign w:val="bottom"/>
            <w:gridSpan w:val="2"/>
          </w:tcPr>
          <w:p>
            <w:pPr>
              <w:jc w:val="right"/>
              <w:ind w:right="79"/>
              <w:spacing w:after="0"/>
              <w:rPr>
                <w:sz w:val="20"/>
                <w:szCs w:val="20"/>
                <w:color w:val="auto"/>
              </w:rPr>
            </w:pPr>
            <w:r>
              <w:rPr>
                <w:rFonts w:ascii="Arial" w:cs="Arial" w:eastAsia="Arial" w:hAnsi="Arial"/>
                <w:sz w:val="18"/>
                <w:szCs w:val="18"/>
                <w:color w:val="auto"/>
              </w:rPr>
              <w:t>509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PSU released</w:t>
            </w:r>
          </w:p>
        </w:tc>
        <w:tc>
          <w:tcPr>
            <w:tcW w:w="100" w:type="dxa"/>
            <w:vAlign w:val="bottom"/>
            <w:tcBorders>
              <w:bottom w:val="single" w:sz="8" w:color="BFE4FF"/>
            </w:tcBorders>
            <w:shd w:val="clear" w:color="auto" w:fill="BFE4FF"/>
          </w:tcPr>
          <w:p>
            <w:pPr>
              <w:spacing w:after="0"/>
              <w:rPr>
                <w:sz w:val="21"/>
                <w:szCs w:val="21"/>
                <w:color w:val="auto"/>
              </w:rPr>
            </w:pPr>
          </w:p>
        </w:tc>
        <w:tc>
          <w:tcPr>
            <w:tcW w:w="184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BFE4FF"/>
            </w:tcBorders>
            <w:shd w:val="clear" w:color="auto" w:fill="BFE4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PSU forfeited</w:t>
            </w:r>
          </w:p>
        </w:tc>
        <w:tc>
          <w:tcPr>
            <w:tcW w:w="1940" w:type="dxa"/>
            <w:vAlign w:val="bottom"/>
            <w:gridSpan w:val="2"/>
          </w:tcPr>
          <w:p>
            <w:pPr>
              <w:jc w:val="right"/>
              <w:ind w:right="19"/>
              <w:spacing w:after="0"/>
              <w:rPr>
                <w:sz w:val="20"/>
                <w:szCs w:val="20"/>
                <w:color w:val="auto"/>
              </w:rPr>
            </w:pPr>
            <w:r>
              <w:rPr>
                <w:rFonts w:ascii="Arial" w:cs="Arial" w:eastAsia="Arial" w:hAnsi="Arial"/>
                <w:sz w:val="18"/>
                <w:szCs w:val="18"/>
                <w:color w:val="auto"/>
              </w:rPr>
              <w:t>(94)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74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940" w:type="dxa"/>
            <w:vAlign w:val="bottom"/>
            <w:gridSpan w:val="2"/>
            <w:shd w:val="clear" w:color="auto" w:fill="BFE4FF"/>
          </w:tcPr>
          <w:p>
            <w:pPr>
              <w:jc w:val="right"/>
              <w:ind w:right="79"/>
              <w:spacing w:after="0"/>
              <w:rPr>
                <w:sz w:val="20"/>
                <w:szCs w:val="20"/>
                <w:color w:val="auto"/>
              </w:rPr>
            </w:pPr>
            <w:r>
              <w:rPr>
                <w:rFonts w:ascii="Arial" w:cs="Arial" w:eastAsia="Arial" w:hAnsi="Arial"/>
                <w:sz w:val="18"/>
                <w:szCs w:val="18"/>
                <w:color w:val="auto"/>
              </w:rPr>
              <w:t>962</w:t>
            </w:r>
          </w:p>
        </w:tc>
        <w:tc>
          <w:tcPr>
            <w:tcW w:w="22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BFE4FF"/>
          </w:tcPr>
          <w:p>
            <w:pPr>
              <w:jc w:val="right"/>
              <w:ind w:right="77"/>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740" w:type="dxa"/>
            <w:vAlign w:val="bottom"/>
            <w:tcBorders>
              <w:top w:val="single" w:sz="8" w:color="BFE4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As of June 30, 2020, the unrecognized compensation costs related to these awards were $5.7 million. We expect to recognize those costs over a weighted average period of 2.0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i w:val="1"/>
          <w:iCs w:val="1"/>
          <w:color w:val="auto"/>
        </w:rPr>
        <w:t>Performance Stock Units with Performance Conditions</w:t>
      </w:r>
    </w:p>
    <w:p>
      <w:pPr>
        <w:spacing w:after="0" w:line="171" w:lineRule="exact"/>
        <w:rPr>
          <w:sz w:val="20"/>
          <w:szCs w:val="20"/>
          <w:color w:val="auto"/>
        </w:rPr>
      </w:pPr>
    </w:p>
    <w:p>
      <w:pPr>
        <w:ind w:right="700" w:firstLine="486"/>
        <w:spacing w:after="0" w:line="308" w:lineRule="auto"/>
        <w:rPr>
          <w:sz w:val="20"/>
          <w:szCs w:val="20"/>
          <w:color w:val="auto"/>
        </w:rPr>
      </w:pPr>
      <w:r>
        <w:rPr>
          <w:rFonts w:ascii="Arial" w:cs="Arial" w:eastAsia="Arial" w:hAnsi="Arial"/>
          <w:sz w:val="17"/>
          <w:szCs w:val="17"/>
          <w:color w:val="auto"/>
        </w:rPr>
        <w:t>During 2019, we also granted a PSU award under which the number of PSUs that ultimately vest is dependent on achieving certain discrete operational milestones between September 30, 2019 and December 31, 2020. Activity to date under this PSU award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8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Number of Units (in 000s)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PSU granted</w:t>
            </w:r>
          </w:p>
        </w:tc>
        <w:tc>
          <w:tcPr>
            <w:tcW w:w="18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PSU released</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PSU forfeited</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7"/>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Employee Stock Purchase Plan</w:t>
      </w:r>
    </w:p>
    <w:p>
      <w:pPr>
        <w:spacing w:after="0" w:line="175"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In August 2017, our stockholders approved our ESPP at the annual meeting of stockholders. Our ESPP offers U.S. and some non-U.S. employees the right to purchase shares of our common stock. Our first ESPP offering period began on October 1, 2017 with a shorter offering period ending on November 30, 2017.</w:t>
      </w:r>
    </w:p>
    <w:p>
      <w:pPr>
        <w:spacing w:after="0" w:line="13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Prior to June 2019, our ESPP program had a six-month offering period, with a new period commencing on the first trading day on or after May 31 and November 30 of each year. Employees were eligible to participate through payroll deductions of up to 10% of their compensation. The purchase price at which shares were sold under the ESPP was 85% of the lower of the fair market value of a share of our common stock on the first day of the offering period or the last day of the offering period.</w:t>
      </w:r>
    </w:p>
    <w:p>
      <w:pPr>
        <w:spacing w:after="0" w:line="133"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Effective in June 2019, our ESPP program was amended to offer a twelve-month offering period with two six-month purchase periods beginning on each of May 31 and November 30. Employees were eligible under the amended program to participate through payroll deductions of up to 15% of their compensation. Employees may not purchase more than $25 thousand of stock for any calendar year.</w:t>
      </w:r>
    </w:p>
    <w:p>
      <w:pPr>
        <w:spacing w:after="0" w:line="13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Under the updated ESPP program, the purchase price at which shares are sold for the first purchase period is 85% of the lower of the fair market value of a share of our common stock on the first day of the offering period or the last day of the first purchase period. For the second purchase period, the purchase price at which shares are sold is 85% of the lower of the fair market value of the common stock on the first day of the offering period and the last day of the offering period. In the event the fair market value of the common stock at the beginning of the second purchase period is less than the fair market value on the beginning of the offering period, the purchase price for the second offering period is reset to 85% of the lower of the fair value of the common stock at the beginning of the second purchase period and the last day of the offering period.</w:t>
      </w:r>
    </w:p>
    <w:p>
      <w:pPr>
        <w:spacing w:after="0" w:line="124"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color w:val="auto"/>
        </w:rPr>
        <w:t>The offering period of June 1, 2019 to May 31, 2020 had two purchase periods, with one period ending November 30, 2019 and the other period ending May 31, 2020. As the fair market value of the common stock at November 30, 2019 was lower than the fair value of the common stock at the beginning of the offering period, the purchase price for the second purchase period was reset based on the lower of the November 30, 2019 price and the May 31, 2020 price. The resetting of the purchase price is considered to be a modification of the original terms of the award. Under ASC 718, the incremental fair value based on the difference between the fair value of the modified award and the fair value of the original award immediately before it was modified was approximately $0.3 million. This amount was amortized over the remaining offering period which ended May 31, 2020.</w:t>
      </w:r>
    </w:p>
    <w:p>
      <w:pPr>
        <w:spacing w:after="0" w:line="110"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In April 2020, our board of directors authorized, and in June 2020, our stockholders approved, an amendment and restatement of the ESPP that increased the number of shares reserved for issuance by an additional 3.0 million shares and made various other changes. Effective June 2020, our ESPP program was amended to offer a six-month offering period, with a new offering and purchase period commencing on the first trading day on or after May 31 and November 30 of each year. Employees are eligible under the amended program to participate through payroll deductions of up to 10% of their compensation. Employees may not purchase more than $25 thousand of stock for any calendar year. The purchase price of the shares sold under the ESPP is 85% of the lower of fair market value of a share of our common stock on the first day of the offering period or the last day of the offering period.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color w:val="auto"/>
        </w:rPr>
        <w:t>Total stock-based compensation expense recognized was as follows (in thousands):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22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96"/>
        </w:trPr>
        <w:tc>
          <w:tcPr>
            <w:tcW w:w="4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r>
      <w:tr>
        <w:trPr>
          <w:trHeight w:val="21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Restricted Stock Units, Stock Options and Performance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Units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3,331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2,848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4,993</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20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270</w:t>
            </w:r>
          </w:p>
        </w:tc>
      </w:tr>
      <w:tr>
        <w:trPr>
          <w:trHeight w:val="27"/>
        </w:trPr>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3,634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2,992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5,263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quarterly provision for income taxes is based on an estimated effective annual income tax rate. Our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30"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recorded a tax benefit of $1.1 million for both the three months ended June 30, 2020 and 2019. We recorded a tax benefit of $1.8 million and $1.1 million for the six months ended June 30, 2020 and 2019, respectively. The benefits for all periods were primarily attributable to the tax benefit from the amortization of our acquisition-related deferred tax liabilities partially offset by tax provisions for our foreign operations and state minimum income taxes.</w:t>
      </w:r>
    </w:p>
    <w:p>
      <w:pPr>
        <w:spacing w:after="0" w:line="133"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Our tax benefit for income taxes for the periods presented differ from the 21% U.S. Federal statutory rate for the six months ended June 30, 2020 and 2019, respectively, primarily due to maintaining a valuation allowance for most of our deferred tax assets, which primarily consist of net operating loss carryforwards.</w:t>
      </w:r>
    </w:p>
    <w:p>
      <w:pPr>
        <w:spacing w:after="0" w:line="130"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Our tax positions are subject to audits by multiple tax jurisdictions. We believe that we have provided adequate reserves for uncertain tax positions for all tax years still open for assessment. For the three and six months ended June 30, 2020, and 2019, respectively, we did not recognize any material interest or penalties related to uncertain tax positions.</w:t>
      </w:r>
    </w:p>
    <w:p>
      <w:pPr>
        <w:spacing w:after="0" w:line="13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offset by valuation allowances. In the future we may release valuation allowances and recognize deferred tax assets in certain of our foreign subsidiaries depending on the achievement of future profitability in the relevant jurisdictions. Any release of valuation allowances could have the effect of decreasing the income tax provision in the period the valuation allowance is released. We continue to monitor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12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On March 27, 2020, the Coronavirus Aid, Relief and Economic Security (CARES) Act was signed into law. The CARES Act includes provisions relating to refundable payroll tax credits, net operating loss carryback periods, alternative minimum tax credit refunds, modifications to the net interest deduction limitations and technical corrections to the tax deprecation methods for qualified improvement property. We are currently analyzing the impact of these changes and therefore, an estimate of the impact on income taxes, if any, is not yet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Information About Geographic Areas</w:t>
      </w:r>
    </w:p>
    <w:p>
      <w:pPr>
        <w:spacing w:after="0" w:line="175"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2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 summary table of our total revenue by geographic areas of our customers and by product and services for the three and six months ended June 30, 2020 and 2019 is included in Note 4 to the condensed consolidated financial statements.</w:t>
      </w:r>
    </w:p>
    <w:p>
      <w:pPr>
        <w:spacing w:after="0" w:line="1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Sales to customers in the United States represented $13.4 million, or 51% of total revenues, and $27.5 million, or 51% of total revenues, for the three and six months ended June 30, 2020, respectively. Sales to customers in the United States</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7" w:name="page28"/>
    <w:bookmarkEnd w:id="27"/>
    <w:p>
      <w:pPr>
        <w:ind w:right="700"/>
        <w:spacing w:after="0" w:line="277" w:lineRule="auto"/>
        <w:rPr>
          <w:sz w:val="20"/>
          <w:szCs w:val="20"/>
          <w:color w:val="auto"/>
        </w:rPr>
      </w:pPr>
      <w:r>
        <w:rPr>
          <w:rFonts w:ascii="Arial" w:cs="Arial" w:eastAsia="Arial" w:hAnsi="Arial"/>
          <w:sz w:val="18"/>
          <w:szCs w:val="18"/>
          <w:color w:val="auto"/>
        </w:rPr>
        <w:t>represented $9.9 million, or 35% of total revenues, and $22.4 million, or 38% of total revenues, for the three and six months ended June 30, 2019, respectively.</w:t>
      </w:r>
    </w:p>
    <w:p>
      <w:pPr>
        <w:spacing w:after="0" w:line="11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No foreign country or jurisdiction had sales in excess of 10% of total revenues for the three months ended June 30, 2020 and 2019, except for China, which had sales of $3.5 million, or 13% of total revenues, and $4.0 million, or 14% of total revenues, respectively. There was no foreign country or jurisdiction with sales in excess of 10% of our total revenues for the six months ended June 30, 2020 or 2019, except for China, which had sales of $7.5 million, or 13% of total revenues, for the six months ended June 30, 2019.</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Development Agreement</w:t>
      </w:r>
    </w:p>
    <w:p>
      <w:pPr>
        <w:spacing w:after="0" w:line="17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Effective March 31, 2020, we signed an OEM Supply and Development Agreement (Development Agreement) with a customer. Under the Development Agreement, Fluidigm will develop products based on our microfluidics technology. The Development Agreement provides up-front and periodic milestone payments of up to $11.7 million during the development stage. The development stage is expected to last approximately one year from the date of the agreement. We recognized $3.0 million of development revenue from this agreement in the three and six months ended June 30, 2020, along with approximately $1.0 million of deferred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7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In July 20, 2020, we entered into a letter contract with the National Institutes of Health (NIH) for a project under the NIH Rapid Acceleration of Diagnostics (RADx) program. The RADx program aims to support a range of new lab-based and point-of-care tests that could significantly increase the number, type and availability of COVID-19 tests. This project, with a total proposed budget of up to $37.0 million, contemplates expanding production capacity and throughput capabilities for COVID-19 testing with Fluidigm microfluidics technology. The letter contract provides Fluidigm with access to up to $12.2 million of initial funding based on completion and delivery of certain validation milestones prior to execution of a definitive contract.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(the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and public health crises (including the COVID-19 pandemic) on our business.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18"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and in our annual report on Form 10-K filed with the Securities and Exchange Commission (SEC). Given these uncertainties, you should not place undue reliance on these forward-looking statements. Also, forward-looking statements represent our management’s beliefs and assumptions only as of the date of this Form 10-Q.</w:t>
      </w:r>
    </w:p>
    <w:p>
      <w:pPr>
        <w:spacing w:after="0" w:line="10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60" w:firstLine="486"/>
        <w:spacing w:after="0" w:line="294" w:lineRule="auto"/>
        <w:rPr>
          <w:sz w:val="20"/>
          <w:szCs w:val="20"/>
          <w:color w:val="auto"/>
        </w:rPr>
      </w:pPr>
      <w:r>
        <w:rPr>
          <w:rFonts w:ascii="Arial" w:cs="Arial" w:eastAsia="Arial" w:hAnsi="Arial"/>
          <w:sz w:val="16"/>
          <w:szCs w:val="16"/>
          <w:color w:val="auto"/>
        </w:rPr>
        <w:t>Fluidigm®, the Fluidigm logo, Access Array™, Advanta™, Biomark™, Bringing new insights to life™, C1™, Callisto™, Cell-ID™, CyTOF®, D3™, Delta Gene™, Direct™, Dynamic Array™, EP1™, EQ™, FC1™, Flex Six™, Helios™, High-Precision 96.96 Genotyping™, HTI™, Hyperion™, IMC™, Imaging Mass Cytometry™, Immune Profiling Assay™, Juno™, Maxpar®, MCD™, MSL®, Nanoflex™, Open App™, Pathsetter™, Polaris™, qdPCR 37K™, Script Builder™, Script Hub™, Singular™, SNP Trace™, and SNP Type™ are trademarks or registered trademarks of Fluidigm Corporation. Other service marks, trademarks and trade names referred to in this quarterly report on Form 10-Q are the property of their respective owners.</w:t>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175"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Unless the context requires otherwise, references in this Form 10-Q to “Fluidigm,” the “Company,” “we,” “us,” and “our” refer to Fluidigm Corporation and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Fluidigm is a global company that improves life through comprehensive health insight. Our innovative technologies and multi-omic tools are used by researchers to reveal meaningful insights into health and disease, identify biomarkers to inform decisions, and accelerate the development of more effective therapies. We create, manufacture, and market a range of products and services, including instruments, reagents and software that are used by researchers and clinical labs worldwide.</w:t>
      </w:r>
    </w:p>
    <w:p>
      <w:pPr>
        <w:spacing w:after="0" w:line="133"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Our focus is on the most pressing needs in translational and clinical research, including infectious disease, cancer, immunology and immunotherapy. We use proprietary CyTOF® and microfluidics technologies to develop innovative end-to-end solutions that have the flexibility required to meet the needs of translational research and the robustness to support high-impact clinical research studies.</w:t>
      </w:r>
    </w:p>
    <w:p>
      <w:pPr>
        <w:spacing w:after="0" w:line="130" w:lineRule="exact"/>
        <w:rPr>
          <w:sz w:val="20"/>
          <w:szCs w:val="20"/>
          <w:color w:val="auto"/>
        </w:rPr>
      </w:pPr>
    </w:p>
    <w:p>
      <w:pPr>
        <w:ind w:right="340" w:firstLine="486"/>
        <w:spacing w:after="0" w:line="286" w:lineRule="auto"/>
        <w:rPr>
          <w:sz w:val="20"/>
          <w:szCs w:val="20"/>
          <w:color w:val="auto"/>
        </w:rPr>
      </w:pPr>
      <w:r>
        <w:rPr>
          <w:rFonts w:ascii="Arial" w:cs="Arial" w:eastAsia="Arial" w:hAnsi="Arial"/>
          <w:sz w:val="17"/>
          <w:szCs w:val="17"/>
          <w:color w:val="auto"/>
        </w:rPr>
        <w:t>We sell our products to leading academic, government, pharmaceutical, biotechnology, clinical, and plant and animal research laboratories worldwide. We distribute our systems through our direct sales force and support organizations located in North America, Europe, and Asia-Pacific, and through distributors or sales agents in several European, Latin American, Middle Eastern, and Asia-Pacific countries.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9" w:name="page30"/>
    <w:bookmarkEnd w:id="29"/>
    <w:p>
      <w:pPr>
        <w:ind w:right="80" w:firstLine="486"/>
        <w:spacing w:after="0" w:line="259" w:lineRule="auto"/>
        <w:rPr>
          <w:sz w:val="20"/>
          <w:szCs w:val="20"/>
          <w:color w:val="auto"/>
        </w:rPr>
      </w:pPr>
      <w:r>
        <w:rPr>
          <w:rFonts w:ascii="Arial" w:cs="Arial" w:eastAsia="Arial" w:hAnsi="Arial"/>
          <w:sz w:val="18"/>
          <w:szCs w:val="18"/>
          <w:color w:val="auto"/>
        </w:rPr>
        <w:t>Our manufacturing operations are located in Singapore and Canada. Our facility in Singapore manufactures our genomics instruments, which are assembled by our contract manufacturer located within our Singapore facility. All of our microfluidics IFCs are fabricated at our Singapore facility. Our mass cytometry instruments, assays and reagents are manufactured at our facility in Canada. We also use U.S.-based third-party contract manufacturers for reagent manufacturing.</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total revenue for the six months ended June 30, 2020 was $53.7 million compared to $58.3 million for the six months ended June 30, 2019. Our total revenue was $117.2 million in 2019 and $113.0 million in 2018. We have incurred significant net losses since our inception in 1999 and, as of June 30, 2020, our accumulated deficit was $652.7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have been responding to the COVID-19 pandemic by taking steps to protect our employees, support our customers, and manage our liquidity. As Fluidigm is a designated essential business, our employees have been working from home offices or our laboratories and offices, and in some cases, at customer sites. We have implemented health and safety practices in accordance with evolving government and public health agency guidelines in all of our facilities around the world, including maintaining social distancing and enhanced cleaning protocols, facilities modifications, temperature checks in some locations, and usage of face masks and other personal protective equipment where appropriate. Other operational adjustments made in response to COVID-19 include increased raw material stocking and proactive supplier management.</w:t>
      </w:r>
    </w:p>
    <w:p>
      <w:pPr>
        <w:spacing w:after="0" w:line="124" w:lineRule="exact"/>
        <w:rPr>
          <w:sz w:val="20"/>
          <w:szCs w:val="20"/>
          <w:color w:val="auto"/>
        </w:rPr>
      </w:pPr>
    </w:p>
    <w:p>
      <w:pPr>
        <w:jc w:val="both"/>
        <w:ind w:right="140" w:firstLine="486"/>
        <w:spacing w:after="0" w:line="311" w:lineRule="auto"/>
        <w:rPr>
          <w:sz w:val="20"/>
          <w:szCs w:val="20"/>
          <w:color w:val="auto"/>
        </w:rPr>
      </w:pPr>
      <w:r>
        <w:rPr>
          <w:rFonts w:ascii="Arial" w:cs="Arial" w:eastAsia="Arial" w:hAnsi="Arial"/>
          <w:sz w:val="16"/>
          <w:szCs w:val="16"/>
          <w:color w:val="auto"/>
        </w:rPr>
        <w:t>We have activated our business continuity plans as a result of this pandemic, which include steps taken not only to help keep our workforce healthy and safe, but also to ensure a strong data security and internal control environment. Our controls around financial reporting have been modified slightly as needed to reflect the impact of working remotely. To date we have not needed to take advantage of extended SEC filing deadlines.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While Fluidigm is a designated essential business, widespread global adoption of work-from-home and shelter-in-place orders has resulted in a</w:t>
      </w:r>
    </w:p>
    <w:p>
      <w:pPr>
        <w:spacing w:after="0" w:line="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significant slowdown in customer activities. We estimate that 30-40% of our customers are either closed or working at reduced capacity as of the end of June 2020 because of the COVID-19 pandemic, compared to 60-70% in April 2020. These closures and slowdowns have resulted in lower than expected sales of our instrument systems, IFCs, assays, and reagents. Many of our customers have limited abilities to accept, or prepare facilities to accept, non-critical instrumentation or are limited in their ability continue their lab research activities.</w:t>
      </w:r>
    </w:p>
    <w:p>
      <w:pPr>
        <w:spacing w:after="0" w:line="13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are seeing and expect to continue to see near-term COVID-19-related priorities temporarily displacing longer term projects and research activities. Fluidigm has been working with a growing body of researchers around the world who are aggressively responding to the pandemic. In June 2020, we filed for emergency use authorization (EUA) from the U.S. Food and Drug Administration (FDA) for our saliva-based Advanta Dx SARS-CoV-2 Assay, which is currently pending FDA revniew. In addition, Fluidigm is actively supporting customers who are developing lab-developed tests and/or have filed for EUA from the FDA, as well as customers who are providing COVID-19 diagnostic tests outside of the U.S. Fluidigm’s mass cytometry technology and workflows are also being used in the U.S. and Europe for multi-site COVID-19 patient immune profiling studies. We believe our microfluidics and mass cytometry capabilities can play a significant role in virus detection as well as in immune profiling of patients and populations. Furthermore, we believe our technologies and solutions will be important to the durable response from government and medical institutions to be prepared for future outbreaks. Despite these opportunities, there is still uncertainty regarding the impact of COVID-19 on the global economy, our customers and our business over the near term.</w:t>
      </w:r>
    </w:p>
    <w:p>
      <w:pPr>
        <w:spacing w:after="0" w:line="140"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In this period of uncertainty, we are actively managing our operating expenses and cash flows in response to the evolving market conditions. In addition, we have implemented reductions in our operating expense structure including salary reductions and constrained hiring until our business returns to more normal volumes. We have also taken advantage of various government programs available to us. For example, we have applied for or received wage subsidies in certain countries. In the U.S., the Coronavirus Aid, Relief and Economic Security (CARES) Act includes provisions relating to refundable payroll tax credits, deferment of the employer portion of certain payroll taxes, and other tax-related provisions. As a result, we have been preserving cash by deferring payment of U.S. payroll taxes and are currently evaluating the applicability of other provisions in the CARES Act. We have improved the company’s capital structure over the last 18 months by reducing our overall debt levels and extending our remaining debt maturities.</w:t>
      </w:r>
    </w:p>
    <w:p>
      <w:pPr>
        <w:spacing w:after="0" w:line="112"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In July 2020, we entered into a letter contract with the National Institutes of Health (NIH) for a project under the NIH Rapid Acceleration of Diagnostics (RADx) program. The RADx program aims to support a range of new lab-based and point-of-care tests that could significantly increase the number, type and availability of COVID-19 tests. This project, with a total proposed budget of up to $37.0 million, contemplates expanding production capacity and throughput capabilities for COVID-19 testing with Fluidigm microfluidics technology. The letter contract provides Fluidigm with access to up to $12.2 million of initial funding based on completion and delivery of certain validation milestones prior to execution of a definitive contract.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0" w:name="page31"/>
    <w:bookmarkEnd w:id="30"/>
    <w:p>
      <w:pPr>
        <w:ind w:right="380" w:firstLine="486"/>
        <w:spacing w:after="0" w:line="277" w:lineRule="auto"/>
        <w:rPr>
          <w:sz w:val="20"/>
          <w:szCs w:val="20"/>
          <w:color w:val="auto"/>
        </w:rPr>
      </w:pPr>
      <w:r>
        <w:rPr>
          <w:rFonts w:ascii="Arial" w:cs="Arial" w:eastAsia="Arial" w:hAnsi="Arial"/>
          <w:sz w:val="18"/>
          <w:szCs w:val="18"/>
          <w:color w:val="auto"/>
        </w:rPr>
        <w:t>We are continuing to assess the potential impact of the COVID-19 pandemic on our business and operations. For additional information on the various risks posed by the pandemic, refer to Part II, Item 1A. Risk Factors of this Form 10 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17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Our condensed consolidated financial statements and the related notes included elsewhere in this Form 10-Q are prepared in accordance with accounting principles generally accepted in the United States. The preparation of these condensed financial statements requires us to make estimates and assumptions that affect the reported amounts of assets, liabilities, revenue, costs and expenses and related disclosures.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have expanded disclosure of our critical accounting policies and estimates in the preparation of our condensed consolidated financial statements during the three and six months ended June 30, 2020 compared to those disclosed in our annual report on Form 10-K for the year ended December 31, 2019, as filed with the SEC on February 27, 2020, to reflect the impact of a new development agreement (see Note 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17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In August 2018, the FASB issued ASU 2018-15-Intangibles-Goodwill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The adoption of the new guidance did not have a significant impact on our financial results.</w:t>
      </w:r>
    </w:p>
    <w:p>
      <w:pPr>
        <w:spacing w:after="0" w:line="134"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is effective for annual and interim goodwill impairment testing performed for our fiscal year beginning January 1, 2020, with early adoption permitted, which we did not exercise. The adoption of the new guidance did not have a significant impact on our financial results.</w:t>
      </w:r>
    </w:p>
    <w:p>
      <w:pPr>
        <w:spacing w:after="0" w:line="13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FASB issued two ASUs related to financial instruments – credit losses. The ASUs issued were: (i) in June 2016, ASU 2016-13, Financial Instruments-Credit Losses (Topic 326): Measurement of Credit Losses on Financial Instruments, and (ii) in November 2018, ASU 2018-19-Codification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leasing standard. These ASUs are effective for fiscal years beginning after December 15, 2019, and interim periods within those years, with early adoption permitted. The modified retrospective method is required upon adoption. The adoption of the new guidance resulted in an adjustment of $0.1 million to reduce the accumulated deficit component of stockholders’ equity and decrease current assets by the same amount in the condensed consolidated balance sheet.</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November 2019, the FASB issued ASU 2019-12 Income Taxes (Topic 740)-Simplifying the Accounting for Income Taxes. The amendments in this update improve consistent application of and simplify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9" w:right="439" w:bottom="1440" w:gutter="0" w:footer="0" w:header="0"/>
        </w:sectPr>
      </w:pPr>
    </w:p>
    <w:bookmarkStart w:id="31" w:name="page32"/>
    <w:bookmarkEnd w:id="31"/>
    <w:p>
      <w:pPr>
        <w:ind w:right="620"/>
        <w:spacing w:after="0" w:line="277" w:lineRule="auto"/>
        <w:rPr>
          <w:sz w:val="20"/>
          <w:szCs w:val="20"/>
          <w:color w:val="auto"/>
        </w:rPr>
      </w:pPr>
      <w:r>
        <w:rPr>
          <w:rFonts w:ascii="Arial" w:cs="Arial" w:eastAsia="Arial" w:hAnsi="Arial"/>
          <w:sz w:val="18"/>
          <w:szCs w:val="18"/>
          <w:color w:val="auto"/>
        </w:rPr>
        <w:t>new guidance is effective for fiscal years beginning after December 15, 2020. We are currently evaluating the impact of adoption on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The following table presents our historical consolidated statements of operations data for the three and six months ended June 30, 2020 and 2019, and as a percentage of total revenue for the respective periods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2"/>
              </w:rPr>
              <w:t>Six Months Ended June 30,</w:t>
            </w:r>
          </w:p>
        </w:tc>
        <w:tc>
          <w:tcPr>
            <w:tcW w:w="640" w:type="dxa"/>
            <w:vAlign w:val="bottom"/>
            <w:tcBorders>
              <w:bottom w:val="single" w:sz="8" w:color="auto"/>
            </w:tcBorders>
          </w:tcPr>
          <w:p>
            <w:pPr>
              <w:spacing w:after="0"/>
              <w:rPr>
                <w:sz w:val="16"/>
                <w:szCs w:val="16"/>
                <w:color w:val="auto"/>
              </w:rPr>
            </w:pPr>
          </w:p>
        </w:tc>
      </w:tr>
      <w:tr>
        <w:trPr>
          <w:trHeight w:val="196"/>
        </w:trPr>
        <w:tc>
          <w:tcPr>
            <w:tcW w:w="3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r>
      <w:tr>
        <w:trPr>
          <w:trHeight w:val="23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26,058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28,196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53,675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58,307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9,483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19,123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22,489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39</w:t>
            </w: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r>
      <w:tr>
        <w:trPr>
          <w:trHeight w:val="243"/>
        </w:trPr>
        <w:tc>
          <w:tcPr>
            <w:tcW w:w="35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8,448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17,147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16,237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20,616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43,311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44,958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39,784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42,832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82,343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87,149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150</w:t>
            </w: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(13,726)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(14,636)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(28,668)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(28,842)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(14,160)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(14,896)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(30,820)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(40,319)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(13,015)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(13,753)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(28,995)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(39,218)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We generate revenue primarily from sales of our products and services, and from development agreements, license and royalty agreements, and grants. Our product revenue consists of sales of instruments and consumables. Consumable revenues are largely driven by the size of our installed base of instruments and the annual level of pull-through per instrument. Service revenue is linked to our sales of instruments as our service revenue consists of post-warranty service contracts, preventive maintenance plans, instrument parts, installation and training. We sell our products to leading academic, government, pharmaceutical, biotechnology, clinical, plant and animal research laboratories worldwide.</w:t>
      </w:r>
    </w:p>
    <w:p>
      <w:pPr>
        <w:spacing w:after="0" w:line="122" w:lineRule="exact"/>
        <w:rPr>
          <w:sz w:val="20"/>
          <w:szCs w:val="20"/>
          <w:color w:val="auto"/>
        </w:rPr>
      </w:pPr>
    </w:p>
    <w:p>
      <w:pPr>
        <w:jc w:val="both"/>
        <w:ind w:right="100" w:firstLine="486"/>
        <w:spacing w:after="0" w:line="279" w:lineRule="auto"/>
        <w:rPr>
          <w:sz w:val="20"/>
          <w:szCs w:val="20"/>
          <w:color w:val="auto"/>
        </w:rPr>
      </w:pPr>
      <w:r>
        <w:rPr>
          <w:rFonts w:ascii="Arial" w:cs="Arial" w:eastAsia="Arial" w:hAnsi="Arial"/>
          <w:sz w:val="17"/>
          <w:szCs w:val="17"/>
          <w:color w:val="auto"/>
        </w:rPr>
        <w:t>Excluding the impact of the development revenue recognized during the second quarter, no individual customer represented more than 10% of our total revenue for the three and six months ended June 30, 2020 and 2019, respectively. Including the development revenue, revenues from our five largest customers were 32% and 30% of total revenue for the three months ended June 30, 2020 and 2019, respectively. Revenues from our five largest customers were 23% and 20% of total revenue for the six months ended June 30, 2020 and 2019,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2" w:name="page33"/>
    <w:bookmarkEnd w:id="32"/>
    <w:p>
      <w:pPr>
        <w:ind w:right="140" w:firstLine="445"/>
        <w:spacing w:after="0" w:line="277" w:lineRule="auto"/>
        <w:rPr>
          <w:sz w:val="20"/>
          <w:szCs w:val="20"/>
          <w:color w:val="auto"/>
        </w:rPr>
      </w:pPr>
      <w:r>
        <w:rPr>
          <w:rFonts w:ascii="Arial" w:cs="Arial" w:eastAsia="Arial" w:hAnsi="Arial"/>
          <w:sz w:val="18"/>
          <w:szCs w:val="18"/>
          <w:color w:val="auto"/>
        </w:rPr>
        <w:t>The following table presents our revenue by source for the three and six months ended June 30, 2020 and 2019, and as a percentage of total revenue for the respective period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3"/>
              </w:rPr>
              <w:t>Three Months Ended 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Year-over-</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7"/>
          </w:tcPr>
          <w:p>
            <w:pPr>
              <w:jc w:val="right"/>
              <w:ind w:right="870"/>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Year-over-</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20" w:type="dxa"/>
            <w:vAlign w:val="bottom"/>
            <w:gridSpan w:val="2"/>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2"/>
              </w:rPr>
              <w:t>Year</w:t>
            </w: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52"/>
        </w:trPr>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gridSpan w:val="3"/>
            <w:vMerge w:val="restart"/>
          </w:tcPr>
          <w:p>
            <w:pPr>
              <w:jc w:val="right"/>
              <w:ind w:right="63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3"/>
            <w:vMerge w:val="restart"/>
          </w:tcPr>
          <w:p>
            <w:pPr>
              <w:jc w:val="right"/>
              <w:ind w:right="65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36"/>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8,577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12,201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18,048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25,041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43 %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11,034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18,338</w:t>
            </w:r>
          </w:p>
        </w:tc>
        <w:tc>
          <w:tcPr>
            <w:tcW w:w="104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23,021</w:t>
            </w:r>
          </w:p>
        </w:tc>
        <w:tc>
          <w:tcPr>
            <w:tcW w:w="10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4"/>
              </w:rPr>
              <w:t>17,405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4"/>
              </w:rPr>
              <w:t>23,235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36,386</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48,062</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10,326</w:t>
            </w:r>
          </w:p>
        </w:tc>
        <w:tc>
          <w:tcPr>
            <w:tcW w:w="104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10,245</w:t>
            </w:r>
          </w:p>
        </w:tc>
        <w:tc>
          <w:tcPr>
            <w:tcW w:w="10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9"/>
        </w:trPr>
        <w:tc>
          <w:tcPr>
            <w:tcW w:w="2080" w:type="dxa"/>
            <w:vAlign w:val="bottom"/>
          </w:tcPr>
          <w:p>
            <w:pPr>
              <w:ind w:left="20"/>
              <w:spacing w:after="0"/>
              <w:rPr>
                <w:sz w:val="20"/>
                <w:szCs w:val="20"/>
                <w:color w:val="auto"/>
              </w:rPr>
            </w:pPr>
            <w:r>
              <w:rPr>
                <w:rFonts w:ascii="Arial" w:cs="Arial" w:eastAsia="Arial" w:hAnsi="Arial"/>
                <w:sz w:val="18"/>
                <w:szCs w:val="18"/>
                <w:color w:val="auto"/>
              </w:rPr>
              <w:t>Product and service</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w w:val="94"/>
              </w:rPr>
              <w:t>22,545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28,196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46,712</w:t>
            </w: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58,307</w:t>
            </w:r>
          </w:p>
        </w:tc>
        <w:tc>
          <w:tcPr>
            <w:tcW w:w="1040" w:type="dxa"/>
            <w:vAlign w:val="bottom"/>
            <w:gridSpan w:val="3"/>
          </w:tcPr>
          <w:p>
            <w:pPr>
              <w:jc w:val="right"/>
              <w:ind w:right="15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4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800</w:t>
            </w:r>
          </w:p>
        </w:tc>
        <w:tc>
          <w:tcPr>
            <w:tcW w:w="1040" w:type="dxa"/>
            <w:vAlign w:val="bottom"/>
            <w:gridSpan w:val="3"/>
          </w:tcPr>
          <w:p>
            <w:pPr>
              <w:jc w:val="right"/>
              <w:ind w:right="15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04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3"/>
        </w:trPr>
        <w:tc>
          <w:tcPr>
            <w:tcW w:w="20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26,058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4"/>
              </w:rPr>
              <w:t>28,196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53,675</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58,307</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the three and six months ended June 30, 2020 and 2019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3"/>
              </w:rPr>
              <w:t>Three Months Ended June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Year-over-</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Six Months Ended June 30,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Year-over-</w:t>
            </w: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920" w:type="dxa"/>
            <w:vAlign w:val="bottom"/>
            <w:gridSpan w:val="2"/>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2"/>
              </w:rPr>
              <w:t>Year</w:t>
            </w: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52"/>
        </w:trPr>
        <w:tc>
          <w:tcPr>
            <w:tcW w:w="2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3"/>
            <w:vMerge w:val="restart"/>
          </w:tcPr>
          <w:p>
            <w:pPr>
              <w:jc w:val="right"/>
              <w:ind w:right="639"/>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4"/>
              </w:rPr>
              <w:t>13,940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4"/>
              </w:rPr>
              <w:t>11,120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28,784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8"/>
              </w:rPr>
              <w:t>24,091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w w:val="94"/>
              </w:rPr>
              <w:t>11,217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14,653</w:t>
            </w:r>
          </w:p>
        </w:tc>
        <w:tc>
          <w:tcPr>
            <w:tcW w:w="1040" w:type="dxa"/>
            <w:vAlign w:val="bottom"/>
            <w:gridSpan w:val="3"/>
          </w:tcPr>
          <w:p>
            <w:pPr>
              <w:jc w:val="right"/>
              <w:ind w:right="139"/>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8"/>
              </w:rPr>
              <w:t>19,373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10,238</w:t>
            </w:r>
          </w:p>
        </w:tc>
        <w:tc>
          <w:tcPr>
            <w:tcW w:w="10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8"/>
              </w:rPr>
              <w:t>14,843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210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4"/>
              </w:rPr>
              <w:t>26,058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4"/>
              </w:rPr>
              <w:t>28,196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53,675</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8"/>
              </w:rPr>
              <w:t>58,307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Americas revenue includes revenue generated in the United States of $13.4 million and $27.5 million for the three and six months ended</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June 30, 2020, respectively. Sales to customers in the United States represented $9.9 million and $22.4 million for the three and six months ended June 30, 2019, respectively.</w:t>
      </w:r>
    </w:p>
    <w:p>
      <w:pPr>
        <w:spacing w:after="0" w:line="13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No foreign country or jurisdiction had sales in excess of 10% of our total revenues for the three months ended June 30, 2020 and 2019, except for China, which had sales of $3.5 million, or 13%, and $4.0 million, or 14% of total revenues, respectively. There was no foreign country or jurisdiction with sales in excess of 10% of our total revenues for the six months ended June 30, 2020 or 2019, except for China, which had sales of $7.5 million, or 13% of total revenues, for the six months ended June 30, 2019.</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Total Revenue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2020</w:t>
      </w:r>
    </w:p>
    <w:p>
      <w:pPr>
        <w:spacing w:after="0" w:line="17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Total revenue decreased by $2.1 million or 8%, for the three months ended June 30, 2020 compared to the three months ended June 30, 2019, driven by the COVID-19 pandemic public health crisis and the ensuing shelter-in-place orders that effectively shuttered customer facilities around the world. Lower mass cytometry instruments, mass cytometry consumables and microfluidics consumable revenues were partially offset by higher microfluidics instrument sales, development revenue, grant revenue and license revenue.</w:t>
      </w:r>
    </w:p>
    <w:p>
      <w:pPr>
        <w:spacing w:after="0" w:line="133"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Americas revenues increased by $2.8 million, or 25%, driven by higher sales of microfluidics products, development revenue of $3.0 million and grant revenue of $0.5 million, partially offset by lower mass cytometry product revenues for the three months ended June 30, 2020 compared to the three months ended June 30, 2019. EMEA revenues fell $4.7 million or 42%. Lower consumables and mass cytometry instruments sales were partially offset by modest increases in microfluidics instrument revenue and service revenue. Unfavorable foreign exchange rates impacted EMEA revenue by less than 1%. The $0.3 million, or 5%, decrease in Asia-Pacific revenues was broad-based, with declines in both mass cytometry and</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33" w:name="page34"/>
    <w:bookmarkEnd w:id="33"/>
    <w:p>
      <w:pPr>
        <w:ind w:right="220"/>
        <w:spacing w:after="0" w:line="277" w:lineRule="auto"/>
        <w:rPr>
          <w:sz w:val="20"/>
          <w:szCs w:val="20"/>
          <w:color w:val="auto"/>
        </w:rPr>
      </w:pPr>
      <w:r>
        <w:rPr>
          <w:rFonts w:ascii="Arial" w:cs="Arial" w:eastAsia="Arial" w:hAnsi="Arial"/>
          <w:sz w:val="18"/>
          <w:szCs w:val="18"/>
          <w:color w:val="auto"/>
        </w:rPr>
        <w:t>microfluidics instrument and consumable revenues, partially offset by higher service revenues. On a company-wide basis, weaker foreign exchange rates had a negligible impact on revenues for the three months ended June 30, 2020 compared to the same period in 2019.</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Six Months ended June 30, 2020</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Total revenue decreased by $4.6 million or 8%, for the six months ended June 30, 2020 compared to the six months ended June 30, 2019, driven by the COVID-19 pandemic public health crisis and the ensuing shelter-in-place orders that effectively shuttered customer facilities around the world. Lower mass cytometry instruments, mass cytometry consumables, and microfluidics consumable revenues were partially offset by higher microfluidics instrument sales, development revenue, license and grant revenue.</w:t>
      </w:r>
    </w:p>
    <w:p>
      <w:pPr>
        <w:spacing w:after="0" w:line="133"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Americas revenues increased by $4.7 million, or 19%, driven by license revenue of $3.1 million, development revenue of $3.0 million and grant revenue of $0.8 million for the six months ended June 30, 2020 compared to the six months ended June 30, 2019. These increases were partially offset by lower product revenues. Lower mass cytometry revenues were partially offset by higher microfluidics revenue for the six months ended June 30, 2020 compared to the six months ended June 30, 2019. EMEA revenues fell $4.7 million or 24%, for the same period, driven by lower instrument and consumable revenues. Unfavorable foreign exchange rates negatively impacted EMEA revenues by approximately 1%. The $4.6 million, or 31%, decrease in Asia-Pacific revenues was driven by declines in both mass cytometry and microfluidics instrument and consumable revenues. On a company-wide basis, weaker foreign exchange rates negatively impacted revenues by less than 1% for the six months ended June 30, 2020 compared to the same period in 2019.</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Product revenue decreased by $5.8 million, or 25%, for the three months ended June 30, 2020 compared to the three months ended June 30, 2019 due to lower sales volumes and lower average selling prices of mass cytometry instruments and consumables and lower sales of microfluidics consumables. Partially offsetting these declines were higher microfluidics instrument revenues, largely driven by higher unit sales of Biomark and Juno instruments reflecting the realization of several early-stage COVID-19 related opportunities.</w:t>
      </w:r>
    </w:p>
    <w:p>
      <w:pPr>
        <w:spacing w:after="0" w:line="133"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Product revenue decreased by $11.7 million, or 24%, for the six months ended June 30, 2020 compared to the six months ended June 30, 2019 due to lower sales volumes and lower average selling prices of mass cytometry instruments and consumables, and by lower sales of microfluidics consumables. Partially offsetting these declines were higher revenue from Biomark and Juno instruments, noted above, and, to a lesser extent, new products.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We expect the average selling prices of our products to fluctuate over time based on market conditions, product mix, and currency fluctuations.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Service revenue increased by $0.2 million, or 4%, for the three months ended June 30, 2020 compared to the three months ended June 30, 2019. Service plan revenues, which are recognized over the life of the service agreement and are not activity-dependent, drove the increase in service revenues. The increase in service plan revenues was partially offset by lower revenues from training and product maintenance activities. These revenues declined due primarily to closed customer facilities.</w:t>
      </w:r>
    </w:p>
    <w:p>
      <w:pPr>
        <w:spacing w:after="0" w:line="13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Service revenue increased by $0.1 million, or 1%, for the six months ended June 30, 2020 compared to the six months ended June 30, 2019. Service plan revenues drove the increase, offset by lower revenues from training and product maintenance activities. Training and product revenues declined due primarily to closed customer facilities.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b w:val="1"/>
          <w:bCs w:val="1"/>
          <w:i w:val="1"/>
          <w:iCs w:val="1"/>
          <w:color w:val="auto"/>
        </w:rPr>
        <w:t>Development Revenue</w:t>
      </w:r>
    </w:p>
    <w:p>
      <w:pPr>
        <w:spacing w:after="0" w:line="171"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Effective March 31, 2020, we signed an OEM Supply and Development Agreement (Development Agreement) with a customer. Under the Development Agreement, Fluidigm will develop products based on our microfluidics technology. The Development Agreement provides up-front and periodic milestone payments of up to $11.7 million during the development stage. The development stage is expected to last approximately one year. We recognized $3.0 million of development revenue from this agreement in the three and six months ended June 30, 2020.</w:t>
      </w:r>
    </w:p>
    <w:p>
      <w:pPr>
        <w:spacing w:after="0" w:line="11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recognize revenue under the Development Agreement using an input method based on our costs incurred relative to the total expected cost which determines the extent of our progress toward satisfaction of our obligations under the agreement. Costs associated with the Development Agreement are recorded in research and development expense.</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Grant Revenue</w:t>
      </w:r>
    </w:p>
    <w:p>
      <w:pPr>
        <w:spacing w:after="0" w:line="17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receive grants to perform research and development activities over contractually defined periods. Grant revenue in the current quarter is attributable to a grant agreement entered into in the second half of 2019. Costs associated with grant agreements are recorded in research and development expense.</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License and Royalty Revenue</w:t>
      </w:r>
    </w:p>
    <w:p>
      <w:pPr>
        <w:spacing w:after="0" w:line="171"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In March 2020, we entered into an agreement to settle intellectual property infringement claims, in which we received a $3.5 million payment in exchange for a perpetual license under certain of our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and Service Cost, Product and Service Gross Profit, and Product and Service Margin</w:t>
      </w:r>
    </w:p>
    <w:p>
      <w:pPr>
        <w:spacing w:after="0" w:line="171" w:lineRule="exact"/>
        <w:rPr>
          <w:sz w:val="20"/>
          <w:szCs w:val="20"/>
          <w:color w:val="auto"/>
        </w:rPr>
      </w:pPr>
    </w:p>
    <w:p>
      <w:pPr>
        <w:ind w:right="400" w:firstLine="486"/>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34"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11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following table presents our product and service cost, product and service gross profit and product and service margin for the three and six months ended June 30, 2020 and 2019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Year-over-</w:t>
            </w:r>
          </w:p>
        </w:tc>
        <w:tc>
          <w:tcPr>
            <w:tcW w:w="320" w:type="dxa"/>
            <w:vAlign w:val="bottom"/>
          </w:tcPr>
          <w:p>
            <w:pPr>
              <w:spacing w:after="0"/>
              <w:rPr>
                <w:sz w:val="14"/>
                <w:szCs w:val="14"/>
                <w:color w:val="auto"/>
              </w:rPr>
            </w:pPr>
          </w:p>
        </w:tc>
        <w:tc>
          <w:tcPr>
            <w:tcW w:w="2260" w:type="dxa"/>
            <w:vAlign w:val="bottom"/>
            <w:gridSpan w:val="5"/>
          </w:tcPr>
          <w:p>
            <w:pPr>
              <w:jc w:val="right"/>
              <w:ind w:right="253"/>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Year-over-</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420" w:type="dxa"/>
            <w:vAlign w:val="bottom"/>
            <w:gridSpan w:val="2"/>
            <w:vMerge w:val="restart"/>
          </w:tcPr>
          <w:p>
            <w:pPr>
              <w:jc w:val="center"/>
              <w:ind w:right="580"/>
              <w:spacing w:after="0" w:line="126" w:lineRule="exact"/>
              <w:rPr>
                <w:sz w:val="20"/>
                <w:szCs w:val="20"/>
                <w:color w:val="auto"/>
              </w:rPr>
            </w:pPr>
            <w:r>
              <w:rPr>
                <w:rFonts w:ascii="Arial" w:cs="Arial" w:eastAsia="Arial" w:hAnsi="Arial"/>
                <w:sz w:val="14"/>
                <w:szCs w:val="14"/>
                <w:b w:val="1"/>
                <w:bCs w:val="1"/>
                <w:color w:val="auto"/>
                <w:w w:val="92"/>
              </w:rPr>
              <w:t>Year</w:t>
            </w: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gridSpan w:val="2"/>
            <w:vMerge w:val="restart"/>
          </w:tcPr>
          <w:p>
            <w:pPr>
              <w:jc w:val="center"/>
              <w:ind w:right="540"/>
              <w:spacing w:after="0" w:line="126"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52"/>
        </w:trPr>
        <w:tc>
          <w:tcPr>
            <w:tcW w:w="2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19,123</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22,489</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3,465</w:t>
            </w: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and service</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6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6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620" w:type="dxa"/>
            <w:vAlign w:val="bottom"/>
            <w:gridSpan w:val="3"/>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620" w:type="dxa"/>
            <w:vAlign w:val="bottom"/>
            <w:gridSpan w:val="3"/>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and service gross profit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32,353</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Product and service margin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(2.0)  ppts</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(2.4)  ppts</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Product and service margin decreased by 2.0 percentage points for the three months ended June 30, 2020 compared to the three months ended June 30, 2019. Fixed depreciation and amortization costs on a lower revenue base negatively impacted margins by 2.8 percentage points. Lower factory utilization also negatively impacted margins on mass cytometry instruments. This decline was partially offset by lower service costs and improved manufacturing efficiencies across our consumables products.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5" w:name="page36"/>
    <w:bookmarkEnd w:id="35"/>
    <w:p>
      <w:pPr>
        <w:jc w:val="both"/>
        <w:ind w:right="160" w:firstLine="486"/>
        <w:spacing w:after="0" w:line="259" w:lineRule="auto"/>
        <w:rPr>
          <w:sz w:val="20"/>
          <w:szCs w:val="20"/>
          <w:color w:val="auto"/>
        </w:rPr>
      </w:pPr>
      <w:r>
        <w:rPr>
          <w:rFonts w:ascii="Arial" w:cs="Arial" w:eastAsia="Arial" w:hAnsi="Arial"/>
          <w:sz w:val="18"/>
          <w:szCs w:val="18"/>
          <w:color w:val="auto"/>
        </w:rPr>
        <w:t>Product and service margin decreased by 2.4 percentage points for the six months ended June 30, 2020 compared to the six months ended June 30, 2019. Fixed depreciation and amortization costs on a lower revenue base negatively impacted margins by 2.6 percentage points. Lower factory utilization also negatively impacted margins on mass cytometry instruments. This decline was partially offset by lower costs for our microfluidics instruments and mass cytometry consumables and lower service costs.</w:t>
      </w:r>
    </w:p>
    <w:p>
      <w:pPr>
        <w:sectPr>
          <w:pgSz w:w="11900" w:h="16838" w:orient="portrait"/>
          <w:cols w:equalWidth="0" w:num="1">
            <w:col w:w="11220"/>
          </w:cols>
          <w:pgMar w:left="320" w:top="1219" w:right="359" w:bottom="1440" w:gutter="0" w:footer="0" w:header="0"/>
        </w:sect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our operating expenses for the three and six months ended June 30, 2020 and 2019 (in thousands):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Year-over-</w:t>
            </w: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3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Year Change</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8,448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7,865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17,147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16,237</w:t>
            </w:r>
          </w:p>
        </w:tc>
      </w:tr>
      <w:tr>
        <w:trPr>
          <w:trHeight w:val="270"/>
        </w:trPr>
        <w:tc>
          <w:tcPr>
            <w:tcW w:w="3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20,616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22,134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43,311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44,958</w:t>
            </w:r>
          </w:p>
        </w:tc>
      </w:tr>
      <w:tr>
        <w:trPr>
          <w:trHeight w:val="27"/>
        </w:trPr>
        <w:tc>
          <w:tcPr>
            <w:tcW w:w="3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8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29,064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29,999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60,458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61,195</w:t>
            </w: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97" w:lineRule="auto"/>
        <w:rPr>
          <w:sz w:val="20"/>
          <w:szCs w:val="20"/>
          <w:color w:val="auto"/>
        </w:rPr>
      </w:pPr>
      <w:r>
        <w:rPr>
          <w:rFonts w:ascii="Arial" w:cs="Arial" w:eastAsia="Arial" w:hAnsi="Arial"/>
          <w:sz w:val="13"/>
          <w:szCs w:val="13"/>
          <w:b w:val="1"/>
          <w:bCs w:val="1"/>
          <w:color w:val="auto"/>
        </w:rPr>
        <w:t>Year-over-Year Change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711" w:lineRule="exact"/>
        <w:rPr>
          <w:sz w:val="20"/>
          <w:szCs w:val="20"/>
          <w:color w:val="auto"/>
        </w:rPr>
      </w:pPr>
    </w:p>
    <w:p>
      <w:pPr>
        <w:sectPr>
          <w:pgSz w:w="11900" w:h="16838" w:orient="portrait"/>
          <w:cols w:equalWidth="0" w:num="2">
            <w:col w:w="10300" w:space="120"/>
            <w:col w:w="800"/>
          </w:cols>
          <w:pgMar w:left="320" w:top="1219" w:right="359" w:bottom="1440" w:gutter="0" w:footer="0" w:header="0"/>
          <w:type w:val="continuous"/>
        </w:sectPr>
      </w:pPr>
    </w:p>
    <w:p>
      <w:pPr>
        <w:ind w:firstLine="486"/>
        <w:spacing w:after="0" w:line="257" w:lineRule="auto"/>
        <w:rPr>
          <w:sz w:val="20"/>
          <w:szCs w:val="20"/>
          <w:color w:val="auto"/>
        </w:rPr>
      </w:pPr>
      <w:r>
        <w:rPr>
          <w:rFonts w:ascii="Arial" w:cs="Arial" w:eastAsia="Arial" w:hAnsi="Arial"/>
          <w:sz w:val="18"/>
          <w:szCs w:val="18"/>
          <w:color w:val="auto"/>
        </w:rPr>
        <w:t>Research and development expense consists primarily of compensation-related costs, product development and material expenses, and other allocated facilities and information technology expenses. Our research and development efforts have focused primarily on enhancing our technologies and supporting development and commercialization of new and existing products and services. Research and development expense also includes costs incurred in conjunction with research grants and development arrangements. We have made substantial investments in research and development since our inception and expect to continue to do so.</w:t>
      </w:r>
    </w:p>
    <w:p>
      <w:pPr>
        <w:spacing w:after="0" w:line="13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Research and development expense increased by $0.6 million, or 7%, for the three months ended June 30, 2020 compared to the three months ended June 30, 2019. Increases were primarily attributable to outside service costs related to various projects and laboratory supplies costs, partially offset by lower compensation costs. The lower compensation costs reflects temporary salary reductions implemented during the second quarter and reduced recruiting costs.</w:t>
      </w:r>
    </w:p>
    <w:p>
      <w:pPr>
        <w:spacing w:after="0" w:line="133"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Research and development expense increased by $0.9 million, or 6%, for the six months ended June 30, 2020 compared to the six months ended June 30, 2019. Increases were primarily attributable to outside service costs related to various projects and higher laboratory supplies costs, partially offset by reduced compensation costs.</w:t>
      </w:r>
    </w:p>
    <w:p>
      <w:pPr>
        <w:spacing w:after="0" w:line="130"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that these expenses may increase in future periods.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Selling, general and administrative expense consists primarily of personnel costs for our sales and marketing, business development, finance, legal, human resources, information technology, and general management, as well as professional services, such as legal and accounting services.</w:t>
      </w:r>
    </w:p>
    <w:p>
      <w:pPr>
        <w:spacing w:after="0" w:line="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Selling, general and administrative expense decreased by $1.5 million, or 7%, for the three months ended June 30, 2020 compared to the three months ended June 30, 2019. Compensation costs fell by $1.0 million compared to the prior year period. The lower compensation costs includes the impact of temporary salary reductions implemented during the second quarter, partially offset by higher stock-based compensation costs. Lower sales resulted in reduced sales commissions while reduced travel due to the pandemic caused travel expense to decline $1.2 million in the three months ended June 30, 2020 compared to the three months ended June 30, 2019. In addition, we received $0.4 million of wage subsidies from the Singapore government during the second quarter which further reduced operating expenses. These items were partially offset by higher facilities costs. Facilities cost increased approximately $1.1 million for the three months ended June 30, 2020 compared to the three months ended June 30, 2019, reflecting lease costs associated with our new corporate headquarters. Foreign exchange rates had a negligible impact on selling, general and administrative expense.</w:t>
      </w:r>
    </w:p>
    <w:p>
      <w:pPr>
        <w:spacing w:after="0" w:line="11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Selling, general and administrative expense decreased by $1.6 million, or 4%, for the six months ended June 30, 2020 compared to the six months ended June 30, 2019. Decreases in the year-to-date period were largely driven by the same factors as the decreases in the second quarter. Compensation costs fell by $0.7 million compared to the prior year period along with lower commissions due to lower revenues, along with $0.4 million of wage subsidies from the Singapore government. Travel</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type w:val="continuous"/>
        </w:sectPr>
      </w:pPr>
    </w:p>
    <w:bookmarkStart w:id="36" w:name="page37"/>
    <w:bookmarkEnd w:id="36"/>
    <w:p>
      <w:pPr>
        <w:ind w:right="240"/>
        <w:spacing w:after="0" w:line="301" w:lineRule="auto"/>
        <w:rPr>
          <w:sz w:val="20"/>
          <w:szCs w:val="20"/>
          <w:color w:val="auto"/>
        </w:rPr>
      </w:pPr>
      <w:r>
        <w:rPr>
          <w:rFonts w:ascii="Arial" w:cs="Arial" w:eastAsia="Arial" w:hAnsi="Arial"/>
          <w:sz w:val="16"/>
          <w:szCs w:val="16"/>
          <w:color w:val="auto"/>
        </w:rPr>
        <w:t>costs fell $1.6 million compared to the prior year period, while costs related to trade shows and other events fell $0.7 million due to the cancellation of these events in light of the COVID-19 pandemic. These items were partially offset by higher facilities costs. Facilities cost increased approximately $2.1 million for six months ended June 30, 2020 compared to the six months ended June 30, 2019, reflecting moving and lease costs associated with our new corporate headquarters. Foreign exchange rates had a negligible impact on selling, general and administrative expense.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Loss on Extinguishment of Debt and Other Income (Expense),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these items for the three and six months ended June 30, 2020 and 2019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Year-over-</w:t>
            </w:r>
          </w:p>
        </w:tc>
        <w:tc>
          <w:tcPr>
            <w:tcW w:w="340" w:type="dxa"/>
            <w:vAlign w:val="bottom"/>
          </w:tcPr>
          <w:p>
            <w:pPr>
              <w:spacing w:after="0"/>
              <w:rPr>
                <w:sz w:val="14"/>
                <w:szCs w:val="14"/>
                <w:color w:val="auto"/>
              </w:rPr>
            </w:pPr>
          </w:p>
        </w:tc>
        <w:tc>
          <w:tcPr>
            <w:tcW w:w="25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660" w:type="dxa"/>
            <w:vAlign w:val="bottom"/>
            <w:vMerge w:val="restart"/>
          </w:tcPr>
          <w:p>
            <w:pPr>
              <w:jc w:val="center"/>
              <w:ind w:left="104"/>
              <w:spacing w:after="0" w:line="126"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ind w:right="22"/>
              <w:spacing w:after="0" w:line="126" w:lineRule="exact"/>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52"/>
        </w:trPr>
        <w:tc>
          <w:tcPr>
            <w:tcW w:w="3460" w:type="dxa"/>
            <w:vAlign w:val="bottom"/>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Year Change</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(491)</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Loss from extinguishment of debt</w:t>
            </w:r>
          </w:p>
        </w:tc>
        <w:tc>
          <w:tcPr>
            <w:tcW w:w="8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3"/>
        </w:trPr>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(434)</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(11,477)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November 2019, we issued $55.0 million aggregate principal amount of our 5.25% Senior Convertible Notes due 2024 (2019 Notes). Net proceeds of the 2019 Notes issuance were used primarily to retire $50.2 million aggregate principal amount of our Senior Convertible Notes due 2034 (2014 Notes). The 2019 Notes have an effective interest rate of 6.2% compared to the 2014 Notes, which have an effective interest rate 3.0%. The increase in interest expense for the three months ended June 30, 2020 compared to the prior year period reflects the impact of the higher effective interest rate on the 2019 Notes.</w:t>
      </w:r>
    </w:p>
    <w:p>
      <w:pPr>
        <w:spacing w:after="0" w:line="134"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In February 2014, we closed an underwritten public offering of $201.3 million aggregate principal amount of our 2014 Notes. In March 2018, we entered into separate privately negotiated transactions with certain holders of our 2014 Notes to exchange $150.0 million in aggregate principal amount of the 2014 Notes for our 2.75% Exchange Senior Convertible Notes due 2034 (2018 Notes). The 2018 Notes had an effective interest rate of 12.3%. In the first quarter of 2019, the 2018 Notes were converted into 19.5 million shares of our common stock and the 2018 Notes were retired. We recognized a loss of $9.0 million on the conversion of 2018 Notes, which was included in loss on extinguishment of debt. This amount represents the difference between the fair value of the bonds converted and the carrying value of the bonds at the time of conversion.</w:t>
      </w:r>
    </w:p>
    <w:p>
      <w:pPr>
        <w:spacing w:after="0" w:line="12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Interest expense of $1.8 million for the six months ended June 30, 2020 consists primarily of interest on $55.0 million of 2019 Notes, while interest expense of $3.2 million for the six months ended June 30, 2019 includes both the interest on $51.3 million of 2014 Notes and a partial quarter of interest expense on $150.0 million of 2018 Notes, which accrued at an effective rate of 12.3%. The higher interest expense for the six months ended June 30, 2019 compared to the current year period reflects the impact of higher debt balances and higher interest rates for the first half of 2019 compared to the first half of 2020.</w:t>
      </w:r>
    </w:p>
    <w:p>
      <w:pPr>
        <w:spacing w:after="0" w:line="134"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Other income, net of $0.5 million for the three months ended June 30, 2020 is primarily attributable to $42 thousand of interest income, and $0.4 million of foreign exchange gains. Other income, net of $0.2 million for the three months ended June 30, 2019 includes $0.4 million of interest income, partially offset by $0.1 million of foreign exchange losses. The lower interest income in the current year period is attributable to lower market interest rates. The foreign exchange gains in the second quarter reflects a stronger Canadian dollar in the second quarter, compared to the first quarter of 2020.</w:t>
      </w:r>
    </w:p>
    <w:p>
      <w:pPr>
        <w:spacing w:after="0" w:line="103"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Other expense, net of $0.4 million for the six months ended June 30, 2020 is primarily attributable to $0.6 million of foreign exchange losses, reflecting the impact of a stronger U.S. dollar, partially offset by $0.2 million of interest income. Other income, net of $0.7 million for the six months ended June 30, 2019 consists primarily of $0.8 million of interest income, offset by $0.1 million of foreign exchange losses.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71"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Our tax provision is generally driven by three components: (i) tax provision from our foreign operations, (ii) tax benefits from the amortization of acquisition-related intangible assets, and (iii) discrete items, such as changes in valuation allowances or adjustments upon finalization of tax returns. Depending on the relative value of these components, we can have either a tax benefit or expense for any given period.</w:t>
      </w:r>
    </w:p>
    <w:p>
      <w:pPr>
        <w:spacing w:after="0" w:line="11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We recorded a tax benefit of $1.1 million, for an effective tax rate of 8.1%, for the three months ended June 30, 2020. For the three months ended June 30, 2019, we recorded a tax benefit of $1.1 million for an effective tax rate of 7.7%. For the six months ended June 30, 2020, we recorded an income tax benefit of $1.8 million for an effective rate of 5.9%. For the six</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37" w:name="page38"/>
    <w:bookmarkEnd w:id="37"/>
    <w:p>
      <w:pPr>
        <w:ind w:right="640"/>
        <w:spacing w:after="0" w:line="263" w:lineRule="auto"/>
        <w:rPr>
          <w:sz w:val="20"/>
          <w:szCs w:val="20"/>
          <w:color w:val="auto"/>
        </w:rPr>
      </w:pPr>
      <w:r>
        <w:rPr>
          <w:rFonts w:ascii="Arial" w:cs="Arial" w:eastAsia="Arial" w:hAnsi="Arial"/>
          <w:sz w:val="18"/>
          <w:szCs w:val="18"/>
          <w:color w:val="auto"/>
        </w:rPr>
        <w:t>months ended June 30, 2019, we recorded a tax benefit of $1.1 million, for an effective tax rate of 2.7%. The benefit for all periods was primarily attributable to the tax benefit from the amortization of our acquisition-related deferred tax liabilities partially offset by a provision from our foreign operation and state minimum 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As of June 30, 2020, our principal sources of liquidity consisted of $43.0 million of cash and cash equivalents, and $2.4 million of short-term investments, as well as $1.1 million of restricted cash and $7.3 million of availability under our Revolving Credit Facility.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cash flow summary for the six months ended June 30, 2020 and 2019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summary:</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(7,085)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(25,143)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27,586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(45,299)</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1,187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63"/>
        </w:trPr>
        <w:tc>
          <w:tcPr>
            <w:tcW w:w="82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20,304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(69,280)</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and license agreements and grants. Our cash flows from operating activities are also significantly influenced by our use of cash for operating expenses and working capital to support our business. We have historically experienced negative cash flows from operating activities as we have expanded our business and built our infrastructure domestically and internationally.</w:t>
      </w:r>
    </w:p>
    <w:p>
      <w:pPr>
        <w:spacing w:after="0" w:line="13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Net cash used in operating activities in the six months ended June 30, 2020 was $7.1 million and consisted of net loss of $29.0 million, adjusted for non-cash items of $16.1 million, partially offset by a net decrease in assets and liabilities of $5.8 million. Non-cash items primarily included amortization of developed technology of $5.9 million, stock-based compensation expense of $6.0 million, amortization of debt discounts, premiums and issuance costs of $0.3 million, depreciation and amortization of $2.0 million, and other non-cash items of $0.1 million. The net decrease in assets and liabilities was primarily due to a decrease in accounts receivable of $9.1 million, an increase in accounts payable of $3.1 million, and an increase in deferred revenue of $2.0 million, partially offset by an increase of inventories of $4.9 million, a decrease in other liabilities of $2.8 million and an increase in prepaid expenses and other assets of $0.7 million.</w:t>
      </w:r>
    </w:p>
    <w:p>
      <w:pPr>
        <w:spacing w:after="0" w:line="14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Net cash used in operating activities for the six months ended June 30, 2019 was $25.1 million and consisted of net loss of $39.2 million, adjusted for non-cash items of $24.7 million, and an increase in the assets and liabilities of $10.7 million. Non-cash items primarily included a $9.0 million loss on extinguishment of debt, amortization of developed technology of $5.6 million, stock-based compensation expense of $5.3 million, amortization of debt discounts, premiums, and issuance costs of $2.0 million, depreciation and amortization of $2.4 million, and a provision for excess and obsolete inventory of $0.6 million. The net change in assets and liabilities included a decrease in other liabilities of $9.2 million, an increase in accounts receivable of $2.4 million, an increase in inventories of $2.0 million, and an increase in prepaid and other assets of $1.0 million, partially offset by an increase accounts payable of $3.4 million, and an increase in deferred revenue of $0.5 million.</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7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to improve manufacturing efficiencies and strengthen information technology and network security, as well as capital expenditures incurred in moving our corporate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ind w:right="200"/>
        <w:spacing w:after="0" w:line="277" w:lineRule="auto"/>
        <w:rPr>
          <w:sz w:val="20"/>
          <w:szCs w:val="20"/>
          <w:color w:val="auto"/>
        </w:rPr>
      </w:pPr>
      <w:r>
        <w:rPr>
          <w:rFonts w:ascii="Arial" w:cs="Arial" w:eastAsia="Arial" w:hAnsi="Arial"/>
          <w:sz w:val="18"/>
          <w:szCs w:val="18"/>
          <w:color w:val="auto"/>
        </w:rPr>
        <w:t>headquarters in 2020. However, we may choose to decrease or defer certain capital expenditures and development activities, while further optimizing our organization.</w:t>
      </w:r>
    </w:p>
    <w:p>
      <w:pPr>
        <w:spacing w:after="0" w:line="11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Net cash provided by investing activities in the six months ended June 30, 2020 was $27.6 million, which was mainly due to proceeds from maturities of investments of $29.4 million and proceeds from the sale of investments of $5.0 million, partially offset by the acquisition of InstruNor AS, net of cash acquired, of $5.2 million.</w:t>
      </w:r>
    </w:p>
    <w:p>
      <w:pPr>
        <w:spacing w:after="0" w:line="13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Net cash used in investing activities in the six months ended June 30, 2019 was $45.3 million, which consisted of purchases of investments of $44.6 million and capital expenditures of $0.7 million to support our commercial and manufacturing operations.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71"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We generated cash from financing activities of $8 thousand during the six months ended June 30, 2020, which was primarily due to proceeds from stock issuance from the ESPP of $0.6 million, offset almost entirely by payments of accrued debt issuance costs of $0.4 million from the 2019 Notes offering, and payments for income taxes related to net share settlement of equity awards of $0.3 million.</w:t>
      </w:r>
    </w:p>
    <w:p>
      <w:pPr>
        <w:spacing w:after="0" w:line="130"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We generated cash from financing activities of $1.2 million during the six months ended June 30, 2019, which included $1.0 million from exercise of stock options, and $0.6 million of ESPP proceeds, partially offset by $0.5 million for income taxes related to net share settlement of equity awards.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7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At June 30, 2020 and December 31, 2019, our working capital, excluding deferred revenues and restricted cash, was $54.3 million and $74.0 million, respectively, including cash and cash equivalents of $43.0 million and $21.7 million, respectively, and short-term investments of $2.4 million and $37.0 million, respectively.</w:t>
      </w:r>
    </w:p>
    <w:p>
      <w:pPr>
        <w:spacing w:after="0" w:line="130"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In February 2014, we closed an underwritten public offering of $201.3 million in aggregate principal amount of our 2014 Notes. In March 2018, we entered into privately negotiated transactions with certain holders of our 2014 Notes to exchange $150.0 million in aggregate principal amount of the 2014 Notes for $150.0 million in aggregate principal amount of 2018 Notes.</w:t>
      </w:r>
    </w:p>
    <w:p>
      <w:pPr>
        <w:spacing w:after="0" w:line="13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the first quarter of 2019, we received notices from holders of the 2018 Notes electing to voluntarily convert $138.1 million in aggregate principal amount of the 2018 Notes. In February 2019, we notified trustee U.S. Bank National Association of our intention to exercise our issuer’s conversion option with respect to the remaining $11.9 million in aggregate principal amount of 2018 Notes. In total, $150.0 million of the 2018 Notes were converted into 19.5 million shares of our common stock and the 2018 Notes were retired.</w:t>
      </w:r>
    </w:p>
    <w:p>
      <w:pPr>
        <w:spacing w:after="0" w:line="133"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In November 2019, we closed a private placement to qualified institutional buyers pursuant to Rule 144A under the Securities Act of $55.0 million aggregate principal amount of our 2019 Notes. Net proceeds of the 2019 Notes issuance were $52.7 million, after deductions for commissions and other debt issuance costs. $51.8 million of the proceeds was used to retire $50.2 million aggregate principal amount of our 2014 Notes, leaving $1.1 million of aggregate principal amount of our 2014 Notes outstanding. Pursuant to the Indenture governing the 2014 Notes, holders of the 2014 Notes have the right, subject to certain conditions specified in such indenture, to require the Company to purchase their 2014 Notes beginning in February 2021. The private placement of the 2019 Notes, and concurrent repurchase of a portion of the 2014 Notes, had the effect of refinancing a portion of the Company’s outstanding debt under the 2014 Notes to December 2024.</w:t>
      </w:r>
    </w:p>
    <w:p>
      <w:pPr>
        <w:spacing w:after="0" w:line="12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Notes is 344.8276 shares of the Company’s common stock per $1,000 principal amount of 2019 Notes (which is equivalent to an initial conversion price of $2.90 per share). The conversion rate will be subject to adjustment upon the occurrence of certain specified events but will not be adjusted for any accrued and unpaid interest.</w:t>
      </w:r>
    </w:p>
    <w:p>
      <w:pPr>
        <w:spacing w:after="0" w:line="138"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 specified number of days (Issuer’s Conversion Option), we may, at our option, elect to convert the 2019 Notes in whole but not in part into shares of the Company, determined in accordance with the terms of the indenture. On or after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9" w:name="page40"/>
    <w:bookmarkEnd w:id="39"/>
    <w:p>
      <w:pPr>
        <w:ind w:right="80"/>
        <w:spacing w:after="0" w:line="263" w:lineRule="auto"/>
        <w:rPr>
          <w:sz w:val="20"/>
          <w:szCs w:val="20"/>
          <w:color w:val="auto"/>
        </w:rPr>
      </w:pPr>
      <w:r>
        <w:rPr>
          <w:rFonts w:ascii="Arial" w:cs="Arial" w:eastAsia="Arial" w:hAnsi="Arial"/>
          <w:sz w:val="18"/>
          <w:szCs w:val="18"/>
          <w:color w:val="auto"/>
        </w:rPr>
        <w:t>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foregoing summaries of the 2014 Notes, the 2018 Notes, the 2019 Notes and the exchange transactions completed in March 2018 and November 2019 are not complete and are qualified in their entirety by the applicable indentures, forms of global notes, and other agreements and documents filed with the SEC.</w:t>
      </w:r>
    </w:p>
    <w:p>
      <w:pPr>
        <w:spacing w:after="0" w:line="13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On August 2, 2018, we entered into a $15.0 million revolving senior credit facility (Revolving Credit Facility) with Silicon Valley Bank (SVB), with a maturity date of August 2, 2020. The Revolving Credit Facility is collateralized by substantially all our property, other than intellectual property. Outstanding loans under the Revolving Credit Facility bear interest, at the greater of (i) prime rate plus 0.50% or (ii) 5.50%. Amounts drawn under the Revolving Credit Facility will be used for working capital and general corporate purposes. As of June 30, 2020, total availability under the Revolving Credit Facility was $7.3 million. We currently have no outstanding debt under the Revolving Credit Facility, and we are in compliance with all the terms and conditions of the loan agreement governing the Revolving Credit Facility. See Note 7 to our consolidated financial statements for more information about the Revolving Credit Facility.</w:t>
      </w:r>
    </w:p>
    <w:p>
      <w:pPr>
        <w:spacing w:after="0" w:line="14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April 21, 2020, we entered into the Third Amendment to Loan and Security Agreement with SVB (the Amendment), which amends the Loan and Security Agreement dated as of August 2, 2018, between the Company and SVB (as amended by the Default Waiver and First Amendment to Loan and Security Agreement dated September 7, 2018, and the Second Amendment to Loan and Security Agreement dated November 20, 2019, the Revolving Credit Agreement). The Amendment extends the maturity date by two years, to August 2, 2022. We also amended the interest rate to be the greater of (i) prime rate (as customarily defined), plus 0.50%, floating, and (ii) 5.25%. Interest on any outstanding loans continues to be due and payable monthly and the principal balance is due at maturity though loans can be prepaid at any time without penalty. Annual administration fees are unchanged. The Amendment also includes various administrative changes.</w:t>
      </w:r>
    </w:p>
    <w:p>
      <w:pPr>
        <w:spacing w:after="0" w:line="14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In March 2020, we entered into an Open Market Sale Agreement (Sale Agreement) with Jefferies LLC (Jefferies) to sell shares of our common stock having aggregate sales proceeds of up to $50,000,000, from time to time, through an “at the market” equity offering program under which Jefferies will act as sales agent. The Sale Agreement allows us to set the parameters for the sale of shares, including the number of shares to be issued, the time period during which sales are requested to be made, limits on the number of shares that may be sold in any one trading day and a minimum price below which sales may not be made. The compensation to Jefferies for sales of the Company’s common stock will be an amount equal to 3.0% of the gross proceeds of any shares of common stock sold under the Sale Agreement. The Company and Jefferies may each terminate the Sale Agreement upon prior notice. As of the date of this report, there had been no shares of common stock sold under the Sale Agreement.</w:t>
      </w:r>
    </w:p>
    <w:p>
      <w:pPr>
        <w:spacing w:after="0" w:line="112"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1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and our ability to raise additional capital may be adversely impacted by potential worsening global economic conditions and the recent disruptions to and volatility in the credit and financial markets in the United States and worldwide resulting from the COVID-19 pandemic.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Since our inception, we have not had any off-balance sheet arrangements as defined in Item 303(a)(4) of the SEC’s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Our operating lease obligations relate to leases for our current corporate headquarters and leases for manufacturing and office space for our foreign subsidiaries. Please see Note 8 to our condensed consolidated financial statements for a discussion of our lease obligations.</w:t>
      </w:r>
    </w:p>
    <w:p>
      <w:pPr>
        <w:spacing w:after="0" w:line="92"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Other than as disclosed above, there have been no material changes during the six months ended June 30, 2020 to our contractual obligations disclosed in our “Management’s Discussion and Analysis of Financial Condition and Results of Operations” included in our annual report on Form 10-K for the year ended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six months ended June 30, 2020, we had a foreign currency loss of $0.6 million compared to a foreign currency loss of $80 thousand in the prior year for the same period.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had cash and cash equivalents of $43.0 million as of June 30, 2020. These amounts were held primarily in cash on deposit with banks and money market funds which are short-term. We also held $2.4 million of investments in treasury securities at June 30, 2020. Cash, cash equivalents and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June 30, 2020. The term “disclosure controls and procedures,” as defined in Rules 13a-15(e) and 15d-15(e) under the Exchange Act, means controls and other procedures of a company that are</w:t>
      </w:r>
    </w:p>
    <w:p>
      <w:pPr>
        <w:sectPr>
          <w:pgSz w:w="11900" w:h="16838" w:orient="portrait"/>
          <w:cols w:equalWidth="0" w:num="1">
            <w:col w:w="11220"/>
          </w:cols>
          <w:pgMar w:left="320" w:top="1215"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type w:val="continuous"/>
        </w:sectPr>
      </w:pPr>
    </w:p>
    <w:bookmarkStart w:id="41" w:name="page42"/>
    <w:bookmarkEnd w:id="41"/>
    <w:p>
      <w:pPr>
        <w:spacing w:after="0" w:line="270" w:lineRule="auto"/>
        <w:rPr>
          <w:sz w:val="20"/>
          <w:szCs w:val="20"/>
          <w:color w:val="auto"/>
        </w:rPr>
      </w:pPr>
      <w:r>
        <w:rPr>
          <w:rFonts w:ascii="Arial" w:cs="Arial" w:eastAsia="Arial" w:hAnsi="Arial"/>
          <w:sz w:val="17"/>
          <w:szCs w:val="17"/>
          <w:color w:val="auto"/>
        </w:rPr>
        <w:t>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2020 that have materially affected, or are reasonably likely to materially affect, our internal control over financial reporting.</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71" w:lineRule="exact"/>
        <w:rPr>
          <w:sz w:val="20"/>
          <w:szCs w:val="20"/>
          <w:color w:val="auto"/>
        </w:rPr>
      </w:pPr>
    </w:p>
    <w:p>
      <w:pPr>
        <w:jc w:val="both"/>
        <w:ind w:right="60" w:firstLine="486"/>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global COVID-19 pandemic has significantly and adversely affected our business operations, financial position, and cash flows, and we expect it will continue to do so.</w:t>
      </w:r>
    </w:p>
    <w:p>
      <w:pPr>
        <w:spacing w:after="0" w:line="112"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pandemic and international public health emergency caused by SARS-CoV-2, the novel strain of coronavirus that causes the disease commonly known as COVID-19, has spread throughout all the countries in which we and our customers, suppliers, and other business partners operate, causing significant disruption and volatility in global financial markets and raising the prospect of an extended global recession. Public health problems resulting from COVID-19 and precautionary measures instituted by governments and businesses to mitigate its spread, including travel restrictions and quarantines, could continue to contribute to a general slowdown in the global economy, cause increasingly adverse impacts on our customers, suppliers, and other business partners, and further disrupt our operations. Changes in our operations as a result of the COVID-19 pandemic have resulted in inefficiencies and delays, including in sales and product development efforts, and additional costs related to business continuity initiatives that cannot be fully mitigated through succession planning, employees working remotely, or teleconferencing technologies.</w:t>
      </w:r>
    </w:p>
    <w:p>
      <w:pPr>
        <w:spacing w:after="0" w:line="124"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The COVID-19 pandemic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92" w:lineRule="exact"/>
        <w:rPr>
          <w:sz w:val="20"/>
          <w:szCs w:val="20"/>
          <w:color w:val="auto"/>
        </w:rPr>
      </w:pPr>
    </w:p>
    <w:p>
      <w:pPr>
        <w:ind w:left="820" w:right="2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demand for our products and services due to the impact of COVID-19 on our customers, particularly in the global academic research community;</w:t>
      </w:r>
    </w:p>
    <w:p>
      <w:pPr>
        <w:spacing w:after="0" w:line="102" w:lineRule="exact"/>
        <w:rPr>
          <w:rFonts w:ascii="Arial" w:cs="Arial" w:eastAsia="Arial" w:hAnsi="Arial"/>
          <w:sz w:val="18"/>
          <w:szCs w:val="18"/>
          <w:color w:val="auto"/>
        </w:rPr>
      </w:pPr>
    </w:p>
    <w:p>
      <w:pPr>
        <w:ind w:left="820" w:right="16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diminished business productivity due to inefficiencies in employees working from home or increasing physical distancing and other pandemic response protocols in our production facilities;</w:t>
      </w:r>
    </w:p>
    <w:p>
      <w:pPr>
        <w:spacing w:after="0" w:line="89" w:lineRule="exact"/>
        <w:rPr>
          <w:rFonts w:ascii="Arial" w:cs="Arial" w:eastAsia="Arial" w:hAnsi="Arial"/>
          <w:sz w:val="18"/>
          <w:szCs w:val="18"/>
          <w:color w:val="auto"/>
        </w:rPr>
      </w:pPr>
    </w:p>
    <w:p>
      <w:pPr>
        <w:ind w:left="820" w:right="4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102"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negative impact of travel restrictions and social distancing policies on our sales operations, marketing efforts, and customer field support;</w:t>
      </w:r>
    </w:p>
    <w:p>
      <w:pPr>
        <w:spacing w:after="0" w:line="180" w:lineRule="exact"/>
        <w:rPr>
          <w:rFonts w:ascii="Arial" w:cs="Arial" w:eastAsia="Arial" w:hAnsi="Arial"/>
          <w:sz w:val="16"/>
          <w:szCs w:val="16"/>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impaired ability to hire and effectively train new personnel due to travel restrictions and physical distancing protocols;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operating costs if one of our facilities were to experience a COVID-19 outbreak;</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of the operations of our contract manufacturers, suppliers, and other business partners; and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43" w:name="page44"/>
    <w:bookmarkEnd w:id="43"/>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volatility in our stock price due to financial market instability.</w:t>
      </w:r>
    </w:p>
    <w:p>
      <w:pPr>
        <w:spacing w:after="0" w:line="17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extent to which the COVID-19 pandemic will continue to adversely impact our business and financial results will depend on future developments, which are highly uncertain and cannot be predicted with confidence, such as the continued spread of the disease, the duration of the public health emergency, and actions taken in the United States and elsewhere to contain the virus and prevent new outbreaks, such as social distancing and quarantines, business closures or business disruptions.</w:t>
      </w:r>
    </w:p>
    <w:p>
      <w:pPr>
        <w:spacing w:after="0" w:line="13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Because the severity, magnitude, and duration of the COVID-19 pandemic and its economic consequences are uncertain and rapidly changing, we are unable to predict the impact of COVID-19 on our operations, our financial performance, and our ability to successfully execute our business strategies and initiatives. The ultimate impact of the COVID-19 pandemic on our operations and financial performance depends on many factors that are not within our control, including, but not limited, to: governmental, business, and individual actions that have been and continue to be taken in response to the pandemic (including restrictions on travel,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13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As the COVID-19 crisis continues to adversely affect our operating and financial results, it may also have the effect of heightening many of the other risks described in our other risk factors below. COVID-19 may also affect our operating and financial results in a manner that is not presently known to us or that we currently do not expect to present significant risks to our operations or financial results, particularly if the pandemic and its associated impacts reoccur in the coming months.</w:t>
      </w:r>
    </w:p>
    <w:p>
      <w:pPr>
        <w:spacing w:after="0" w:line="237"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9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For example, our revenue declined year-over-year in 2017 compared to 2016, but increased year-over-year in 2018 compared to 2017. Our revenue continued to increase year-over-year in 2019 compared to 2018, but we may not be able to achieve similar revenue growth in future periods. We are also increasingly dependent on our mass cytometry business, which is very capital intensive. Variability in our quarterly or annual results of operations, mix of product revenue, including any decline in our mass cytometry revenue, or variability in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1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4" w:name="page45"/>
    <w:bookmarkEnd w:id="44"/>
    <w:p>
      <w:pPr>
        <w:ind w:right="400"/>
        <w:spacing w:after="0" w:line="277" w:lineRule="auto"/>
        <w:rPr>
          <w:sz w:val="20"/>
          <w:szCs w:val="20"/>
          <w:color w:val="auto"/>
        </w:rPr>
      </w:pPr>
      <w:r>
        <w:rPr>
          <w:rFonts w:ascii="Arial" w:cs="Arial" w:eastAsia="Arial" w:hAnsi="Arial"/>
          <w:sz w:val="18"/>
          <w:szCs w:val="18"/>
          <w:color w:val="auto"/>
        </w:rPr>
        <w:t>and that our financial results for some periods may be below those projected by securities analysts, which could significantly decrease the price of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175"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$64.8 million, $59.0 million, and $60.5 million during the years 2019, 2018, and 2017, respectively. As of June 30, 2020, we had an accumulated deficit of $652.7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w:t>
      </w:r>
    </w:p>
    <w:p>
      <w:pPr>
        <w:spacing w:after="0" w:line="103"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Until we are able to generate additional revenue to support our level of operating expenses, we will continue to incur operating and net losses and negative cash flow from operations. 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life science markets are highly competitive and subject to rapid technological change, and we may not be able to successfully compete.</w:t>
      </w:r>
    </w:p>
    <w:p>
      <w:pPr>
        <w:spacing w:after="0" w:line="198"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SNP genotyping, quantitative polymerase chain reaction (qPCR), digital PCR, flow cytometry, cell imaging, and additional applications using well established laboratory techniques, as well as newer technologies such as bead encoded arrays, microfluidics, next generation DNA sequencing,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1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consider Illumina, Inc., Agilent Technologies, Inc., Thermo Fisher Scientific Inc. (Thermo), Bio-Rad Laboratories, Inc., NanoString Technologies, Inc. (NanoString), and Agena Bioscience, Inc. to be our principal competitors in the microfluidics space. We believe that Cytek Biosciences, Inc. and Becton, Dickinson and Company are currently our principal competitors for our mass cytometry market share, and that IonPath Inc., Akoya Biosciences, Inc., and NanoString are our principal competitors for our Imaging Mass Cytometry™ market share.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124"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1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12"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5" w:name="page46"/>
    <w:bookmarkEnd w:id="45"/>
    <w:p>
      <w:pPr>
        <w:ind w:right="120"/>
        <w:spacing w:after="0" w:line="277" w:lineRule="auto"/>
        <w:rPr>
          <w:sz w:val="20"/>
          <w:szCs w:val="20"/>
          <w:color w:val="auto"/>
        </w:rPr>
      </w:pPr>
      <w:r>
        <w:rPr>
          <w:rFonts w:ascii="Arial" w:cs="Arial" w:eastAsia="Arial" w:hAnsi="Arial"/>
          <w:sz w:val="18"/>
          <w:szCs w:val="18"/>
          <w:color w:val="auto"/>
        </w:rPr>
        <w:t>operating results may be harmed and we may not recover our product development and marketing expenditures. In addition, our product development and strategic plans may change, which could delay or impede our entry into these markets.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75"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12"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9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3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38" w:lineRule="exact"/>
        <w:rPr>
          <w:sz w:val="20"/>
          <w:szCs w:val="20"/>
          <w:color w:val="auto"/>
        </w:rPr>
      </w:pPr>
    </w:p>
    <w:p>
      <w:pPr>
        <w:ind w:right="300" w:firstLine="445"/>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11"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3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12"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6" w:name="page47"/>
    <w:bookmarkEnd w:id="46"/>
    <w:p>
      <w:pPr>
        <w:spacing w:after="0" w:line="273" w:lineRule="auto"/>
        <w:rPr>
          <w:sz w:val="20"/>
          <w:szCs w:val="20"/>
          <w:color w:val="auto"/>
        </w:rPr>
      </w:pPr>
      <w:r>
        <w:rPr>
          <w:rFonts w:ascii="Arial" w:cs="Arial" w:eastAsia="Arial" w:hAnsi="Arial"/>
          <w:sz w:val="17"/>
          <w:szCs w:val="17"/>
          <w:color w:val="auto"/>
        </w:rPr>
        <w:t>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22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12"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1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57" w:lineRule="exact"/>
        <w:rPr>
          <w:rFonts w:ascii="Arial" w:cs="Arial" w:eastAsia="Arial" w:hAnsi="Arial"/>
          <w:sz w:val="18"/>
          <w:szCs w:val="18"/>
          <w:color w:val="auto"/>
        </w:rPr>
      </w:pPr>
    </w:p>
    <w:p>
      <w:pPr>
        <w:ind w:left="820" w:right="68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claims against us, including product liability claims, which could be costly and time consuming to defend and result in substantial damages.</w:t>
      </w:r>
    </w:p>
    <w:p>
      <w:pPr>
        <w:spacing w:after="0" w:line="116"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7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11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7" w:name="page48"/>
    <w:bookmarkEnd w:id="47"/>
    <w:p>
      <w:pPr>
        <w:ind w:right="140"/>
        <w:spacing w:after="0" w:line="288" w:lineRule="auto"/>
        <w:rPr>
          <w:sz w:val="20"/>
          <w:szCs w:val="20"/>
          <w:color w:val="auto"/>
        </w:rPr>
      </w:pPr>
      <w:r>
        <w:rPr>
          <w:rFonts w:ascii="Arial" w:cs="Arial" w:eastAsia="Arial" w:hAnsi="Arial"/>
          <w:sz w:val="16"/>
          <w:szCs w:val="16"/>
          <w:color w:val="auto"/>
        </w:rPr>
        <w:t>policies and practices of these customers—which may additionally be impacted by factors such as the COVID-19 pandemic—could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our customers. For example, reductions in operating expenditures by global academic research facilities, approximately 30% to 40% of which are either closed or working at reduced capacity as of the end of June 2020 because of the COVID-19 pandemic, have resulted in lower than expected sales of our systems, IFCs, assays, and reagents. Similar reductions and delays in customer spending may result from other factors that are not within our control, such as:</w:t>
      </w:r>
    </w:p>
    <w:p>
      <w:pPr>
        <w:spacing w:after="0" w:line="114"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or public health crises;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57" w:lineRule="exact"/>
        <w:rPr>
          <w:rFonts w:ascii="Arial" w:cs="Arial" w:eastAsia="Arial" w:hAnsi="Arial"/>
          <w:sz w:val="18"/>
          <w:szCs w:val="18"/>
          <w:color w:val="auto"/>
        </w:rPr>
      </w:pPr>
    </w:p>
    <w:p>
      <w:pPr>
        <w:ind w:left="820" w:right="420" w:hanging="326"/>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plant and animal research companies engaged in research and commercial activities;</w:t>
      </w:r>
    </w:p>
    <w:p>
      <w:pPr>
        <w:spacing w:after="0" w:line="102"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mergers and acquisitions in the life science and plant and animal research industries;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20"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9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manufacture our genomics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23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12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(including the ongoing COVID-19 pandemic), fire, earthquake, volcanic eruptions, energy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8" w:name="page49"/>
    <w:bookmarkEnd w:id="48"/>
    <w:p>
      <w:pPr>
        <w:ind w:right="420"/>
        <w:spacing w:after="0" w:line="277" w:lineRule="auto"/>
        <w:rPr>
          <w:sz w:val="20"/>
          <w:szCs w:val="20"/>
          <w:color w:val="auto"/>
        </w:rPr>
      </w:pPr>
      <w:r>
        <w:rPr>
          <w:rFonts w:ascii="Arial" w:cs="Arial" w:eastAsia="Arial" w:hAnsi="Arial"/>
          <w:sz w:val="18"/>
          <w:szCs w:val="18"/>
          <w:color w:val="auto"/>
        </w:rPr>
        <w:t>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116"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23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11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During the years 2019, 2018, and 2017, approximately 63%, 57%, and 55%,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33" w:lineRule="exact"/>
        <w:rPr>
          <w:sz w:val="20"/>
          <w:szCs w:val="20"/>
          <w:color w:val="auto"/>
        </w:rPr>
      </w:pPr>
    </w:p>
    <w:p>
      <w:pPr>
        <w:ind w:left="820" w:right="200" w:hanging="326"/>
        <w:spacing w:after="0" w:line="25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which regulate the use of certain hazardous substances in, and require the collection, reuse, and recycling of waste from, products we manufacture;</w:t>
      </w:r>
    </w:p>
    <w:p>
      <w:pPr>
        <w:spacing w:after="0" w:line="120" w:lineRule="exact"/>
        <w:rPr>
          <w:rFonts w:ascii="Arial" w:cs="Arial" w:eastAsia="Arial" w:hAnsi="Arial"/>
          <w:sz w:val="18"/>
          <w:szCs w:val="18"/>
          <w:color w:val="auto"/>
        </w:rPr>
      </w:pPr>
    </w:p>
    <w:p>
      <w:pPr>
        <w:ind w:left="820" w:right="240" w:hanging="326"/>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8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44" w:lineRule="exact"/>
        <w:rPr>
          <w:rFonts w:ascii="Arial" w:cs="Arial" w:eastAsia="Arial" w:hAnsi="Arial"/>
          <w:sz w:val="18"/>
          <w:szCs w:val="18"/>
          <w:color w:val="auto"/>
        </w:rPr>
      </w:pPr>
    </w:p>
    <w:p>
      <w:pPr>
        <w:ind w:left="820" w:right="80" w:hanging="326"/>
        <w:spacing w:after="0" w:line="263"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w:t>
      </w:r>
    </w:p>
    <w:p>
      <w:pPr>
        <w:spacing w:after="0" w:line="116" w:lineRule="exact"/>
        <w:rPr>
          <w:rFonts w:ascii="Arial" w:cs="Arial" w:eastAsia="Arial" w:hAnsi="Arial"/>
          <w:sz w:val="18"/>
          <w:szCs w:val="18"/>
          <w:color w:val="auto"/>
        </w:rPr>
      </w:pPr>
    </w:p>
    <w:p>
      <w:pPr>
        <w:ind w:left="820" w:right="460" w:hanging="326"/>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interruptions resulting from global sociopolitical events, including war and terrorism, public health crises such as the COVID-19 pandemic, and natural disasters including earthquakes, typhoons, floods and fires;</w:t>
      </w:r>
    </w:p>
    <w:p>
      <w:pPr>
        <w:spacing w:after="0" w:line="10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fluctuations in the exchange rate of the U.S. Dollar and foreign currencies.</w:t>
      </w:r>
    </w:p>
    <w:p>
      <w:pPr>
        <w:spacing w:after="0" w:line="17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sectPr>
      </w:pPr>
    </w:p>
    <w:bookmarkStart w:id="49" w:name="page50"/>
    <w:bookmarkEnd w:id="49"/>
    <w:p>
      <w:pPr>
        <w:jc w:val="both"/>
        <w:ind w:right="440"/>
        <w:spacing w:after="0" w:line="259" w:lineRule="auto"/>
        <w:rPr>
          <w:sz w:val="20"/>
          <w:szCs w:val="20"/>
          <w:color w:val="auto"/>
        </w:rPr>
      </w:pPr>
      <w:r>
        <w:rPr>
          <w:rFonts w:ascii="Arial" w:cs="Arial" w:eastAsia="Arial" w:hAnsi="Arial"/>
          <w:sz w:val="18"/>
          <w:szCs w:val="18"/>
          <w:color w:val="auto"/>
        </w:rPr>
        <w:t>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3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11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23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1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33" w:lineRule="exact"/>
        <w:rPr>
          <w:sz w:val="20"/>
          <w:szCs w:val="20"/>
          <w:color w:val="auto"/>
        </w:rPr>
      </w:pPr>
    </w:p>
    <w:p>
      <w:pPr>
        <w:ind w:left="820" w:right="140" w:hanging="326"/>
        <w:spacing w:after="0" w:line="263"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16" w:lineRule="exact"/>
        <w:rPr>
          <w:rFonts w:ascii="Arial" w:cs="Arial" w:eastAsia="Arial" w:hAnsi="Arial"/>
          <w:sz w:val="18"/>
          <w:szCs w:val="18"/>
          <w:color w:val="auto"/>
        </w:rPr>
      </w:pPr>
    </w:p>
    <w:p>
      <w:pPr>
        <w:ind w:left="820" w:right="12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89" w:lineRule="exact"/>
        <w:rPr>
          <w:rFonts w:ascii="Arial" w:cs="Arial" w:eastAsia="Arial" w:hAnsi="Arial"/>
          <w:sz w:val="18"/>
          <w:szCs w:val="18"/>
          <w:color w:val="auto"/>
        </w:rPr>
      </w:pPr>
    </w:p>
    <w:p>
      <w:pPr>
        <w:ind w:left="820" w:right="340" w:hanging="326"/>
        <w:spacing w:after="0" w:line="27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16"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16"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71"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75"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0" w:name="page51"/>
    <w:bookmarkEnd w:id="50"/>
    <w:p>
      <w:pPr>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66"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2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12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success depends largely on the skills, experience, and performance of our management team and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In April 2020, we implemented a temporary, enterprise-wide reduction in salaries as part of our efforts to reduce our operating expenses in response to the COVID-19 pandemic. As of the date of this filing, all salaries have been restored to prior levels but 2020 merit-based salary increases are on hold pending a clearer view of our projected revenue for 2020. We cannot predict our employees’ willingness to remain with us if raises are delayed indefinitely or if further salary reductions become necessary. We do not maintain fixed term employment contracts or significant key person life insurance with any of our employees.</w:t>
      </w:r>
    </w:p>
    <w:p>
      <w:pPr>
        <w:spacing w:after="0" w:line="140" w:lineRule="exact"/>
        <w:rPr>
          <w:sz w:val="20"/>
          <w:szCs w:val="20"/>
          <w:color w:val="auto"/>
        </w:rPr>
      </w:pPr>
    </w:p>
    <w:p>
      <w:pPr>
        <w:jc w:val="both"/>
        <w:ind w:right="120" w:firstLine="486"/>
        <w:spacing w:after="0" w:line="287" w:lineRule="auto"/>
        <w:rPr>
          <w:sz w:val="20"/>
          <w:szCs w:val="20"/>
          <w:color w:val="auto"/>
        </w:rPr>
      </w:pPr>
      <w:r>
        <w:rPr>
          <w:rFonts w:ascii="Arial" w:cs="Arial" w:eastAsia="Arial" w:hAnsi="Arial"/>
          <w:sz w:val="16"/>
          <w:szCs w:val="16"/>
          <w:color w:val="auto"/>
        </w:rPr>
        <w:t>Additionally, to expand our research and product development efforts, we need to retain and recruit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1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33" w:lineRule="exact"/>
        <w:rPr>
          <w:sz w:val="20"/>
          <w:szCs w:val="20"/>
          <w:color w:val="auto"/>
        </w:rPr>
      </w:pPr>
    </w:p>
    <w:p>
      <w:pPr>
        <w:ind w:left="5540" w:right="2360" w:hanging="5046"/>
        <w:spacing w:after="0" w:line="919" w:lineRule="auto"/>
        <w:tabs>
          <w:tab w:leader="none" w:pos="8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1" w:name="page52"/>
    <w:bookmarkEnd w:id="51"/>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155"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9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1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1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implemented security controls to protect our information technology infrastructure but, despite our efforts, we are not fully insulated from technology disruptions that could adversely impact us. For example, in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If, however, confidential data is later determined to have been released in the course of this or any future event, it is possible that we could be the subject of actions by governmental authorities or claims from persons alleging they suffered damages from such a release. Although we believe we have contained the disruption from the March 2019 attack, we anticipate additional work and expense in the future as we continue to enhance our security processes and initiatives in response to ever-evolving information security threats.</w:t>
      </w:r>
    </w:p>
    <w:p>
      <w:pPr>
        <w:spacing w:after="0" w:line="12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13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Due to the COVID-19 pandemic, we have an increased number of employees working remotely. As a result, we may have increased cyber security and data security risks, due to increased use of home wi-fi networks and virtual private networks,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52" w:name="page53"/>
    <w:bookmarkEnd w:id="52"/>
    <w:p>
      <w:pPr>
        <w:ind w:right="340"/>
        <w:spacing w:after="0" w:line="342" w:lineRule="auto"/>
        <w:rPr>
          <w:sz w:val="20"/>
          <w:szCs w:val="20"/>
          <w:color w:val="auto"/>
        </w:rPr>
      </w:pPr>
      <w:r>
        <w:rPr>
          <w:rFonts w:ascii="Arial" w:cs="Arial" w:eastAsia="Arial" w:hAnsi="Arial"/>
          <w:sz w:val="16"/>
          <w:szCs w:val="16"/>
          <w:color w:val="auto"/>
        </w:rPr>
        <w:t>as well as increased disbursement of physical machines. While we implement security controls to reduce the risk of cyberattacks and security breaches, there is no guarantee that these measures will be adequate to safeguard all systems with the increased number of employees working remotely.</w:t>
      </w:r>
    </w:p>
    <w:p>
      <w:pPr>
        <w:spacing w:after="0" w:line="174"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90"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Since 2017, we have implemented efficiency and cost-savings initiatives intended to stabilize our business operations and return to growth. These efficiency initiatives have included targeted workforce reductions, optimizing our facilities, and reducing excess space. In response to the COVID-19 pandemic, we initiated a range of additional actions aimed at temporarily reducing our operating expenses and preserving liquidity. These actions included implementing temporary enterprise-wide salary reductions of 20% for employees at or above the ‘director’ level and 10% for all others, temporarily reducing our board members’ cash retainers by 20%, and constraining hiring. As of the date of this filing, we have restored all salaries and board member retainers to prior levels, but 2020 merit-based salary increases have been delayed pending a clearer view of our projected revenue for 2020. Further actions such as these may be required on an ongoing basis to preserve liquidity and optimize our organization. For example, we may need to decrease or defer capital expenditures and development activities or implement further operating expense reduction measures. The implementation of these further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grow our business and become profitable may not be successful.</w:t>
      </w:r>
    </w:p>
    <w:p>
      <w:pPr>
        <w:spacing w:after="0" w:line="221"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To use our products, our Biomark, EP1, Helios/CyTOF 2, and Hyperion systems in particular, customers typically need to purchase specialized reagents. Any interruption in the availability of these reagents for use in our products could limit our ability to market our products.</w:t>
      </w:r>
    </w:p>
    <w:p>
      <w:pPr>
        <w:spacing w:after="0" w:line="66" w:lineRule="exact"/>
        <w:rPr>
          <w:sz w:val="20"/>
          <w:szCs w:val="20"/>
          <w:color w:val="auto"/>
        </w:rPr>
      </w:pPr>
    </w:p>
    <w:p>
      <w:pPr>
        <w:ind w:right="240" w:firstLine="486"/>
        <w:spacing w:after="0" w:line="291" w:lineRule="auto"/>
        <w:rPr>
          <w:sz w:val="20"/>
          <w:szCs w:val="20"/>
          <w:color w:val="auto"/>
        </w:rPr>
      </w:pPr>
      <w:r>
        <w:rPr>
          <w:rFonts w:ascii="Arial" w:cs="Arial" w:eastAsia="Arial" w:hAnsi="Arial"/>
          <w:sz w:val="16"/>
          <w:szCs w:val="16"/>
          <w:color w:val="auto"/>
        </w:rPr>
        <w:t>Our products, our Biomark, EP1, Helios,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1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3" w:name="page54"/>
    <w:bookmarkEnd w:id="53"/>
    <w:p>
      <w:pPr>
        <w:spacing w:after="0" w:line="281" w:lineRule="auto"/>
        <w:rPr>
          <w:sz w:val="20"/>
          <w:szCs w:val="20"/>
          <w:color w:val="auto"/>
        </w:rPr>
      </w:pPr>
      <w:r>
        <w:rPr>
          <w:rFonts w:ascii="Arial" w:cs="Arial" w:eastAsia="Arial" w:hAnsi="Arial"/>
          <w:sz w:val="17"/>
          <w:szCs w:val="17"/>
          <w:b w:val="1"/>
          <w:bCs w:val="1"/>
          <w:color w:val="auto"/>
        </w:rPr>
        <w:t>There can be no assurance that the test we have developed to detect the SARS-CoV-2 virus will be granted Emergency Use Authorization (EUA) by the FDA. If the FDA does not grant the EUA for our test or if the FDA revokes or terminates the EUA after issuance, such as when the federally -declared public health emergency ends, we will be required to stop commercial distribution of our test immediately unless we can obtain FDA clearance for our test under a traditional regulatory pathway for in vitro diagnostics, which is lengthy and expensive.</w:t>
      </w:r>
    </w:p>
    <w:p>
      <w:pPr>
        <w:spacing w:after="0" w:line="11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Under section 564 of the Federal Food, Drug, and Cosmetic Act (FD&amp;C Act), the FDA has authority to allow certain unapproved medical products or unapproved uses of approved medical products to be used during a public health emergency. In issuing an EUA, the FDA will consider the totality of scientific evidence available to the FDA regarding safety, efficacy and known and potential risks of such products and availability of alternatives to the emergency use products, among others. EUAs issued by the FDA will specify the scope of authorization and conditions of authorization, including limitations on distribution and conditions related to product advertising and promotion. Once granted, an EUA is effective until the declaration that circumstances exist justifying the authorization of the emergency use is terminated under Section 564(b)(2) of the Act or the EUA is revoked under Section 564(g) of the Act, after which the product must be approved by the FDA under a traditional pathway in order to remain on the market or to continue commercialization of the product.</w:t>
      </w:r>
    </w:p>
    <w:p>
      <w:pPr>
        <w:spacing w:after="0" w:line="13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On June 12, 2020, we announced our submission of an application for an EUA from the FDA for our Advanta™ Dx SARS-CoV-2 RT-PCR assay, an extraction-free saliva-based test to detect the SARS-CoV-2 virus. We have not yet received an EUA. The FDA may require additional data, including additional validation data and clinical performance data, and may not ultimately issue an authorization. Changes in FDA policies, guidance, and requirements for EUA submission may delay FDA authorization of our product. Further, given the high volume of EUA requests received by the FDA and other factors due to the COVID-19 pandemic, including any disruptions in the FDA’s normal operations, FDA review of our EUA application may be delayed. We can make no assurance that the FDA will grant an EUA for our product on a timely basis or at all.</w:t>
      </w:r>
    </w:p>
    <w:p>
      <w:pPr>
        <w:spacing w:after="0" w:line="12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If an EUA is granted for our Advanta™ Dx SARS-CoV-2 RT-PCR assay, the distribution and advertising conditions set forth in the EUA may limit our market opportunities or restrict how we can commercialize our product. If the FDA’s policies and guidance change unexpectedly and/or materially or if we misinterpret them, potential sales of Advanta™ Dx could be adversely impacted. In addition, the FDA will revoke an EUA where it is determined that the underlying public health emergency no longer exists or warrants such authorization, or if new evidence becomes available that indicates the test is not as safe, effective, or reliable as the data provided in the EUA application. If granted, we cannot predict how long an EUA f will remain effective. The termination or revocation of an EUA for our product, if granted, and changing policies and regulatory requirements could adversely impact our business, financial condition and results of operations.</w:t>
      </w:r>
    </w:p>
    <w:p>
      <w:pPr>
        <w:spacing w:after="0" w:line="24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letter contract with the National Institutes of Health (NIH) could expose us to unique risks and costs as an entity contracting with the federal government.</w:t>
      </w:r>
    </w:p>
    <w:p>
      <w:pPr>
        <w:spacing w:after="0" w:line="11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NIH launched the Rapid Acceleration of Diagnostics (RADx) program to expedite development, commercialization, and implementation of technologies for COVID-19 testing to help increase testing in the United States. In July 2020, we entered into a letter contract with the NIH for a project under the RADx program. The letter contract provides access to up to $12.2 million of the total proposed funding for the project prior to execution of a further definitive contract for the project. Release of the up to $12.2 million of initial funding under the letter contract will be based on the achievement of milestones, including an initial validation assessment followed by deliverables related to the development of our microfluidics technology and expansion of our manufacturing capacity.</w:t>
      </w:r>
    </w:p>
    <w:p>
      <w:pPr>
        <w:spacing w:after="0" w:line="138"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There is significant competition among RADx projects, which are evaluated by experts on a rolling basis. Projects with the most potential for success are advanced to the next stage. There is no assurance that we can meet all the milestones in our letter contract with NIH on a timely basis, if at all. If we do not meet all the milestones, we will not be able access all $12 million in funding under the letter contract, and may not be able to execute a further definitive contract. We must prioritize among many different opportunities, and we may expend our limited resources on programs that do not yield a successful or profitable product candidate and may forego other more profitable opportunities. Further, the Bayh-Dole Act applies to all NIH research and development funding granted to for-profit organizations, which requires the government to be provided a nonexclusive, nontransferable, irrevocable, paid-up license to practice or have practiced for or on behalf of the United States any subject invention throughout the world. We cannot guarantee that we will be able to access all the available funding under the letter contract in a timely manner, or at all, or execute a further definitive contract with NIH.</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Factors that could materially adversely affect our revenue stemming from this letter contract and, if awarded, the further definitive contract include:</w:t>
      </w:r>
    </w:p>
    <w:p>
      <w:pPr>
        <w:spacing w:after="0" w:line="194" w:lineRule="exact"/>
        <w:rPr>
          <w:sz w:val="20"/>
          <w:szCs w:val="20"/>
          <w:color w:val="auto"/>
        </w:rPr>
      </w:pPr>
    </w:p>
    <w:p>
      <w:pPr>
        <w:ind w:left="5540" w:right="3940" w:hanging="5046"/>
        <w:spacing w:after="0" w:line="919" w:lineRule="auto"/>
        <w:tabs>
          <w:tab w:leader="none" w:pos="8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budgetary constraints affecting U.S. government spending generally, or NIH in particular;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4" w:name="page55"/>
    <w:bookmarkEnd w:id="54"/>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U.S. government or NIH fiscal policies or available funding, including due to Congressional appropriations;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U.S. government or NIH programs, requirements or priorities;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new laws or regulations;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government shutdowns, threatened shutdowns or budget delays;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and consolidation in our industry;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These or other factors could cause NIH to reduce its funding or future activities under this letter contract and, if awarded, the further definitive contract, or to exercise its right to terminate either contract for convenience, either of which could have a material adverse effect on the revenue generated by this contract.</w:t>
      </w:r>
    </w:p>
    <w:p>
      <w:pPr>
        <w:spacing w:after="0" w:line="13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During the contract definitization process, the government may include certain provisions from the Federal Acquisition Regulations (FAR), some of which are customary or legally required, that give the U.S. government substantial rights and remedies, many of which are not typically found in commercial contracts. For example, the contracts with NIH will contain provisions permitting unilateral termination or modification, in whole or in part, at the U.S. government’s convenience.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In addition, government contracts normally contain additional requirements that may increase our costs of doing business, reduce our profits, and expose us to liability for failure to comply with these terms and conditions. These requirements include, for example, mandatory internal control systems and policies, mandatory socioeconomic compliance requirements, including labor standards, non-discrimination and affirmative action programs and environmental compliance requirements and public disclosures of certain contract information, which may enable competitors to gain insights into our research program. If we fail to maintain compliance with these requirements, we may be subject to potential contract or False Claims Act liability and to termination of our contracts: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examples of rights and remedies likely to be provided to the government under this contract include provisions that allow NIH to:</w:t>
      </w:r>
    </w:p>
    <w:p>
      <w:pPr>
        <w:spacing w:after="0" w:line="171"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terminate the contract, in whole or in part, for any reason or no reason;</w:t>
      </w:r>
    </w:p>
    <w:p>
      <w:pPr>
        <w:spacing w:after="0" w:line="144" w:lineRule="exact"/>
        <w:rPr>
          <w:rFonts w:ascii="Arial" w:cs="Arial" w:eastAsia="Arial" w:hAnsi="Arial"/>
          <w:sz w:val="18"/>
          <w:szCs w:val="18"/>
          <w:color w:val="auto"/>
        </w:rPr>
      </w:pPr>
    </w:p>
    <w:p>
      <w:pPr>
        <w:ind w:left="820" w:right="320" w:hanging="326"/>
        <w:spacing w:after="0" w:line="27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unilaterally reduce or modify the government’s obligations under the contract, without the Company’s consent, including by imposing price adjustments;</w:t>
      </w:r>
    </w:p>
    <w:p>
      <w:pPr>
        <w:spacing w:after="0" w:line="102"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 rights, including intellectual property rights, in products and data developed under contract;</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certain circumstances involving public health and safety, license inventions made under such agreements to third parties;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the contractor from receiving new contracts pending resolution of alleged violations of procurement laws or regulations;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impose U.S. manufacturing requirements for products that embody inventions conceived or first reduced to practice under such contracts;</w:t>
      </w:r>
    </w:p>
    <w:p>
      <w:pPr>
        <w:spacing w:after="0" w:line="169"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debar the contractor from doing future business with the government;</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 rights to facilities or to products, including intellectual property, developed under the contract;</w:t>
      </w:r>
    </w:p>
    <w:p>
      <w:pPr>
        <w:spacing w:after="0" w:line="157" w:lineRule="exact"/>
        <w:rPr>
          <w:rFonts w:ascii="Arial" w:cs="Arial" w:eastAsia="Arial" w:hAnsi="Arial"/>
          <w:sz w:val="18"/>
          <w:szCs w:val="18"/>
          <w:color w:val="auto"/>
        </w:rPr>
      </w:pPr>
    </w:p>
    <w:p>
      <w:pPr>
        <w:ind w:left="820" w:right="160" w:hanging="326"/>
        <w:spacing w:after="0" w:line="27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course of a development program in a manner that differs from the contract’s original terms or from our desired development plan, including decisions regarding our partners in the program;</w:t>
      </w:r>
    </w:p>
    <w:p>
      <w:pPr>
        <w:spacing w:after="0" w:line="102"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pursue civil or criminal remedies under the False Claims Act and False Statements Act; and</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55" w:name="page56"/>
    <w:bookmarkEnd w:id="55"/>
    <w:p>
      <w:pPr>
        <w:ind w:right="20" w:firstLine="486"/>
        <w:spacing w:after="0" w:line="275" w:lineRule="auto"/>
        <w:rPr>
          <w:sz w:val="20"/>
          <w:szCs w:val="20"/>
          <w:color w:val="auto"/>
        </w:rPr>
      </w:pPr>
      <w:r>
        <w:rPr>
          <w:rFonts w:ascii="Arial" w:cs="Arial" w:eastAsia="Arial" w:hAnsi="Arial"/>
          <w:sz w:val="17"/>
          <w:szCs w:val="17"/>
          <w:color w:val="auto"/>
        </w:rPr>
        <w:t>Furthermore, we may be required to enter into agreements and subcontracts with third parties, including suppliers, consultants and other third-party contractors in order to satisfy our contractual obligations pursuant to our agreements with the United States government. Negotiating and entering into such arrangements can be time-consuming and we may not be able to reach agreement with such third parties. Any such agreement must also be compliant with the terms of our government contract. Any delay or inability to enter into such arrangements or entering into such arrangements in a manner that is non-compliant with the terms of our contract, may result in violations of our contract.</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U.S. government agencies routinely audit and investigate government contractors and recipients of federal grants and contracts. These agencies</w:t>
      </w:r>
    </w:p>
    <w:p>
      <w:pPr>
        <w:spacing w:after="0" w:line="73"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review a contractor’s performance under its contracts, cost structure and compliance with applicable laws, regulations and standards. The audit may also include review of the adequacy of, and a contractor’s compliance with, its internal control systems and policies, including the contractor’s accounting, purchasing, property, estimating, compensation and management information systems. If an audit uncovers improper or illegal activities, we may be subject</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civil and criminal penalties and administrative sanctions. In addition, we could suffer serious reputational harm if allegations of impropriety were made against us, which could cause our stock price to decrease.</w:t>
      </w:r>
    </w:p>
    <w:p>
      <w:pPr>
        <w:spacing w:after="0" w:line="22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If we elect to label and promote any of our products as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Our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“research use only”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0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24"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2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6" w:name="page57"/>
    <w:bookmarkEnd w:id="56"/>
    <w:p>
      <w:pPr>
        <w:ind w:right="80"/>
        <w:spacing w:after="0" w:line="257" w:lineRule="auto"/>
        <w:rPr>
          <w:sz w:val="20"/>
          <w:szCs w:val="20"/>
          <w:color w:val="auto"/>
        </w:rPr>
      </w:pPr>
      <w:r>
        <w:rPr>
          <w:rFonts w:ascii="Arial" w:cs="Arial" w:eastAsia="Arial" w:hAnsi="Arial"/>
          <w:sz w:val="18"/>
          <w:szCs w:val="18"/>
          <w:color w:val="auto"/>
        </w:rPr>
        <w:t>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3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126"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2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520" w:firstLine="486"/>
        <w:spacing w:after="0" w:line="301" w:lineRule="auto"/>
        <w:rPr>
          <w:sz w:val="20"/>
          <w:szCs w:val="20"/>
          <w:color w:val="auto"/>
        </w:rPr>
      </w:pPr>
      <w:r>
        <w:rPr>
          <w:rFonts w:ascii="Arial" w:cs="Arial" w:eastAsia="Arial" w:hAnsi="Arial"/>
          <w:sz w:val="16"/>
          <w:szCs w:val="16"/>
          <w:color w:val="auto"/>
        </w:rPr>
        <w:t>If the FDA determines our products or related applications should be subject to additional regulation as in vitro diagnostic devices based upon customers’ use of our products for clinical diagnostic or therapeutic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207" w:lineRule="exact"/>
        <w:rPr>
          <w:sz w:val="20"/>
          <w:szCs w:val="20"/>
          <w:color w:val="auto"/>
        </w:rPr>
      </w:pPr>
    </w:p>
    <w:p>
      <w:pPr>
        <w:ind w:right="58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66"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7" w:name="page58"/>
    <w:bookmarkEnd w:id="57"/>
    <w:p>
      <w:pPr>
        <w:spacing w:after="0" w:line="272" w:lineRule="auto"/>
        <w:rPr>
          <w:sz w:val="20"/>
          <w:szCs w:val="20"/>
          <w:color w:val="auto"/>
        </w:rPr>
      </w:pPr>
      <w:r>
        <w:rPr>
          <w:rFonts w:ascii="Arial" w:cs="Arial" w:eastAsia="Arial" w:hAnsi="Arial"/>
          <w:sz w:val="17"/>
          <w:szCs w:val="17"/>
          <w:color w:val="auto"/>
        </w:rPr>
        <w:t>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23"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Registration, Evaluation, Authorization and Restriction of Chemicals (REACH) regulation (EC) No. 1907/206 is the European Union’s regulation on chemicals and their safe use. The list of chemicals has been updated and some of the updates affect chemicals used in our products. We will request a research exception, but if not granted, we will need to reduce the concentration of some of the chemicals in our products, which will require significant research and development and operations efforts.</w:t>
      </w:r>
    </w:p>
    <w:p>
      <w:pPr>
        <w:spacing w:after="0" w:line="133"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3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1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Stock Market LLC, the SEC, or other regulatory authorities, which would require additional financial and management resources.</w:t>
      </w:r>
    </w:p>
    <w:p>
      <w:pPr>
        <w:spacing w:after="0" w:line="228"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Impairment of our goodwill or other intangible assets could materially and adversely affect our business, operating results, and financial condition.</w:t>
      </w:r>
    </w:p>
    <w:p>
      <w:pPr>
        <w:spacing w:after="0" w:line="11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of June 30, 2020, we had approximately $154.4 million of goodwill and net intangible assets, including approximately $106.3 million of goodwill and $48.1 million of net intangible assets. These assets represent a significant portion of the assets recorded on our consolidated balance sheet and relate primarily to our acquisition of DVS Sciences, Inc. (DVS) in February 2014. In addition, if in the future we acquire additional businesses, technologies, or other intangible assets, a substantial portion of the value of such assets may be recorded as goodwill or intangible assets. In the fourth quarter of 2019, we concluded that certain of our patents and licenses were impaired and reduced the applicable carrying value to zero, recognizing a charge of $0.4 million, which is reflected in accumulated amortization.</w:t>
      </w:r>
    </w:p>
    <w:p>
      <w:pPr>
        <w:spacing w:after="0" w:line="138"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8" w:name="page59"/>
    <w:bookmarkEnd w:id="58"/>
    <w:p>
      <w:pPr>
        <w:jc w:val="both"/>
        <w:ind w:right="160"/>
        <w:spacing w:after="0" w:line="263" w:lineRule="auto"/>
        <w:rPr>
          <w:sz w:val="20"/>
          <w:szCs w:val="20"/>
          <w:color w:val="auto"/>
        </w:rPr>
      </w:pPr>
      <w:r>
        <w:rPr>
          <w:rFonts w:ascii="Arial" w:cs="Arial" w:eastAsia="Arial" w:hAnsi="Arial"/>
          <w:sz w:val="18"/>
          <w:szCs w:val="18"/>
          <w:color w:val="auto"/>
        </w:rPr>
        <w:t>undiscounted future operating cash flows expected to be derived from our goodwill and intangible assets.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234"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12" w:lineRule="exact"/>
        <w:rPr>
          <w:sz w:val="20"/>
          <w:szCs w:val="20"/>
          <w:color w:val="auto"/>
        </w:rPr>
      </w:pPr>
    </w:p>
    <w:p>
      <w:pPr>
        <w:jc w:val="both"/>
        <w:ind w:right="120" w:firstLine="486"/>
        <w:spacing w:after="0" w:line="277" w:lineRule="auto"/>
        <w:rPr>
          <w:sz w:val="20"/>
          <w:szCs w:val="20"/>
          <w:color w:val="auto"/>
        </w:rPr>
      </w:pPr>
      <w:r>
        <w:rPr>
          <w:rFonts w:ascii="Arial" w:cs="Arial" w:eastAsia="Arial" w:hAnsi="Arial"/>
          <w:sz w:val="18"/>
          <w:szCs w:val="18"/>
          <w:color w:val="auto"/>
        </w:rPr>
        <w:t>We have continued to experience losses and, if that trend continues, we may need to seek additional sources of financing. In addition, we may need to raise substantial additional capital for various purposes, including:</w:t>
      </w:r>
    </w:p>
    <w:p>
      <w:pPr>
        <w:spacing w:after="0" w:line="116"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71"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cash demands (e.g., due to interest or principal payments or payouts under existing cash compensation plans);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variability in sales and timing of related cash collections;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efficiency and cost-savings initiatives;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crises, such as the COVID-19 pandemic;</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57" w:lineRule="exact"/>
        <w:rPr>
          <w:rFonts w:ascii="Arial" w:cs="Arial" w:eastAsia="Arial" w:hAnsi="Arial"/>
          <w:sz w:val="18"/>
          <w:szCs w:val="18"/>
          <w:color w:val="auto"/>
        </w:rPr>
      </w:pPr>
    </w:p>
    <w:p>
      <w:pPr>
        <w:ind w:left="820" w:right="160" w:hanging="326"/>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1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The ongoing COVID-19 pandemic has led to significant disruption and volatility in the global capital markets, increasing the cost of—and adversely impacting access to—capital. We have an Open Market Sale Agreement (Sale Agreement) with Jefferies LLC (Jefferies) to sell shares of our common stock having aggregate sales proceeds of up to $50,000,000, from time to time, through an “at the market” (ATM) equity offering program under which Jefferies will act as sales agent. As of the date of this report, there had been no shares of common stock sold under the Sale Agreement. If we raise additional funds by issuing equity securities, either under the ATM program or otherwise, our stockholders may experience dilution. Debt financing in addition to the Revolving Credit Facility,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the impact of the COVID-19 pandemic on the economy.</w:t>
      </w:r>
    </w:p>
    <w:p>
      <w:pPr>
        <w:spacing w:after="0" w:line="12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If we raise additional funds through collaboration and licensing arrangements with third parties, it may be necessary to relinquish some rights to our technologies or our products, or grant licenses on terms that are not favorable to us. If we do not</w:t>
      </w:r>
    </w:p>
    <w:p>
      <w:pPr>
        <w:sectPr>
          <w:pgSz w:w="11900" w:h="16838" w:orient="portrait"/>
          <w:cols w:equalWidth="0" w:num="1">
            <w:col w:w="11220"/>
          </w:cols>
          <w:pgMar w:left="320" w:top="1219"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type w:val="continuous"/>
        </w:sectPr>
      </w:pPr>
    </w:p>
    <w:bookmarkStart w:id="59" w:name="page60"/>
    <w:bookmarkEnd w:id="59"/>
    <w:p>
      <w:pPr>
        <w:ind w:right="100"/>
        <w:spacing w:after="0" w:line="259" w:lineRule="auto"/>
        <w:rPr>
          <w:sz w:val="20"/>
          <w:szCs w:val="20"/>
          <w:color w:val="auto"/>
        </w:rPr>
      </w:pPr>
      <w:r>
        <w:rPr>
          <w:rFonts w:ascii="Arial" w:cs="Arial" w:eastAsia="Arial" w:hAnsi="Arial"/>
          <w:sz w:val="18"/>
          <w:szCs w:val="18"/>
          <w:color w:val="auto"/>
        </w:rPr>
        <w:t>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23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Revolving Credit Facility, the lenders may be able to accelerate amounts owed under the facilities and may foreclose upon the assets securing our obligations.</w:t>
      </w:r>
    </w:p>
    <w:p>
      <w:pPr>
        <w:spacing w:after="0" w:line="11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April 2020, we amended our Revolving Credit Facility, which provides for secured revolving loans in an aggregate amount of up to $15.0 million, to extend the maturity date to August 2, 2022.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Revolving Credit Facility, the lenders would be able to accelerate the required repayment of amounts due under the Revolving Credit Agreement and, if they are not repaid, could foreclose upon the assets securing our obligations under the Revolving Credit Facility.</w:t>
      </w:r>
    </w:p>
    <w:p>
      <w:pPr>
        <w:spacing w:after="0" w:line="242"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9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12"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103"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95"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0" w:name="page61"/>
    <w:bookmarkEnd w:id="60"/>
    <w:p>
      <w:pPr>
        <w:ind w:right="100" w:firstLine="445"/>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1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Adverse economic conditions in the U.S. and international markets, including the worldwide economic disruption related to the COVID-19 pandemic, have negatively affected our revenues and operating results and may continue to do so. Even before the current public health crisis took hold, the global credit and financial markets had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Geopolitical events including the COVID-19 pandemic, the United States government’s adoption and expansion of trade restrictions, and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22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1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We have experienced significant changes in our sales organization in the past year due to reorganizations and changes in leadership. In addition, as part of our cost reduction program to manage the impact of the COVID-19 pandemic, we implemented temporary enterprise-wide salary reductions, including with respect to our sales and marketing employees. Although all salaries have been restored to prior levels as of the date of this filing, 2020 merit-based salary increases have been delayed pending a clearer view of our projected revenue for 2020. Any reinstatement of salary reductions or failure to implement salary increases may negatively impact our ability to maintain the skilled sales and marketing force necessary to support our business activities. As a result, our future success will depend largely on our ability to retain and motivate such personnel. 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20"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3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112"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or if the system does not operate as intended, our business, results of operations, and internal controls over financial reporting could be adversely affected.</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9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prepare our consolidated financial statements in accordance with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33"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 xml:space="preserve">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w:t>
      </w:r>
      <w:r>
        <w:rPr>
          <w:rFonts w:ascii="Arial" w:cs="Arial" w:eastAsia="Arial" w:hAnsi="Arial"/>
          <w:sz w:val="17"/>
          <w:szCs w:val="17"/>
          <w:color w:val="auto"/>
        </w:rPr>
        <w:t>which supersedes nearly all existing U.S. GAAP revenue recognition guidance. The new guidance was effective for our fiscal year 2018. We</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ASU 2014-09 in the first quarter of 2018 using the modified retrospective method. Under the modified retrospective method, periods prior to the adoption of ASU 2014-09 are not restated and the cumulative effect of initially applying the new standard is reflected in the opening balance of accumulated deficit as of January 1, 2018. To date, the adoption has not had a material impact on our consolidated financial statements. Additional disclosures are required for significant differences between the reported results under the new standard and those that would have been reported under the legacy standard, which required us to make certain changes to our business processes and controls to support revenue recognition and disclosure under the new standard.</w:t>
      </w:r>
    </w:p>
    <w:p>
      <w:pPr>
        <w:spacing w:after="0" w:line="130"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 xml:space="preserve">The FASB also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core principle is that lessees should recognize the assets and liabilities arising from leases on the balance sheet. Under the new standard, lessees will be required to recognize lease assets and liabilities for all leases, with certain exceptions, on their balance sheets. We adopted ASU 2016-02 as of January 1, 2019. The adoption of this standard had a material impact on our consolidated financial statements. We continue to identify the appropriate changes to our business processes, systems, and controls to support the new lease standard and the required disclosures under the new standard.</w:t>
      </w:r>
    </w:p>
    <w:p>
      <w:pPr>
        <w:spacing w:after="0" w:line="122"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9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11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have significant outstanding convertible debt. As of June 30, 2020, we had outstanding $1.1 million aggregate principal amount of our 2.75% Senior Convertible Notes due 2034 (2014 Notes) and $55.0 million aggregate principal amount of our 5.25% convertible senior notes due 2024 (2019 Notes). The 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The 2019 Notes will mature on December 1, 2024, unless earlier converted, or repurchased in accordance with the terms of the 2019 Notes. If we undergo a fundamental change (as defined in the terms of the indenture governing either the 2014 Notes or the 2019 Notes (collectively, the Convertible Notes)),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the debt owed under the 2014 Notes or 2019 Notes, we may issue additional convertible notes or other debt, which could include additional company obligations and represent more dilution to existing stockholders and noteholders.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significant amount of debt has important risks to us and our investors, including:</w:t>
      </w:r>
    </w:p>
    <w:p>
      <w:pPr>
        <w:spacing w:after="0" w:line="171" w:lineRule="exact"/>
        <w:rPr>
          <w:sz w:val="20"/>
          <w:szCs w:val="20"/>
          <w:color w:val="auto"/>
        </w:rPr>
      </w:pPr>
    </w:p>
    <w:p>
      <w:pPr>
        <w:ind w:left="5540" w:right="3780" w:hanging="5046"/>
        <w:spacing w:after="0" w:line="919" w:lineRule="auto"/>
        <w:tabs>
          <w:tab w:leader="none" w:pos="8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62" w:name="page63"/>
    <w:bookmarkEnd w:id="62"/>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17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7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3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07"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183" w:lineRule="exact"/>
        <w:rPr>
          <w:sz w:val="20"/>
          <w:szCs w:val="20"/>
          <w:color w:val="auto"/>
        </w:rPr>
      </w:pPr>
    </w:p>
    <w:p>
      <w:pPr>
        <w:ind w:right="1000" w:firstLine="486"/>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20"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126"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63" w:name="page64"/>
    <w:bookmarkEnd w:id="63"/>
    <w:p>
      <w:pPr>
        <w:ind w:right="420"/>
        <w:spacing w:after="0" w:line="342" w:lineRule="auto"/>
        <w:rPr>
          <w:sz w:val="20"/>
          <w:szCs w:val="20"/>
          <w:color w:val="auto"/>
        </w:rPr>
      </w:pPr>
      <w:r>
        <w:rPr>
          <w:rFonts w:ascii="Arial" w:cs="Arial" w:eastAsia="Arial" w:hAnsi="Arial"/>
          <w:sz w:val="16"/>
          <w:szCs w:val="16"/>
          <w:color w:val="auto"/>
        </w:rPr>
        <w:t>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7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3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28"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6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23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12"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 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4" w:name="page65"/>
    <w:bookmarkEnd w:id="64"/>
    <w:p>
      <w:pPr>
        <w:ind w:right="20" w:firstLine="486"/>
        <w:spacing w:after="0" w:line="286" w:lineRule="auto"/>
        <w:rPr>
          <w:sz w:val="20"/>
          <w:szCs w:val="20"/>
          <w:color w:val="auto"/>
        </w:rPr>
      </w:pPr>
      <w:r>
        <w:rPr>
          <w:rFonts w:ascii="Arial" w:cs="Arial" w:eastAsia="Arial" w:hAnsi="Arial"/>
          <w:sz w:val="17"/>
          <w:szCs w:val="17"/>
          <w:color w:val="auto"/>
        </w:rPr>
        <w:t>In-licensed intellectual property rights that are fundamental to our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1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57"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obligations and restrictions relating to technologies developed in cooperation with Canadian government agencies.</w:t>
      </w:r>
    </w:p>
    <w:p>
      <w:pPr>
        <w:spacing w:after="0" w:line="19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65" w:name="page66"/>
    <w:bookmarkEnd w:id="65"/>
    <w:p>
      <w:pPr>
        <w:ind w:right="40"/>
        <w:spacing w:after="0" w:line="268" w:lineRule="auto"/>
        <w:rPr>
          <w:sz w:val="20"/>
          <w:szCs w:val="20"/>
          <w:color w:val="auto"/>
        </w:rPr>
      </w:pPr>
      <w:r>
        <w:rPr>
          <w:rFonts w:ascii="Arial" w:cs="Arial" w:eastAsia="Arial" w:hAnsi="Arial"/>
          <w:sz w:val="17"/>
          <w:szCs w:val="17"/>
          <w:color w:val="auto"/>
        </w:rPr>
        <w:t>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79" w:lineRule="exact"/>
        <w:rPr>
          <w:sz w:val="20"/>
          <w:szCs w:val="20"/>
          <w:color w:val="auto"/>
        </w:rPr>
      </w:pPr>
    </w:p>
    <w:p>
      <w:pPr>
        <w:jc w:val="both"/>
        <w:ind w:right="54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2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stock is currently traded on the Nasdaq Global Select Market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2019, we had 69,956.397 shares of common stock outstanding, and stockholders holding at least 5% of our stock, individually or with affiliated persons or entities, collectively beneficially owned or controlled approximately 46.3% of such shares and one stockholder beneficially owned approximately 9.8%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46.3% held by our top six stockholders) means that a relatively small number of stockholders have significant control over the outcomes of stockholder voting.</w:t>
      </w:r>
    </w:p>
    <w:p>
      <w:pPr>
        <w:spacing w:after="0" w:line="128"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16"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public health crises, including the COVID-19 pandemic, on global financial markets;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144" w:lineRule="exact"/>
        <w:rPr>
          <w:rFonts w:ascii="Arial" w:cs="Arial" w:eastAsia="Arial" w:hAnsi="Arial"/>
          <w:sz w:val="18"/>
          <w:szCs w:val="18"/>
          <w:color w:val="auto"/>
        </w:rPr>
      </w:pPr>
    </w:p>
    <w:p>
      <w:pPr>
        <w:jc w:val="both"/>
        <w:ind w:left="820" w:hanging="326"/>
        <w:spacing w:after="0" w:line="263"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conditions in the life science, plant and animal research, and contract research organization sectors;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manufacturing disruptions that could occur if we are unable to successfully expand our production in our current or an alternative facility;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6" w:name="page67"/>
    <w:bookmarkEnd w:id="66"/>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175"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30"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issuances pursuant to our ATM equity offering program under our Sale Agreement with Jefferies, could result in substantial dilution to our existing stockholders and could cause our stock price to decline.</w:t>
      </w:r>
    </w:p>
    <w:p>
      <w:pPr>
        <w:spacing w:after="0" w:line="23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will have broad discretion over the use of the proceeds to us from our ATM equity offering program and may apply the proceeds to uses that do not improve our operating results or the value of your securities.</w:t>
      </w:r>
    </w:p>
    <w:p>
      <w:pPr>
        <w:spacing w:after="0" w:line="112"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will have broad discretion to use the net proceeds to us from our ATM equity offering program, and investors will be relying solely on the judgment of our board of directors and management regarding the application of these proceeds. Although we expect to use the net proceeds from our ATM equity offering program for general corporate purposes,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ATM equity offering program.</w:t>
      </w:r>
    </w:p>
    <w:p>
      <w:pPr>
        <w:spacing w:after="0" w:line="22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12"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3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26"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16"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94" w:lineRule="exact"/>
        <w:rPr>
          <w:rFonts w:ascii="Arial" w:cs="Arial" w:eastAsia="Arial" w:hAnsi="Arial"/>
          <w:sz w:val="16"/>
          <w:szCs w:val="16"/>
          <w:color w:val="auto"/>
        </w:rPr>
      </w:pPr>
    </w:p>
    <w:p>
      <w:pPr>
        <w:ind w:left="820" w:hanging="326"/>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82" w:lineRule="exact"/>
        <w:rPr>
          <w:rFonts w:ascii="Arial" w:cs="Arial" w:eastAsia="Arial" w:hAnsi="Arial"/>
          <w:sz w:val="17"/>
          <w:szCs w:val="17"/>
          <w:color w:val="auto"/>
        </w:rPr>
      </w:pPr>
    </w:p>
    <w:p>
      <w:pPr>
        <w:ind w:left="820" w:right="320" w:hanging="326"/>
        <w:spacing w:after="0" w:line="277" w:lineRule="auto"/>
        <w:tabs>
          <w:tab w:leader="none" w:pos="8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67" w:name="page68"/>
    <w:bookmarkEnd w:id="67"/>
    <w:p>
      <w:pPr>
        <w:ind w:left="780" w:right="60" w:hanging="327"/>
        <w:spacing w:after="0" w:line="277" w:lineRule="auto"/>
        <w:tabs>
          <w:tab w:leader="none" w:pos="7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16" w:lineRule="exact"/>
        <w:rPr>
          <w:rFonts w:ascii="Arial" w:cs="Arial" w:eastAsia="Arial" w:hAnsi="Arial"/>
          <w:sz w:val="18"/>
          <w:szCs w:val="18"/>
          <w:color w:val="auto"/>
        </w:rPr>
      </w:pPr>
    </w:p>
    <w:p>
      <w:pPr>
        <w:ind w:left="820" w:right="320" w:hanging="326"/>
        <w:spacing w:after="0" w:line="277" w:lineRule="auto"/>
        <w:tabs>
          <w:tab w:leader="none" w:pos="8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each class serving staggered three-year terms;</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94" w:lineRule="exact"/>
        <w:rPr>
          <w:rFonts w:ascii="Arial" w:cs="Arial" w:eastAsia="Arial" w:hAnsi="Arial"/>
          <w:sz w:val="16"/>
          <w:szCs w:val="16"/>
          <w:color w:val="auto"/>
        </w:rPr>
      </w:pPr>
    </w:p>
    <w:p>
      <w:pPr>
        <w:ind w:left="820" w:hanging="326"/>
        <w:spacing w:after="0"/>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187"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Revolving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20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Any conversions of the 2014 Notes or 2019 Notes will dilute the ownership interest of our existing stockholders and may otherwise depress the price of our common stock.</w:t>
      </w:r>
    </w:p>
    <w:p>
      <w:pPr>
        <w:spacing w:after="0" w:line="11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Any conversion of some or all of the 2014 Notes or 2019 Notes will dilute the ownership interests of our existing stockholders. Any sales in the public market of our common stock issuable upon such conversion could also adversely affect 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 information set forth below below and in Exhibit 10.5 of this quarterly report on Form 10-Q is provided in accordance with and in satisfaction of the requirement of Item 5.02 “Departure of Directors or Certain Officers; Election of Directors; Appointment of Certain Officers; Compensatory Arrangements of Certain Officers” of Form 8-K.</w:t>
      </w:r>
    </w:p>
    <w:p>
      <w:pPr>
        <w:spacing w:after="0" w:line="130" w:lineRule="exact"/>
        <w:rPr>
          <w:sz w:val="20"/>
          <w:szCs w:val="20"/>
          <w:color w:val="auto"/>
        </w:rPr>
      </w:pPr>
    </w:p>
    <w:p>
      <w:pPr>
        <w:ind w:right="600" w:firstLine="486"/>
        <w:spacing w:after="0" w:line="311" w:lineRule="auto"/>
        <w:rPr>
          <w:sz w:val="20"/>
          <w:szCs w:val="20"/>
          <w:color w:val="auto"/>
        </w:rPr>
      </w:pPr>
      <w:r>
        <w:rPr>
          <w:rFonts w:ascii="Arial" w:cs="Arial" w:eastAsia="Arial" w:hAnsi="Arial"/>
          <w:sz w:val="16"/>
          <w:szCs w:val="16"/>
          <w:color w:val="auto"/>
        </w:rPr>
        <w:t>On August 4, 2020, the compensation committee of our board of directors approved the Fluidigm Corporation 2020 Change of Control and Severance Plan (the Severance Plan), under which our executive officers are eligible to receive severance benefits. The Severance Plan replaces the Company’s existing Change of Control and Severance Plan, which expires according to its terms on August 21, 2020 (the Prior Plan).</w:t>
      </w:r>
    </w:p>
    <w:p>
      <w:pPr>
        <w:spacing w:after="0" w:line="9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Under the Severance Plan, if any executive officer’s employment is terminated outside of the period beginning three months before a Change of Control (as defined in the Severance Plan) or the signing of a definitive agreement for a Change of Control and ending 12 months after a Change of Control (the Change of Control Period) for a reason other than Cause or the executive officer’s death or Disability (as such terms are defined in the Severance Plan) (an Involuntary Termination), then the executive officer will be entitled to receive the following: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68" w:name="page69"/>
    <w:bookmarkEnd w:id="68"/>
    <w:p>
      <w:pPr>
        <w:jc w:val="both"/>
        <w:ind w:left="820" w:right="120" w:hanging="326"/>
        <w:spacing w:after="0" w:line="263"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75% of the executive officer’s annual base salary in effect as of the date of termination, paid in equal installments (less applicable withholding) over nine months (or, in the case of Stephen Christopher Linthwaite, our President and CEO, 200% of his annual base salary paid over a period of 24 months) following termination,</w:t>
      </w:r>
    </w:p>
    <w:p>
      <w:pPr>
        <w:spacing w:after="0" w:line="102" w:lineRule="exact"/>
        <w:rPr>
          <w:rFonts w:ascii="Arial" w:cs="Arial" w:eastAsia="Arial" w:hAnsi="Arial"/>
          <w:sz w:val="18"/>
          <w:szCs w:val="18"/>
          <w:color w:val="auto"/>
        </w:rPr>
      </w:pPr>
    </w:p>
    <w:p>
      <w:pPr>
        <w:ind w:left="820" w:right="420" w:hanging="326"/>
        <w:spacing w:after="0" w:line="308"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payment of continued health coverage for the executive officer, his or her spouse and/or dependents, if applicable (such coverage, COBRA Coverage), for a period of up to nine months (or, in Mr. Linthwaite’s case, 12 months) following termination, and</w:t>
      </w:r>
    </w:p>
    <w:p>
      <w:pPr>
        <w:spacing w:after="0" w:line="78"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reasonable outplacement services in accordance with the Severance Plan.</w:t>
      </w:r>
    </w:p>
    <w:p>
      <w:pPr>
        <w:spacing w:after="0" w:line="17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Under the Severance Plan, if any executive officer’s employment is terminated within the Change of Control Period either (i) by us in an Involuntary Termination or (ii) by the executive officer for Good Reason (as defined in the executive officer’s participation agreement under the Severance Plan), then the executive officer will be entitled to receive the following:</w:t>
      </w:r>
    </w:p>
    <w:p>
      <w:pPr>
        <w:spacing w:after="0" w:line="116" w:lineRule="exact"/>
        <w:rPr>
          <w:sz w:val="20"/>
          <w:szCs w:val="20"/>
          <w:color w:val="auto"/>
        </w:rPr>
      </w:pPr>
    </w:p>
    <w:p>
      <w:pPr>
        <w:ind w:left="820" w:right="20" w:hanging="326"/>
        <w:spacing w:after="0" w:line="287" w:lineRule="auto"/>
        <w:tabs>
          <w:tab w:leader="none" w:pos="8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lump-sum payment (less applicable withholding) totaling 150% (or, in Mr. Linthwaite’s case, 250%) of the sum of (x) his or her annual base salary (as in effect immediately before termination or immediately before the Change of Control, whichever is higher) plus (y) the greater of (A) his or her annual target bonus (as in effect immediately before termination or immediately before the Change of Control, whichever is higher) or</w:t>
      </w:r>
    </w:p>
    <w:p>
      <w:pPr>
        <w:spacing w:after="0" w:line="2"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(B) the average of the annual bonuses actually paid to him or her for the three fiscal years preceding the year in which the termination occurs,</w:t>
      </w:r>
    </w:p>
    <w:p>
      <w:pPr>
        <w:spacing w:after="0" w:line="152" w:lineRule="exact"/>
        <w:rPr>
          <w:rFonts w:ascii="Arial" w:cs="Arial" w:eastAsia="Arial" w:hAnsi="Arial"/>
          <w:sz w:val="16"/>
          <w:szCs w:val="16"/>
          <w:color w:val="auto"/>
        </w:rPr>
      </w:pPr>
    </w:p>
    <w:p>
      <w:pPr>
        <w:ind w:left="820" w:right="380" w:hanging="326"/>
        <w:spacing w:after="0" w:line="263"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lump-sum amount (less applicable withholding) totaling his or her annual target bonus (as in effect immediately before termination or immediately before the Change of Control, whichever is higher) prorated to reflect the number of days worked during the year in which the termination occurs,</w:t>
      </w:r>
    </w:p>
    <w:p>
      <w:pPr>
        <w:spacing w:after="0" w:line="116"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payment of costs of COBRA Coverage, for a period of up to 18 months (or, in Mr. Linthwaite’s case, 30 months) following termination,</w:t>
      </w:r>
    </w:p>
    <w:p>
      <w:pPr>
        <w:spacing w:after="0" w:line="169" w:lineRule="exact"/>
        <w:rPr>
          <w:rFonts w:ascii="Arial" w:cs="Arial" w:eastAsia="Arial" w:hAnsi="Arial"/>
          <w:sz w:val="17"/>
          <w:szCs w:val="17"/>
          <w:color w:val="auto"/>
        </w:rPr>
      </w:pPr>
    </w:p>
    <w:p>
      <w:pPr>
        <w:ind w:left="820" w:right="920" w:hanging="326"/>
        <w:spacing w:after="0" w:line="342" w:lineRule="auto"/>
        <w:tabs>
          <w:tab w:leader="none" w:pos="8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100% vesting acceleration of his or her then-outstanding and unvested equity awards, with any equity awards subject to outstanding performance-based vesting criteria vesting as to 100% of the baseline number of shares (or 100% at target achievement), and</w:t>
      </w:r>
    </w:p>
    <w:p>
      <w:pPr>
        <w:spacing w:after="0" w:line="42" w:lineRule="exact"/>
        <w:rPr>
          <w:rFonts w:ascii="Arial" w:cs="Arial" w:eastAsia="Arial" w:hAnsi="Arial"/>
          <w:sz w:val="16"/>
          <w:szCs w:val="16"/>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reasonable outplacement services in accordance with the Severance Plan.</w:t>
      </w:r>
    </w:p>
    <w:p>
      <w:pPr>
        <w:spacing w:after="0" w:line="171" w:lineRule="exact"/>
        <w:rPr>
          <w:sz w:val="20"/>
          <w:szCs w:val="20"/>
          <w:color w:val="auto"/>
        </w:rPr>
      </w:pPr>
    </w:p>
    <w:p>
      <w:pPr>
        <w:jc w:val="both"/>
        <w:ind w:right="660" w:firstLine="486"/>
        <w:spacing w:after="0" w:line="263" w:lineRule="auto"/>
        <w:rPr>
          <w:sz w:val="20"/>
          <w:szCs w:val="20"/>
          <w:color w:val="auto"/>
        </w:rPr>
      </w:pPr>
      <w:r>
        <w:rPr>
          <w:rFonts w:ascii="Arial" w:cs="Arial" w:eastAsia="Arial" w:hAnsi="Arial"/>
          <w:sz w:val="18"/>
          <w:szCs w:val="18"/>
          <w:color w:val="auto"/>
        </w:rPr>
        <w:t>Upon any termination of Mr. Linthwaite’s employment for a reason other than Cause or death or Disability, the Company will assign to Mr. Linthwaite the life insurance policy insuring his life and reimburse him for payment of premiums on such policy for up to 30 months following his termination of employment.</w:t>
      </w:r>
    </w:p>
    <w:p>
      <w:pPr>
        <w:spacing w:after="0" w:line="130"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Upon execution of participation agreements, the Severance Plan will supersede the severance benefits provided to the executive officers under the Prior Plan. To receive Severance Plan benefits, an executive officer would also be required sign and not revoke a separation and release of claims agreement in a form reasonably satisfactory to us within the period specified in the Severance Plan, and comply with any confidentiality, proprietary information and inventions assignment agreement and any other appropriate agreement with us.</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If any of the severance and other benefits provided for in the Severance Plan or otherwise payable to an executive officer constitute “parachute payments” within the meaning of Section 280G of the Internal Revenue Code (the Code) and could be subject to excise tax under Section 4999 of the Code, then the benefits will be delivered in full or delivered as to such lesser extent that would result in no portion of such benefits being subject to excise tax, whichever results in the greater amount of after-tax benefits to such executive officer. The Severance Plan does not require us to provide any tax gross-up payment to any executive officer participating in the Severance Plan.</w:t>
      </w:r>
    </w:p>
    <w:p>
      <w:pPr>
        <w:spacing w:after="0" w:line="134"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Severance Plan will have a term of three years commencing on August 4, 2021 and expiring on the third anniversary of that date, and will thereafter automatically renew for successive one-year periods unless the Company notifies participants of the Severance Plan’s nonrenewal at least 12 months prior to the commencement of such Renewal Term. If a Change of Control occurs, the term of the Severance Plan will extend automatically through the date that is 12 months following the effective date of the Change of Control, subject to continuation with respect to benefits to which a participant is entitled. The Severance Plan allows our management team to designate employees for participation who are not executive officers.</w:t>
      </w:r>
    </w:p>
    <w:p>
      <w:pPr>
        <w:spacing w:after="0" w:line="10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above description of the Severance Plan is not complete and is qualified in its entirety by reference to the full text of the Severance Plan, which is attached hereto as Exhibit 10.5 and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LIST</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rPr>
              <w:t>Exhibit</w:t>
            </w:r>
          </w:p>
        </w:tc>
        <w:tc>
          <w:tcPr>
            <w:tcW w:w="1140" w:type="dxa"/>
            <w:vAlign w:val="bottom"/>
          </w:tcPr>
          <w:p>
            <w:pPr>
              <w:spacing w:after="0"/>
              <w:rPr>
                <w:sz w:val="13"/>
                <w:szCs w:val="13"/>
                <w:color w:val="auto"/>
              </w:rPr>
            </w:pPr>
          </w:p>
        </w:tc>
        <w:tc>
          <w:tcPr>
            <w:tcW w:w="4880" w:type="dxa"/>
            <w:vAlign w:val="bottom"/>
            <w:gridSpan w:val="2"/>
            <w:vMerge w:val="restart"/>
          </w:tcPr>
          <w:p>
            <w:pPr>
              <w:ind w:left="202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by Reference</w:t>
            </w:r>
          </w:p>
        </w:tc>
        <w:tc>
          <w:tcPr>
            <w:tcW w:w="1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From Exhibit</w:t>
            </w:r>
          </w:p>
        </w:tc>
        <w:tc>
          <w:tcPr>
            <w:tcW w:w="14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49"/>
        </w:trPr>
        <w:tc>
          <w:tcPr>
            <w:tcW w:w="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4"/>
              </w:rPr>
              <w:t>Number</w:t>
            </w:r>
          </w:p>
        </w:tc>
        <w:tc>
          <w:tcPr>
            <w:tcW w:w="114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From Form</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323" w:right="399" w:bottom="1440" w:gutter="0" w:footer="0" w:header="0"/>
        </w:sectPr>
      </w:pPr>
    </w:p>
    <w:tbl>
      <w:tblPr>
        <w:tblLayout w:type="fixed"/>
        <w:tblInd w:w="0" w:type="dxa"/>
        <w:tblCellMar>
          <w:top w:w="0" w:type="dxa"/>
          <w:left w:w="0" w:type="dxa"/>
          <w:bottom w:w="0" w:type="dxa"/>
          <w:right w:w="0" w:type="dxa"/>
        </w:tblCellMar>
      </w:tblP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4660" w:type="dxa"/>
            <w:vAlign w:val="bottom"/>
            <w:gridSpan w:val="14"/>
          </w:tcPr>
          <w:p>
            <w:pPr>
              <w:spacing w:after="0" w:line="189" w:lineRule="exact"/>
              <w:rPr>
                <w:rFonts w:ascii="Arial" w:cs="Arial" w:eastAsia="Arial" w:hAnsi="Arial"/>
                <w:sz w:val="17"/>
                <w:szCs w:val="17"/>
                <w:color w:val="0000FF"/>
              </w:rPr>
            </w:pPr>
            <w:hyperlink r:id="rId86">
              <w:r>
                <w:rPr>
                  <w:rFonts w:ascii="Arial" w:cs="Arial" w:eastAsia="Arial" w:hAnsi="Arial"/>
                  <w:sz w:val="17"/>
                  <w:szCs w:val="17"/>
                  <w:u w:val="single" w:color="auto"/>
                  <w:color w:val="0000FF"/>
                </w:rPr>
                <w:t>Open Market Sale Agreement</w:t>
              </w:r>
              <w:r>
                <w:rPr>
                  <w:rFonts w:ascii="Arial" w:cs="Arial" w:eastAsia="Arial" w:hAnsi="Arial"/>
                  <w:sz w:val="21"/>
                  <w:szCs w:val="21"/>
                  <w:u w:val="single" w:color="auto"/>
                  <w:color w:val="0000FF"/>
                  <w:vertAlign w:val="superscript"/>
                </w:rPr>
                <w:t>SM</w:t>
              </w:r>
              <w:r>
                <w:rPr>
                  <w:rFonts w:ascii="Arial" w:cs="Arial" w:eastAsia="Arial" w:hAnsi="Arial"/>
                  <w:sz w:val="17"/>
                  <w:szCs w:val="17"/>
                  <w:color w:val="0000FF"/>
                </w:rPr>
                <w:t>, dated as of March 4, 2020,</w:t>
              </w:r>
            </w:hyperlink>
          </w:p>
        </w:tc>
      </w:tr>
      <w:tr>
        <w:trPr>
          <w:trHeight w:val="195"/>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5"/>
          </w:tcPr>
          <w:p>
            <w:pPr>
              <w:spacing w:after="0" w:line="195" w:lineRule="exact"/>
              <w:rPr>
                <w:rFonts w:ascii="Arial" w:cs="Arial" w:eastAsia="Arial" w:hAnsi="Arial"/>
                <w:sz w:val="18"/>
                <w:szCs w:val="18"/>
                <w:u w:val="single" w:color="auto"/>
                <w:color w:val="0000FF"/>
                <w:w w:val="95"/>
              </w:rPr>
            </w:pPr>
            <w:hyperlink r:id="rId86">
              <w:r>
                <w:rPr>
                  <w:rFonts w:ascii="Arial" w:cs="Arial" w:eastAsia="Arial" w:hAnsi="Arial"/>
                  <w:sz w:val="18"/>
                  <w:szCs w:val="18"/>
                  <w:u w:val="single" w:color="auto"/>
                  <w:color w:val="0000FF"/>
                  <w:w w:val="95"/>
                </w:rPr>
                <w:t>between Fluidigm Corporation</w:t>
              </w:r>
            </w:hyperlink>
          </w:p>
        </w:tc>
        <w:tc>
          <w:tcPr>
            <w:tcW w:w="2020" w:type="dxa"/>
            <w:vAlign w:val="bottom"/>
            <w:tcBorders>
              <w:top w:val="single" w:sz="8" w:color="0000FF"/>
            </w:tcBorders>
            <w:gridSpan w:val="2"/>
          </w:tcPr>
          <w:p>
            <w:pPr>
              <w:spacing w:after="0" w:line="195" w:lineRule="exact"/>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and Jefferies LLC.</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580" w:type="dxa"/>
            <w:vAlign w:val="bottom"/>
          </w:tcPr>
          <w:p>
            <w:pPr>
              <w:ind w:left="20"/>
              <w:spacing w:after="0" w:line="170"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4660" w:type="dxa"/>
            <w:vAlign w:val="bottom"/>
            <w:gridSpan w:val="14"/>
          </w:tcPr>
          <w:p>
            <w:pPr>
              <w:spacing w:after="0" w:line="170"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Fluidigm Corporation 2017 Employee Stock Purchase Plan, as</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amended and restated effective June 23, 2020.</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8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4660" w:type="dxa"/>
            <w:vAlign w:val="bottom"/>
            <w:gridSpan w:val="14"/>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Fluidigm Corporation 2011 Equity Incentive Plan, as amended</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88">
              <w:r>
                <w:rPr>
                  <w:rFonts w:ascii="Arial" w:cs="Arial" w:eastAsia="Arial" w:hAnsi="Arial"/>
                  <w:sz w:val="18"/>
                  <w:szCs w:val="18"/>
                  <w:color w:val="0000FF"/>
                  <w:w w:val="89"/>
                </w:rPr>
                <w:t>effective June 23, 2020.</w:t>
              </w:r>
            </w:hyperlink>
          </w:p>
        </w:tc>
        <w:tc>
          <w:tcPr>
            <w:tcW w:w="2780" w:type="dxa"/>
            <w:vAlign w:val="bottom"/>
            <w:tcBorders>
              <w:top w:val="single" w:sz="8" w:color="0000FF"/>
            </w:tcBorders>
            <w:gridSpan w:val="9"/>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58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4660" w:type="dxa"/>
            <w:vAlign w:val="bottom"/>
            <w:gridSpan w:val="14"/>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Third Amendment to Loan and Security Agreement, dated April</w:t>
              </w:r>
            </w:hyperlink>
          </w:p>
        </w:tc>
      </w:tr>
      <w:tr>
        <w:trPr>
          <w:trHeight w:val="195"/>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tcBorders>
              <w:top w:val="single" w:sz="8" w:color="0000FF"/>
            </w:tcBorders>
            <w:gridSpan w:val="13"/>
          </w:tcPr>
          <w:p>
            <w:pPr>
              <w:spacing w:after="0" w:line="195" w:lineRule="exact"/>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21, 2020, between the Company and Silicon Valley Bank.</w:t>
              </w:r>
            </w:hyperlink>
          </w:p>
        </w:tc>
        <w:tc>
          <w:tcPr>
            <w:tcW w:w="20" w:type="dxa"/>
            <w:vAlign w:val="bottom"/>
          </w:tcPr>
          <w:p>
            <w:pPr>
              <w:spacing w:after="0"/>
              <w:rPr>
                <w:sz w:val="16"/>
                <w:szCs w:val="16"/>
                <w:color w:val="auto"/>
              </w:rPr>
            </w:pPr>
          </w:p>
        </w:tc>
      </w:tr>
      <w:tr>
        <w:trPr>
          <w:trHeight w:val="190"/>
        </w:trPr>
        <w:tc>
          <w:tcPr>
            <w:tcW w:w="1580" w:type="dxa"/>
            <w:vAlign w:val="bottom"/>
          </w:tcPr>
          <w:p>
            <w:pPr>
              <w:ind w:left="20"/>
              <w:spacing w:after="0" w:line="170"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6"/>
                <w:szCs w:val="16"/>
                <w:color w:val="auto"/>
              </w:rPr>
            </w:pPr>
          </w:p>
        </w:tc>
        <w:tc>
          <w:tcPr>
            <w:tcW w:w="4660" w:type="dxa"/>
            <w:vAlign w:val="bottom"/>
            <w:gridSpan w:val="14"/>
          </w:tcPr>
          <w:p>
            <w:pPr>
              <w:spacing w:after="0" w:line="170" w:lineRule="exact"/>
              <w:rPr>
                <w:rFonts w:ascii="Arial" w:cs="Arial" w:eastAsia="Arial" w:hAnsi="Arial"/>
                <w:sz w:val="18"/>
                <w:szCs w:val="18"/>
                <w:color w:val="0000FF"/>
                <w:w w:val="94"/>
              </w:rPr>
            </w:pPr>
            <w:hyperlink w:anchor="page72">
              <w:r>
                <w:rPr>
                  <w:rFonts w:ascii="Arial" w:cs="Arial" w:eastAsia="Arial" w:hAnsi="Arial"/>
                  <w:sz w:val="18"/>
                  <w:szCs w:val="18"/>
                  <w:color w:val="0000FF"/>
                  <w:w w:val="94"/>
                </w:rPr>
                <w:t>Fluidigm Corporation 2020 Change of Control and Severance</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09"/>
        </w:trPr>
        <w:tc>
          <w:tcPr>
            <w:tcW w:w="158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44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94">
              <w:r>
                <w:rPr>
                  <w:rFonts w:ascii="Arial" w:cs="Arial" w:eastAsia="Arial" w:hAnsi="Arial"/>
                  <w:sz w:val="18"/>
                  <w:szCs w:val="18"/>
                  <w:color w:val="0000FF"/>
                  <w:w w:val="90"/>
                </w:rPr>
                <w:t>Certification Pursuant to 18 U.S.C. Section 1350, as Adopted</w:t>
              </w:r>
            </w:hyperlink>
          </w:p>
        </w:tc>
        <w:tc>
          <w:tcPr>
            <w:tcW w:w="240" w:type="dxa"/>
            <w:vAlign w:val="bottom"/>
            <w:gridSpan w:val="6"/>
          </w:tcPr>
          <w:p>
            <w:pPr>
              <w:spacing w:after="0"/>
              <w:rPr>
                <w:sz w:val="18"/>
                <w:szCs w:val="18"/>
                <w:color w:val="auto"/>
              </w:rPr>
            </w:pPr>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60" w:type="dxa"/>
            <w:vAlign w:val="bottom"/>
            <w:gridSpan w:val="14"/>
          </w:tcPr>
          <w:p>
            <w:pPr>
              <w:spacing w:after="0" w:line="156" w:lineRule="exact"/>
              <w:rPr>
                <w:rFonts w:ascii="Arial" w:cs="Arial" w:eastAsia="Arial" w:hAnsi="Arial"/>
                <w:sz w:val="18"/>
                <w:szCs w:val="18"/>
                <w:color w:val="0000FF"/>
                <w:w w:val="94"/>
              </w:rPr>
            </w:pPr>
            <w:hyperlink w:anchor="page94">
              <w:r>
                <w:rPr>
                  <w:rFonts w:ascii="Arial" w:cs="Arial" w:eastAsia="Arial" w:hAnsi="Arial"/>
                  <w:sz w:val="18"/>
                  <w:szCs w:val="18"/>
                  <w:color w:val="0000FF"/>
                  <w:w w:val="94"/>
                </w:rPr>
                <w:t>Pursuant to Section 302 of the Sarbanes-Oxley Act of 2002 of</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94">
              <w:r>
                <w:rPr>
                  <w:rFonts w:ascii="Arial" w:cs="Arial" w:eastAsia="Arial" w:hAnsi="Arial"/>
                  <w:sz w:val="18"/>
                  <w:szCs w:val="18"/>
                  <w:color w:val="0000FF"/>
                </w:rPr>
                <w:t>Chief Executive Officer.</w:t>
              </w:r>
            </w:hyperlink>
          </w:p>
        </w:tc>
        <w:tc>
          <w:tcPr>
            <w:tcW w:w="180" w:type="dxa"/>
            <w:vAlign w:val="bottom"/>
            <w:gridSpan w:val="4"/>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900" w:type="dxa"/>
            <w:vAlign w:val="bottom"/>
            <w:gridSpan w:val="10"/>
          </w:tcPr>
          <w:p>
            <w:pPr>
              <w:spacing w:after="0" w:line="20" w:lineRule="exact"/>
              <w:rPr>
                <w:sz w:val="1"/>
                <w:szCs w:val="1"/>
                <w:color w:val="auto"/>
              </w:rPr>
            </w:pPr>
          </w:p>
        </w:tc>
      </w:tr>
      <w:tr>
        <w:trPr>
          <w:trHeight w:val="210"/>
        </w:trPr>
        <w:tc>
          <w:tcPr>
            <w:tcW w:w="158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44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Certification Pursuant to 18 U.S.C. Section 1350, as Adopted</w:t>
              </w:r>
            </w:hyperlink>
          </w:p>
        </w:tc>
        <w:tc>
          <w:tcPr>
            <w:tcW w:w="240" w:type="dxa"/>
            <w:vAlign w:val="bottom"/>
            <w:gridSpan w:val="6"/>
          </w:tcPr>
          <w:p>
            <w:pPr>
              <w:spacing w:after="0"/>
              <w:rPr>
                <w:sz w:val="18"/>
                <w:szCs w:val="18"/>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60" w:type="dxa"/>
            <w:vAlign w:val="bottom"/>
            <w:gridSpan w:val="14"/>
          </w:tcPr>
          <w:p>
            <w:pPr>
              <w:spacing w:after="0" w:line="156" w:lineRule="exact"/>
              <w:rPr>
                <w:rFonts w:ascii="Arial" w:cs="Arial" w:eastAsia="Arial" w:hAnsi="Arial"/>
                <w:sz w:val="18"/>
                <w:szCs w:val="18"/>
                <w:color w:val="0000FF"/>
                <w:w w:val="94"/>
              </w:rPr>
            </w:pPr>
            <w:hyperlink w:anchor="page95">
              <w:r>
                <w:rPr>
                  <w:rFonts w:ascii="Arial" w:cs="Arial" w:eastAsia="Arial" w:hAnsi="Arial"/>
                  <w:sz w:val="18"/>
                  <w:szCs w:val="18"/>
                  <w:color w:val="0000FF"/>
                  <w:w w:val="94"/>
                </w:rPr>
                <w:t>Pursuant to Section 302 of the Sarbanes-Oxley Act of 2002 of</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95">
              <w:r>
                <w:rPr>
                  <w:rFonts w:ascii="Arial" w:cs="Arial" w:eastAsia="Arial" w:hAnsi="Arial"/>
                  <w:sz w:val="18"/>
                  <w:szCs w:val="18"/>
                  <w:color w:val="0000FF"/>
                  <w:w w:val="93"/>
                </w:rPr>
                <w:t>Chief Financial Officer.</w:t>
              </w:r>
            </w:hyperlink>
          </w:p>
        </w:tc>
        <w:tc>
          <w:tcPr>
            <w:tcW w:w="2760" w:type="dxa"/>
            <w:vAlign w:val="bottom"/>
            <w:tcBorders>
              <w:top w:val="single" w:sz="8" w:color="0000FF"/>
            </w:tcBorders>
            <w:gridSpan w:val="8"/>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09"/>
        </w:trPr>
        <w:tc>
          <w:tcPr>
            <w:tcW w:w="1580" w:type="dxa"/>
            <w:vAlign w:val="bottom"/>
          </w:tcPr>
          <w:p>
            <w:pPr>
              <w:ind w:left="20"/>
              <w:spacing w:after="0" w:line="210" w:lineRule="exact"/>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44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Certification Pursuant to 18 U.S.C. Section 1350, as Adopted</w:t>
              </w:r>
            </w:hyperlink>
          </w:p>
        </w:tc>
        <w:tc>
          <w:tcPr>
            <w:tcW w:w="240" w:type="dxa"/>
            <w:vAlign w:val="bottom"/>
            <w:gridSpan w:val="6"/>
          </w:tcPr>
          <w:p>
            <w:pPr>
              <w:spacing w:after="0"/>
              <w:rPr>
                <w:sz w:val="18"/>
                <w:szCs w:val="18"/>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60" w:type="dxa"/>
            <w:vAlign w:val="bottom"/>
            <w:gridSpan w:val="14"/>
          </w:tcPr>
          <w:p>
            <w:pPr>
              <w:spacing w:after="0" w:line="156" w:lineRule="exact"/>
              <w:rPr>
                <w:rFonts w:ascii="Arial" w:cs="Arial" w:eastAsia="Arial" w:hAnsi="Arial"/>
                <w:sz w:val="18"/>
                <w:szCs w:val="18"/>
                <w:color w:val="0000FF"/>
                <w:w w:val="94"/>
              </w:rPr>
            </w:pPr>
            <w:hyperlink w:anchor="page96">
              <w:r>
                <w:rPr>
                  <w:rFonts w:ascii="Arial" w:cs="Arial" w:eastAsia="Arial" w:hAnsi="Arial"/>
                  <w:sz w:val="18"/>
                  <w:szCs w:val="18"/>
                  <w:color w:val="0000FF"/>
                  <w:w w:val="94"/>
                </w:rPr>
                <w:t>Pursuant to Section 906 of the Sarbanes-Oxley Act of 2002 of</w:t>
              </w:r>
            </w:hyperlink>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Chief Executive Officer.</w:t>
              </w:r>
            </w:hyperlink>
          </w:p>
        </w:tc>
        <w:tc>
          <w:tcPr>
            <w:tcW w:w="180" w:type="dxa"/>
            <w:vAlign w:val="bottom"/>
            <w:gridSpan w:val="4"/>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900" w:type="dxa"/>
            <w:vAlign w:val="bottom"/>
            <w:gridSpan w:val="10"/>
          </w:tcPr>
          <w:p>
            <w:pPr>
              <w:spacing w:after="0" w:line="20" w:lineRule="exact"/>
              <w:rPr>
                <w:sz w:val="1"/>
                <w:szCs w:val="1"/>
                <w:color w:val="auto"/>
              </w:rPr>
            </w:pPr>
          </w:p>
        </w:tc>
      </w:tr>
      <w:tr>
        <w:trPr>
          <w:trHeight w:val="209"/>
        </w:trPr>
        <w:tc>
          <w:tcPr>
            <w:tcW w:w="1580" w:type="dxa"/>
            <w:vAlign w:val="bottom"/>
          </w:tcPr>
          <w:p>
            <w:pPr>
              <w:ind w:left="20"/>
              <w:spacing w:after="0" w:line="210" w:lineRule="exact"/>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44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97">
              <w:r>
                <w:rPr>
                  <w:rFonts w:ascii="Arial" w:cs="Arial" w:eastAsia="Arial" w:hAnsi="Arial"/>
                  <w:sz w:val="18"/>
                  <w:szCs w:val="18"/>
                  <w:color w:val="0000FF"/>
                  <w:w w:val="90"/>
                </w:rPr>
                <w:t>Certification Pursuant to 18 U.S.C. Section 1350, as Adopted</w:t>
              </w:r>
            </w:hyperlink>
          </w:p>
        </w:tc>
        <w:tc>
          <w:tcPr>
            <w:tcW w:w="240" w:type="dxa"/>
            <w:vAlign w:val="bottom"/>
            <w:gridSpan w:val="6"/>
          </w:tcPr>
          <w:p>
            <w:pPr>
              <w:spacing w:after="0"/>
              <w:rPr>
                <w:sz w:val="18"/>
                <w:szCs w:val="18"/>
                <w:color w:val="auto"/>
              </w:rPr>
            </w:pPr>
          </w:p>
        </w:tc>
      </w:tr>
      <w:tr>
        <w:trPr>
          <w:trHeight w:val="156"/>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60" w:type="dxa"/>
            <w:vAlign w:val="bottom"/>
            <w:gridSpan w:val="14"/>
          </w:tcPr>
          <w:p>
            <w:pPr>
              <w:spacing w:after="0" w:line="156" w:lineRule="exact"/>
              <w:rPr>
                <w:rFonts w:ascii="Arial" w:cs="Arial" w:eastAsia="Arial" w:hAnsi="Arial"/>
                <w:sz w:val="18"/>
                <w:szCs w:val="18"/>
                <w:color w:val="0000FF"/>
                <w:w w:val="94"/>
              </w:rPr>
            </w:pPr>
            <w:hyperlink w:anchor="page97">
              <w:r>
                <w:rPr>
                  <w:rFonts w:ascii="Arial" w:cs="Arial" w:eastAsia="Arial" w:hAnsi="Arial"/>
                  <w:sz w:val="18"/>
                  <w:szCs w:val="18"/>
                  <w:color w:val="0000FF"/>
                  <w:w w:val="94"/>
                </w:rPr>
                <w:t>Pursuant to Section 906 of the Sarbanes-Oxley Act of 2002 of</w:t>
              </w:r>
            </w:hyperlink>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97">
              <w:r>
                <w:rPr>
                  <w:rFonts w:ascii="Arial" w:cs="Arial" w:eastAsia="Arial" w:hAnsi="Arial"/>
                  <w:sz w:val="18"/>
                  <w:szCs w:val="18"/>
                  <w:color w:val="0000FF"/>
                </w:rPr>
                <w:t>Chief Executive Officer.</w:t>
              </w:r>
            </w:hyperlink>
          </w:p>
        </w:tc>
        <w:tc>
          <w:tcPr>
            <w:tcW w:w="180" w:type="dxa"/>
            <w:vAlign w:val="bottom"/>
            <w:gridSpan w:val="4"/>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900" w:type="dxa"/>
            <w:vAlign w:val="bottom"/>
            <w:gridSpan w:val="10"/>
          </w:tcPr>
          <w:p>
            <w:pPr>
              <w:spacing w:after="0" w:line="20" w:lineRule="exact"/>
              <w:rPr>
                <w:sz w:val="1"/>
                <w:szCs w:val="1"/>
                <w:color w:val="auto"/>
              </w:rPr>
            </w:pPr>
          </w:p>
        </w:tc>
      </w:tr>
      <w:tr>
        <w:trPr>
          <w:trHeight w:val="249"/>
        </w:trPr>
        <w:tc>
          <w:tcPr>
            <w:tcW w:w="158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1"/>
                <w:szCs w:val="21"/>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w w:val="97"/>
              </w:rPr>
              <w:t>XBRL Instance Document - the instance document does not</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w w:val="95"/>
              </w:rPr>
              <w:t>appear in the Interactive Data File because its XBRL tags are</w:t>
            </w: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58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3"/>
                <w:szCs w:val="23"/>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8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3"/>
                <w:szCs w:val="23"/>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w w:val="97"/>
              </w:rPr>
              <w:t>XBRL Taxonomy Extension Calculation Linkbase Document</w:t>
            </w:r>
          </w:p>
        </w:tc>
      </w:tr>
      <w:tr>
        <w:trPr>
          <w:trHeight w:val="270"/>
        </w:trPr>
        <w:tc>
          <w:tcPr>
            <w:tcW w:w="158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3"/>
                <w:szCs w:val="23"/>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w w:val="99"/>
              </w:rPr>
              <w:t>XBRL Taxonomy Extension Definition Linkbase Document</w:t>
            </w:r>
          </w:p>
        </w:tc>
      </w:tr>
      <w:tr>
        <w:trPr>
          <w:trHeight w:val="270"/>
        </w:trPr>
        <w:tc>
          <w:tcPr>
            <w:tcW w:w="158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3"/>
                <w:szCs w:val="23"/>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rPr>
              <w:t>XBRL Taxonomy Extension Label Document</w:t>
            </w:r>
          </w:p>
        </w:tc>
      </w:tr>
      <w:tr>
        <w:trPr>
          <w:trHeight w:val="270"/>
        </w:trPr>
        <w:tc>
          <w:tcPr>
            <w:tcW w:w="158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3"/>
                <w:szCs w:val="23"/>
                <w:color w:val="auto"/>
              </w:rPr>
            </w:pPr>
          </w:p>
        </w:tc>
        <w:tc>
          <w:tcPr>
            <w:tcW w:w="466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Document</w:t>
            </w:r>
          </w:p>
        </w:tc>
      </w:tr>
      <w:tr>
        <w:trPr>
          <w:trHeight w:val="27"/>
        </w:trPr>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8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8-K</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87"/>
              </w:rPr>
              <w:t>1.1</w:t>
            </w:r>
          </w:p>
        </w:tc>
        <w:tc>
          <w:tcPr>
            <w:tcW w:w="1260" w:type="dxa"/>
            <w:vAlign w:val="bottom"/>
          </w:tcPr>
          <w:p>
            <w:pPr>
              <w:jc w:val="center"/>
              <w:ind w:left="450"/>
              <w:spacing w:after="0"/>
              <w:rPr>
                <w:sz w:val="20"/>
                <w:szCs w:val="20"/>
                <w:color w:val="auto"/>
              </w:rPr>
            </w:pPr>
            <w:r>
              <w:rPr>
                <w:rFonts w:ascii="Arial" w:cs="Arial" w:eastAsia="Arial" w:hAnsi="Arial"/>
                <w:sz w:val="18"/>
                <w:szCs w:val="18"/>
                <w:color w:val="auto"/>
                <w:w w:val="91"/>
              </w:rPr>
              <w:t>3/5/2020</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8-K</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85"/>
              </w:rPr>
              <w:t>10.1</w:t>
            </w:r>
          </w:p>
        </w:tc>
        <w:tc>
          <w:tcPr>
            <w:tcW w:w="1260" w:type="dxa"/>
            <w:vAlign w:val="bottom"/>
          </w:tcPr>
          <w:p>
            <w:pPr>
              <w:jc w:val="center"/>
              <w:ind w:left="450"/>
              <w:spacing w:after="0"/>
              <w:rPr>
                <w:sz w:val="20"/>
                <w:szCs w:val="20"/>
                <w:color w:val="auto"/>
              </w:rPr>
            </w:pPr>
            <w:r>
              <w:rPr>
                <w:rFonts w:ascii="Arial" w:cs="Arial" w:eastAsia="Arial" w:hAnsi="Arial"/>
                <w:sz w:val="18"/>
                <w:szCs w:val="18"/>
                <w:color w:val="auto"/>
                <w:w w:val="89"/>
              </w:rPr>
              <w:t>6/24/2020</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8-K</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85"/>
              </w:rPr>
              <w:t>10.2</w:t>
            </w:r>
          </w:p>
        </w:tc>
        <w:tc>
          <w:tcPr>
            <w:tcW w:w="1260" w:type="dxa"/>
            <w:vAlign w:val="bottom"/>
          </w:tcPr>
          <w:p>
            <w:pPr>
              <w:jc w:val="center"/>
              <w:ind w:left="450"/>
              <w:spacing w:after="0"/>
              <w:rPr>
                <w:sz w:val="20"/>
                <w:szCs w:val="20"/>
                <w:color w:val="auto"/>
              </w:rPr>
            </w:pPr>
            <w:r>
              <w:rPr>
                <w:rFonts w:ascii="Arial" w:cs="Arial" w:eastAsia="Arial" w:hAnsi="Arial"/>
                <w:sz w:val="18"/>
                <w:szCs w:val="18"/>
                <w:color w:val="auto"/>
                <w:w w:val="89"/>
              </w:rPr>
              <w:t>6/24/2020</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8-K</w:t>
            </w: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85"/>
              </w:rPr>
              <w:t>10.1</w:t>
            </w:r>
          </w:p>
        </w:tc>
        <w:tc>
          <w:tcPr>
            <w:tcW w:w="1260" w:type="dxa"/>
            <w:vAlign w:val="bottom"/>
          </w:tcPr>
          <w:p>
            <w:pPr>
              <w:jc w:val="center"/>
              <w:ind w:left="450"/>
              <w:spacing w:after="0"/>
              <w:rPr>
                <w:sz w:val="20"/>
                <w:szCs w:val="20"/>
                <w:color w:val="auto"/>
              </w:rPr>
            </w:pPr>
            <w:r>
              <w:rPr>
                <w:rFonts w:ascii="Arial" w:cs="Arial" w:eastAsia="Arial" w:hAnsi="Arial"/>
                <w:sz w:val="18"/>
                <w:szCs w:val="18"/>
                <w:color w:val="auto"/>
                <w:w w:val="89"/>
              </w:rPr>
              <w:t>4/22/2020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61" w:lineRule="exact"/>
        <w:rPr>
          <w:sz w:val="20"/>
          <w:szCs w:val="20"/>
          <w:color w:val="auto"/>
        </w:rPr>
      </w:pPr>
    </w:p>
    <w:p>
      <w:pPr>
        <w:sectPr>
          <w:pgSz w:w="11900" w:h="16838" w:orient="portrait"/>
          <w:cols w:equalWidth="0" w:num="2">
            <w:col w:w="6340" w:space="400"/>
            <w:col w:w="4440"/>
          </w:cols>
          <w:pgMar w:left="320" w:top="1323" w:right="399" w:bottom="1440" w:gutter="0" w:footer="0" w:header="0"/>
          <w:type w:val="continuous"/>
        </w:sectPr>
      </w:pPr>
    </w:p>
    <w:p>
      <w:pPr>
        <w:ind w:left="260" w:hanging="252"/>
        <w:spacing w:after="0" w:line="272" w:lineRule="auto"/>
        <w:tabs>
          <w:tab w:leader="none" w:pos="246"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Indicates a management contract or compensatory plan.</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3" w:right="399" w:bottom="1440" w:gutter="0" w:footer="0" w:header="0"/>
          <w:type w:val="continuous"/>
        </w:sectPr>
      </w:pPr>
    </w:p>
    <w:bookmarkStart w:id="70" w:name="page71"/>
    <w:bookmarkEnd w:id="70"/>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7160" w:type="dxa"/>
            <w:vAlign w:val="bottom"/>
            <w:gridSpan w:val="2"/>
          </w:tcPr>
          <w:p>
            <w:pPr>
              <w:ind w:left="1500"/>
              <w:spacing w:after="0"/>
              <w:rPr>
                <w:sz w:val="20"/>
                <w:szCs w:val="20"/>
                <w:color w:val="auto"/>
              </w:rPr>
            </w:pPr>
            <w:r>
              <w:rPr>
                <w:rFonts w:ascii="Arial" w:cs="Arial" w:eastAsia="Arial" w:hAnsi="Arial"/>
                <w:sz w:val="18"/>
                <w:szCs w:val="18"/>
                <w:color w:val="auto"/>
              </w:rPr>
              <w:t>FLUIDIGM CORPORATION</w:t>
            </w:r>
          </w:p>
        </w:tc>
      </w:tr>
      <w:tr>
        <w:trPr>
          <w:trHeight w:val="486"/>
        </w:trPr>
        <w:tc>
          <w:tcPr>
            <w:tcW w:w="3120" w:type="dxa"/>
            <w:vAlign w:val="bottom"/>
          </w:tcPr>
          <w:p>
            <w:pPr>
              <w:spacing w:after="0"/>
              <w:rPr>
                <w:sz w:val="20"/>
                <w:szCs w:val="20"/>
                <w:color w:val="auto"/>
              </w:rPr>
            </w:pPr>
            <w:r>
              <w:rPr>
                <w:rFonts w:ascii="Arial" w:cs="Arial" w:eastAsia="Arial" w:hAnsi="Arial"/>
                <w:sz w:val="18"/>
                <w:szCs w:val="18"/>
                <w:color w:val="auto"/>
              </w:rPr>
              <w:t>Dated: August 7, 2020</w:t>
            </w:r>
          </w:p>
        </w:tc>
        <w:tc>
          <w:tcPr>
            <w:tcW w:w="2180" w:type="dxa"/>
            <w:vAlign w:val="bottom"/>
          </w:tcPr>
          <w:p>
            <w:pPr>
              <w:ind w:left="1500"/>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/s/ Stephen Christopher Linthwaite</w:t>
            </w:r>
          </w:p>
        </w:tc>
      </w:tr>
      <w:tr>
        <w:trPr>
          <w:trHeight w:val="27"/>
        </w:trPr>
        <w:tc>
          <w:tcPr>
            <w:tcW w:w="3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Stephen Christopher Linthwaite</w:t>
            </w:r>
          </w:p>
        </w:tc>
      </w:tr>
      <w:tr>
        <w:trPr>
          <w:trHeight w:val="270"/>
        </w:trPr>
        <w:tc>
          <w:tcPr>
            <w:tcW w:w="31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702"/>
        </w:trPr>
        <w:tc>
          <w:tcPr>
            <w:tcW w:w="3120" w:type="dxa"/>
            <w:vAlign w:val="bottom"/>
          </w:tcPr>
          <w:p>
            <w:pPr>
              <w:spacing w:after="0"/>
              <w:rPr>
                <w:sz w:val="20"/>
                <w:szCs w:val="20"/>
                <w:color w:val="auto"/>
              </w:rPr>
            </w:pPr>
            <w:r>
              <w:rPr>
                <w:rFonts w:ascii="Arial" w:cs="Arial" w:eastAsia="Arial" w:hAnsi="Arial"/>
                <w:sz w:val="18"/>
                <w:szCs w:val="18"/>
                <w:color w:val="auto"/>
              </w:rPr>
              <w:t>Dated: August 7, 2020</w:t>
            </w:r>
          </w:p>
        </w:tc>
        <w:tc>
          <w:tcPr>
            <w:tcW w:w="2180" w:type="dxa"/>
            <w:vAlign w:val="bottom"/>
          </w:tcPr>
          <w:p>
            <w:pPr>
              <w:ind w:left="1500"/>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/s/ Vikram Jog</w:t>
            </w:r>
          </w:p>
        </w:tc>
      </w:tr>
      <w:tr>
        <w:trPr>
          <w:trHeight w:val="27"/>
        </w:trPr>
        <w:tc>
          <w:tcPr>
            <w:tcW w:w="3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Vikram Jog</w:t>
            </w:r>
          </w:p>
        </w:tc>
      </w:tr>
      <w:tr>
        <w:trPr>
          <w:trHeight w:val="270"/>
        </w:trPr>
        <w:tc>
          <w:tcPr>
            <w:tcW w:w="31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20"/>
          </w:cols>
          <w:pgMar w:left="320" w:top="1417" w:right="85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CHANGE OF CONTROL AND SEVERANCE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SUMMARY PLAN DESCRIPTION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Adopted as of August 4, 2020</w:t>
      </w:r>
    </w:p>
    <w:p>
      <w:pPr>
        <w:spacing w:after="0" w:line="243" w:lineRule="exact"/>
        <w:rPr>
          <w:sz w:val="20"/>
          <w:szCs w:val="20"/>
          <w:color w:val="auto"/>
        </w:rPr>
      </w:pPr>
    </w:p>
    <w:p>
      <w:pPr>
        <w:jc w:val="both"/>
        <w:ind w:firstLine="656"/>
        <w:spacing w:after="0" w:line="246" w:lineRule="auto"/>
        <w:tabs>
          <w:tab w:leader="none" w:pos="1301"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Introduction</w:t>
      </w:r>
      <w:r>
        <w:rPr>
          <w:rFonts w:ascii="Arial" w:cs="Arial" w:eastAsia="Arial" w:hAnsi="Arial"/>
          <w:sz w:val="22"/>
          <w:szCs w:val="22"/>
          <w:color w:val="auto"/>
        </w:rPr>
        <w:t>. The purpose of this Fluidigm Corporation 2020 Change of Control and Severance Plan,</w:t>
      </w:r>
      <w:r>
        <w:rPr>
          <w:rFonts w:ascii="Arial" w:cs="Arial" w:eastAsia="Arial" w:hAnsi="Arial"/>
          <w:sz w:val="22"/>
          <w:szCs w:val="22"/>
          <w:b w:val="1"/>
          <w:bCs w:val="1"/>
          <w:color w:val="auto"/>
        </w:rPr>
        <w:t xml:space="preserve"> </w:t>
      </w:r>
      <w:r>
        <w:rPr>
          <w:rFonts w:ascii="Arial" w:cs="Arial" w:eastAsia="Arial" w:hAnsi="Arial"/>
          <w:sz w:val="22"/>
          <w:szCs w:val="22"/>
          <w:color w:val="auto"/>
        </w:rPr>
        <w:t>or Plan (as defined in Section 2 below), is to provide assurances of specified benefits to certain employees of the Company whose employment is subject to being involuntarily terminated other than for death, Disability, or Cause or voluntarily terminated for Good Reason under the circumstances described herein. This Plan is an “employee welfare benefit plan,” as defined in Section 3(1) of the U.S. Employee Retirement Income Security Act of 1974, as amended (“</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This document constitutes both the written instrument under which the Plan is maintained and the required summary plan description for the Plan. This Plan is a replacement for that certain Fluidigm Corporation Change of Control and Severance Plan and Summary Plan Description adopted by the Compensation Committee of Fluidigm Corporation on August 21, 2017 (the “</w:t>
      </w:r>
      <w:r>
        <w:rPr>
          <w:rFonts w:ascii="Arial" w:cs="Arial" w:eastAsia="Arial" w:hAnsi="Arial"/>
          <w:sz w:val="22"/>
          <w:szCs w:val="22"/>
          <w:b w:val="1"/>
          <w:bCs w:val="1"/>
          <w:i w:val="1"/>
          <w:iCs w:val="1"/>
          <w:color w:val="auto"/>
        </w:rPr>
        <w:t>Prior Plan</w:t>
      </w:r>
      <w:r>
        <w:rPr>
          <w:rFonts w:ascii="Arial" w:cs="Arial" w:eastAsia="Arial" w:hAnsi="Arial"/>
          <w:sz w:val="22"/>
          <w:szCs w:val="22"/>
          <w:color w:val="auto"/>
        </w:rPr>
        <w:t>”). The Prior Plan expires according to its terms and will not be renewed. By becoming a Participant under this Plan (and immediately upon execution of the Participation Agreement), the Participant expressly acknowledges that Participant will cease being a participant under or entitled to any benefits under the Prior Plan.</w:t>
      </w:r>
    </w:p>
    <w:p>
      <w:pPr>
        <w:spacing w:after="0" w:line="74" w:lineRule="exact"/>
        <w:rPr>
          <w:rFonts w:ascii="Arial" w:cs="Arial" w:eastAsia="Arial" w:hAnsi="Arial"/>
          <w:sz w:val="22"/>
          <w:szCs w:val="22"/>
          <w:color w:val="auto"/>
        </w:rPr>
      </w:pPr>
    </w:p>
    <w:p>
      <w:pPr>
        <w:ind w:right="20" w:firstLine="656"/>
        <w:spacing w:after="0" w:line="274" w:lineRule="auto"/>
        <w:tabs>
          <w:tab w:leader="none" w:pos="1301"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Important Terms</w:t>
      </w:r>
      <w:r>
        <w:rPr>
          <w:rFonts w:ascii="Arial" w:cs="Arial" w:eastAsia="Arial" w:hAnsi="Arial"/>
          <w:sz w:val="22"/>
          <w:szCs w:val="22"/>
          <w:color w:val="auto"/>
        </w:rPr>
        <w:t>. The following words and phrases, when the initial letter of the term is capitalized, will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meanings set forth in this Section 2, unless a different meaning is plainly required by the context:</w:t>
      </w:r>
    </w:p>
    <w:p>
      <w:pPr>
        <w:spacing w:after="0" w:line="4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2"/>
          <w:szCs w:val="22"/>
          <w:color w:val="auto"/>
        </w:rPr>
        <w:t>2.1 “</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the Company, acting through the Compensation Committee or another duly constituted committee of members of the Board, or any person to whom the Administrator has delegated any authority or responsibility with respect to the Plan pursuant to Section 12, but only to the extent of such delegation.</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11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2.3.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exists upon (i) a Participant’s conviction of, or plea of guilty or nolo contendere to, any crime involving dishonesty or moral turpitude or any felony; or (ii) a Participant’s (a) engagement in material dishonesty, willful misconduct, or gross negligence—in each case in connection with the Participant’s position at the Company; (b) breach of any confidentiality, invention assignment, non-disclosure, or non-solicitation agreement entered into between the Company and the Participant; (c) material violation of a written Company policy or procedure that has been provided to the Participant, which violation causes substantial injury to the Company; or (d) willful refusal to perform the Participant’s assigned duties to the Company, following written notice of such refusal by the Company and a period of fifteen (15) days to cure the same and the Participant’s failure to cure during such time period. No act or omission shall be considered “willful” if such act or omission was done, or not done, in the reasonable, good-faith belief that such act or omission was in the best interests of the Company or upon the advice of counsel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of 13</w:t>
      </w:r>
    </w:p>
    <w:p>
      <w:pPr>
        <w:sectPr>
          <w:pgSz w:w="11900" w:h="16838" w:orient="portrait"/>
          <w:cols w:equalWidth="0" w:num="1">
            <w:col w:w="11240"/>
          </w:cols>
          <w:pgMar w:left="320" w:top="1417" w:right="339" w:bottom="1440" w:gutter="0" w:footer="0" w:header="0"/>
        </w:sectPr>
      </w:pPr>
    </w:p>
    <w:bookmarkStart w:id="72" w:name="page73"/>
    <w:bookmarkEnd w:id="72"/>
    <w:p>
      <w:pPr>
        <w:ind w:left="1300"/>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the occurrence of any of the following events:</w:t>
      </w:r>
    </w:p>
    <w:p>
      <w:pPr>
        <w:spacing w:after="0" w:line="112" w:lineRule="exact"/>
        <w:rPr>
          <w:sz w:val="20"/>
          <w:szCs w:val="20"/>
          <w:color w:val="auto"/>
        </w:rPr>
      </w:pPr>
    </w:p>
    <w:p>
      <w:pPr>
        <w:jc w:val="both"/>
        <w:ind w:firstLine="1944"/>
        <w:spacing w:after="0" w:line="245" w:lineRule="auto"/>
        <w:rPr>
          <w:sz w:val="20"/>
          <w:szCs w:val="20"/>
          <w:color w:val="auto"/>
        </w:rPr>
      </w:pPr>
      <w:r>
        <w:rPr>
          <w:rFonts w:ascii="Arial" w:cs="Arial" w:eastAsia="Arial" w:hAnsi="Arial"/>
          <w:sz w:val="22"/>
          <w:szCs w:val="22"/>
          <w:color w:val="auto"/>
        </w:rPr>
        <w:t xml:space="preserve">2.4.1 </w:t>
      </w:r>
      <w:r>
        <w:rPr>
          <w:rFonts w:ascii="Arial" w:cs="Arial" w:eastAsia="Arial" w:hAnsi="Arial"/>
          <w:sz w:val="22"/>
          <w:szCs w:val="22"/>
          <w:b w:val="1"/>
          <w:bCs w:val="1"/>
          <w:color w:val="auto"/>
        </w:rPr>
        <w:t>Change in Ownership of the Company</w:t>
      </w:r>
      <w:r>
        <w:rPr>
          <w:rFonts w:ascii="Arial" w:cs="Arial" w:eastAsia="Arial" w:hAnsi="Arial"/>
          <w:sz w:val="22"/>
          <w:szCs w:val="22"/>
          <w:color w:val="auto"/>
        </w:rPr>
        <w:t>. A change in the ownership of the Company that occurs on the date that any one person, or more than one person acting as a group (“</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xml:space="preserve">”), acquires ownership of the stock of the Company that, together with the stock held by such Person, constitutes more than fifty percent (50%) of the total voting power of the stock of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for purposes of this subsection, the acquisition of additional stock by any one Person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direct or indirect beneficial ownership of fifty percent (50%) or more of the total voting power of the stock of the Company or of the ultimate parent entity of the Company in substantially the same proportions as their ownership of the Company’s voting stock immediately prior to the change in ownership, such event shall not be considered a Change in Control under this subsection. For this purpose, indirect beneficial ownership shall include, without limitation, an interest resulting from ownership of the voting securities of one or more corporations or other business entities that own the Company, as the case may be, either directly or through one or more subsidiary corporations or other business entities.</w:t>
      </w:r>
    </w:p>
    <w:p>
      <w:pPr>
        <w:spacing w:after="0" w:line="84" w:lineRule="exact"/>
        <w:rPr>
          <w:sz w:val="20"/>
          <w:szCs w:val="20"/>
          <w:color w:val="auto"/>
        </w:rPr>
      </w:pPr>
    </w:p>
    <w:p>
      <w:pPr>
        <w:jc w:val="both"/>
        <w:ind w:left="20" w:firstLine="1944"/>
        <w:spacing w:after="0" w:line="263" w:lineRule="auto"/>
        <w:rPr>
          <w:sz w:val="20"/>
          <w:szCs w:val="20"/>
          <w:color w:val="auto"/>
        </w:rPr>
      </w:pPr>
      <w:r>
        <w:rPr>
          <w:rFonts w:ascii="Arial" w:cs="Arial" w:eastAsia="Arial" w:hAnsi="Arial"/>
          <w:sz w:val="20"/>
          <w:szCs w:val="20"/>
          <w:color w:val="auto"/>
        </w:rPr>
        <w:t xml:space="preserve">2.4.2. </w:t>
      </w:r>
      <w:r>
        <w:rPr>
          <w:rFonts w:ascii="Arial" w:cs="Arial" w:eastAsia="Arial" w:hAnsi="Arial"/>
          <w:sz w:val="21"/>
          <w:szCs w:val="21"/>
          <w:b w:val="1"/>
          <w:bCs w:val="1"/>
          <w:color w:val="auto"/>
        </w:rPr>
        <w:t>Change in Effective Control of the Company</w:t>
      </w:r>
      <w:r>
        <w:rPr>
          <w:rFonts w:ascii="Arial" w:cs="Arial" w:eastAsia="Arial" w:hAnsi="Arial"/>
          <w:sz w:val="21"/>
          <w:szCs w:val="21"/>
          <w:color w:val="auto"/>
        </w:rPr>
        <w:t>. A change in the effective control of the</w:t>
      </w:r>
      <w:r>
        <w:rPr>
          <w:rFonts w:ascii="Arial" w:cs="Arial" w:eastAsia="Arial" w:hAnsi="Arial"/>
          <w:sz w:val="20"/>
          <w:szCs w:val="20"/>
          <w:color w:val="auto"/>
        </w:rPr>
        <w:t xml:space="preserve"> </w:t>
      </w:r>
      <w:r>
        <w:rPr>
          <w:rFonts w:ascii="Arial" w:cs="Arial" w:eastAsia="Arial" w:hAnsi="Arial"/>
          <w:sz w:val="21"/>
          <w:szCs w:val="21"/>
          <w:color w:val="auto"/>
        </w:rPr>
        <w:t>Company that occurs on the date that a majority of members of the Board is replaced during any twenty-four (24) month period with individuals whose appointment or election to the Board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59" w:lineRule="exact"/>
        <w:rPr>
          <w:sz w:val="20"/>
          <w:szCs w:val="20"/>
          <w:color w:val="auto"/>
        </w:rPr>
      </w:pPr>
    </w:p>
    <w:p>
      <w:pPr>
        <w:jc w:val="both"/>
        <w:ind w:left="20" w:firstLine="1944"/>
        <w:spacing w:after="0" w:line="258" w:lineRule="auto"/>
        <w:rPr>
          <w:sz w:val="20"/>
          <w:szCs w:val="20"/>
          <w:color w:val="auto"/>
        </w:rPr>
      </w:pPr>
      <w:r>
        <w:rPr>
          <w:rFonts w:ascii="Arial" w:cs="Arial" w:eastAsia="Arial" w:hAnsi="Arial"/>
          <w:sz w:val="20"/>
          <w:szCs w:val="20"/>
          <w:color w:val="auto"/>
        </w:rPr>
        <w:t xml:space="preserve">2.4.3 </w:t>
      </w:r>
      <w:r>
        <w:rPr>
          <w:rFonts w:ascii="Arial" w:cs="Arial" w:eastAsia="Arial" w:hAnsi="Arial"/>
          <w:sz w:val="21"/>
          <w:szCs w:val="21"/>
          <w:b w:val="1"/>
          <w:bCs w:val="1"/>
          <w:color w:val="auto"/>
        </w:rPr>
        <w:t>Change in Ownership of a Substantial Portion of the Company’s Assets</w:t>
      </w:r>
      <w:r>
        <w:rPr>
          <w:rFonts w:ascii="Arial" w:cs="Arial" w:eastAsia="Arial" w:hAnsi="Arial"/>
          <w:sz w:val="21"/>
          <w:szCs w:val="21"/>
          <w:color w:val="auto"/>
        </w:rPr>
        <w:t>. A change in</w:t>
      </w:r>
      <w:r>
        <w:rPr>
          <w:rFonts w:ascii="Arial" w:cs="Arial" w:eastAsia="Arial" w:hAnsi="Arial"/>
          <w:sz w:val="20"/>
          <w:szCs w:val="20"/>
          <w:color w:val="auto"/>
        </w:rPr>
        <w:t xml:space="preserve"> </w:t>
      </w:r>
      <w:r>
        <w:rPr>
          <w:rFonts w:ascii="Arial" w:cs="Arial" w:eastAsia="Arial" w:hAnsi="Arial"/>
          <w:sz w:val="21"/>
          <w:szCs w:val="21"/>
          <w:color w:val="auto"/>
        </w:rPr>
        <w:t xml:space="preserve">the ownership of a substantial portion of the Company’s assets that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for purposes of this subsection 2.4.3, the following will not constitute a change in the</w:t>
      </w:r>
      <w:r>
        <w:rPr>
          <w:rFonts w:ascii="Arial" w:cs="Arial" w:eastAsia="Arial" w:hAnsi="Arial"/>
          <w:sz w:val="21"/>
          <w:szCs w:val="21"/>
          <w:i w:val="1"/>
          <w:iCs w:val="1"/>
          <w:color w:val="auto"/>
        </w:rPr>
        <w:t xml:space="preserve"> </w:t>
      </w:r>
      <w:r>
        <w:rPr>
          <w:rFonts w:ascii="Arial" w:cs="Arial" w:eastAsia="Arial" w:hAnsi="Arial"/>
          <w:sz w:val="21"/>
          <w:szCs w:val="21"/>
          <w:color w:val="auto"/>
        </w:rPr>
        <w:t>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as to which fifty percent (50%) or more of the total value or voting power is owned, directly or indirectly, by the Company; (iii) a Person that owns, directly or indirectly, fifty percent (50%) or more of the total value or voting power of all the outstanding stock of the Company; or (iv) an entity as to which at least fifty percent (50%) of the total value or voting power is owned, directly or indirectly, by a Person described in 2.4.3(b)(iii). For purposes of this subsection 2.4.3, “gross fair market value” means the value of the assets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of 13</w:t>
      </w:r>
    </w:p>
    <w:p>
      <w:pPr>
        <w:sectPr>
          <w:pgSz w:w="11900" w:h="16838" w:orient="portrait"/>
          <w:cols w:equalWidth="0" w:num="1">
            <w:col w:w="11240"/>
          </w:cols>
          <w:pgMar w:left="320" w:top="1417" w:right="339" w:bottom="1440" w:gutter="0" w:footer="0" w:header="0"/>
        </w:sectPr>
      </w:pPr>
    </w:p>
    <w:bookmarkStart w:id="73" w:name="page74"/>
    <w:bookmarkEnd w:id="73"/>
    <w:p>
      <w:pPr>
        <w:spacing w:after="0" w:line="3"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value of the assets being disposed of, determined without regard to any liabilities associated with such assets.</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i w:val="1"/>
          <w:iCs w:val="1"/>
          <w:color w:val="auto"/>
        </w:rPr>
        <w:t>Notwithstanding any of the foregoing, however</w:t>
      </w:r>
      <w:r>
        <w:rPr>
          <w:rFonts w:ascii="Arial" w:cs="Arial" w:eastAsia="Arial" w:hAnsi="Arial"/>
          <w:sz w:val="22"/>
          <w:szCs w:val="22"/>
          <w:color w:val="auto"/>
        </w:rPr>
        <w:t>, in any circumstance or transaction in which compensation or benefits</w:t>
      </w:r>
      <w:r>
        <w:rPr>
          <w:rFonts w:ascii="Arial" w:cs="Arial" w:eastAsia="Arial" w:hAnsi="Arial"/>
          <w:sz w:val="22"/>
          <w:szCs w:val="22"/>
          <w:i w:val="1"/>
          <w:iCs w:val="1"/>
          <w:color w:val="auto"/>
        </w:rPr>
        <w:t xml:space="preserve"> </w:t>
      </w:r>
      <w:r>
        <w:rPr>
          <w:rFonts w:ascii="Arial" w:cs="Arial" w:eastAsia="Arial" w:hAnsi="Arial"/>
          <w:sz w:val="22"/>
          <w:szCs w:val="22"/>
          <w:color w:val="auto"/>
        </w:rPr>
        <w:t>paid under this Plan would result in imposition of an additional tax under Section 409A of the Code (as defined below) if the foregoing definition of “Change of Control” were to apply, but would not result in the imposition of any additional tax if the term “Change of Control” were defined herein to mean a “change in control event” within the meaning of Treasury Regulation Section 1.409A-3(i)(5), then “Change of Control” shall mean a “change in control event” within the meaning of Treasury Regulation Section 1.409A-3(i)(5), but only to the extent necessary to prevent such compensation from becoming subject to an additional tax under Section 409A.</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i w:val="1"/>
          <w:iCs w:val="1"/>
          <w:color w:val="auto"/>
        </w:rPr>
        <w:t>Further and for the avoidance of doubt</w:t>
      </w:r>
      <w:r>
        <w:rPr>
          <w:rFonts w:ascii="Arial" w:cs="Arial" w:eastAsia="Arial" w:hAnsi="Arial"/>
          <w:sz w:val="22"/>
          <w:szCs w:val="22"/>
          <w:color w:val="auto"/>
        </w:rPr>
        <w:t>, a transaction will not constitute a Change in Control if: (i) its primary purpose</w:t>
      </w:r>
      <w:r>
        <w:rPr>
          <w:rFonts w:ascii="Arial" w:cs="Arial" w:eastAsia="Arial" w:hAnsi="Arial"/>
          <w:sz w:val="22"/>
          <w:szCs w:val="22"/>
          <w:i w:val="1"/>
          <w:iCs w:val="1"/>
          <w:color w:val="auto"/>
        </w:rPr>
        <w:t xml:space="preserve"> </w:t>
      </w:r>
      <w:r>
        <w:rPr>
          <w:rFonts w:ascii="Arial" w:cs="Arial" w:eastAsia="Arial" w:hAnsi="Arial"/>
          <w:sz w:val="22"/>
          <w:szCs w:val="22"/>
          <w:color w:val="auto"/>
        </w:rPr>
        <w:t>is to change the jurisdiction of the Company’s incorporation, or (ii) its primary purpose is to create a holding company that will be owned in substantially the same proportions by the persons who held the Company’s securities immediately before such transaction.</w:t>
      </w:r>
    </w:p>
    <w:p>
      <w:pPr>
        <w:spacing w:after="0" w:line="6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2.5. “</w:t>
      </w:r>
      <w:r>
        <w:rPr>
          <w:rFonts w:ascii="Arial" w:cs="Arial" w:eastAsia="Arial" w:hAnsi="Arial"/>
          <w:sz w:val="22"/>
          <w:szCs w:val="22"/>
          <w:b w:val="1"/>
          <w:bCs w:val="1"/>
          <w:i w:val="1"/>
          <w:iCs w:val="1"/>
          <w:color w:val="auto"/>
        </w:rPr>
        <w:t>Change of Control Period</w:t>
      </w:r>
      <w:r>
        <w:rPr>
          <w:rFonts w:ascii="Arial" w:cs="Arial" w:eastAsia="Arial" w:hAnsi="Arial"/>
          <w:sz w:val="22"/>
          <w:szCs w:val="22"/>
          <w:color w:val="auto"/>
        </w:rPr>
        <w:t>” means the time period beginning three (3) months prior to a Change of Control (or three months prior to signing of a definitive agreement to consummate a Change of Control if the Company enters into such an agreement) and ending on the date that is twelve (12) months following the Change of Control.</w:t>
      </w:r>
    </w:p>
    <w:p>
      <w:pPr>
        <w:spacing w:after="0" w:line="6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2.6. “</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6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2"/>
          <w:szCs w:val="22"/>
          <w:color w:val="auto"/>
        </w:rPr>
        <w:t>2.7.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Fluidigm Corporation and any successor that assumes the obligations of the Company under the Plan by way of merger, acquisition, consolidation or other transaction.</w:t>
      </w:r>
    </w:p>
    <w:p>
      <w:pPr>
        <w:spacing w:after="0" w:line="43"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2.8.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Participant has been unable to perform his or her Company duties as the result of Participant’s incapacity due to physical or mental illness, and such inability, at least twenty-six (26) weeks after its commencement, is determined to be total and permanent by a physician selected by the Company or its insurers and acceptable to Participant or Participant’s legal representative (such agreement as to acceptability not to be unreasonably withheld). Termination resulting from Disability may only be effected after at least 30 days’ written notice by the Company of its intention to terminate Participant’s employment. In the event that Participant resumes the performance of substantially all of his or her duties hereunder before the termination of employment becomes effective, the notice of intent to terminate will automatically be deemed to have been revoked.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 of 13</w:t>
      </w:r>
    </w:p>
    <w:p>
      <w:pPr>
        <w:sectPr>
          <w:pgSz w:w="11900" w:h="16838" w:orient="portrait"/>
          <w:cols w:equalWidth="0" w:num="1">
            <w:col w:w="11240"/>
          </w:cols>
          <w:pgMar w:left="320" w:top="1440" w:right="339" w:bottom="1440" w:gutter="0" w:footer="0" w:header="0"/>
        </w:sectPr>
      </w:pPr>
    </w:p>
    <w:bookmarkStart w:id="74" w:name="page75"/>
    <w:bookmarkEnd w:id="74"/>
    <w:p>
      <w:pPr>
        <w:jc w:val="both"/>
        <w:ind w:firstLine="1296"/>
        <w:spacing w:after="0" w:line="274" w:lineRule="auto"/>
        <w:rPr>
          <w:sz w:val="20"/>
          <w:szCs w:val="20"/>
          <w:color w:val="auto"/>
        </w:rPr>
      </w:pPr>
      <w:r>
        <w:rPr>
          <w:rFonts w:ascii="Arial" w:cs="Arial" w:eastAsia="Arial" w:hAnsi="Arial"/>
          <w:sz w:val="22"/>
          <w:szCs w:val="22"/>
          <w:color w:val="auto"/>
        </w:rPr>
        <w:t>2.9.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August 4, 2020, which is the date the Plan was adopted by the Compensation Committee of the Board.</w:t>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2.10. “</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w:t>
      </w:r>
    </w:p>
    <w:p>
      <w:pPr>
        <w:spacing w:after="0" w:line="11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2"/>
          <w:szCs w:val="22"/>
          <w:color w:val="auto"/>
        </w:rPr>
        <w:t>2.11. “</w:t>
      </w:r>
      <w:r>
        <w:rPr>
          <w:rFonts w:ascii="Arial" w:cs="Arial" w:eastAsia="Arial" w:hAnsi="Arial"/>
          <w:sz w:val="22"/>
          <w:szCs w:val="22"/>
          <w:b w:val="1"/>
          <w:bCs w:val="1"/>
          <w:i w:val="1"/>
          <w:iCs w:val="1"/>
          <w:color w:val="auto"/>
        </w:rPr>
        <w:t>Equity Awards</w:t>
      </w:r>
      <w:r>
        <w:rPr>
          <w:rFonts w:ascii="Arial" w:cs="Arial" w:eastAsia="Arial" w:hAnsi="Arial"/>
          <w:sz w:val="22"/>
          <w:szCs w:val="22"/>
          <w:color w:val="auto"/>
        </w:rPr>
        <w:t>” means a Participant’s outstanding stock options, stock appreciation rights, restricted stock, restricted stock units, performance shares, performance stock units, and any other Company equity compensation awards.</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2.12. “</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has the meaning set forth in the Participant’s Participation Agreement.</w:t>
      </w:r>
    </w:p>
    <w:p>
      <w:pPr>
        <w:spacing w:after="0" w:line="11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b w:val="1"/>
          <w:bCs w:val="1"/>
          <w:i w:val="1"/>
          <w:iCs w:val="1"/>
          <w:color w:val="auto"/>
        </w:rPr>
        <w:t>Involuntary Termination</w:t>
      </w:r>
      <w:r>
        <w:rPr>
          <w:rFonts w:ascii="Arial" w:cs="Arial" w:eastAsia="Arial" w:hAnsi="Arial"/>
          <w:sz w:val="22"/>
          <w:szCs w:val="22"/>
          <w:color w:val="auto"/>
        </w:rPr>
        <w:t>” means a Non-COC Involuntary Termination or a COC Involuntary Termination, in each case, under the circumstances described in Section 4 or Section 5, as applicable.</w:t>
      </w:r>
    </w:p>
    <w:p>
      <w:pPr>
        <w:spacing w:after="0" w:line="4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2"/>
          <w:szCs w:val="22"/>
          <w:color w:val="auto"/>
        </w:rPr>
        <w:t>2.14.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employee of the Company or of any parent or subsidiary of the Company who (a) has been designated by the Administrator to participate in the Plan and (b) has timely and properly executed and delivered a Participation Agreement to the Company.</w:t>
      </w:r>
    </w:p>
    <w:p>
      <w:pPr>
        <w:spacing w:after="0" w:line="6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b w:val="1"/>
          <w:bCs w:val="1"/>
          <w:i w:val="1"/>
          <w:iCs w:val="1"/>
          <w:color w:val="auto"/>
        </w:rPr>
        <w:t>Participation Agreement</w:t>
      </w:r>
      <w:r>
        <w:rPr>
          <w:rFonts w:ascii="Arial" w:cs="Arial" w:eastAsia="Arial" w:hAnsi="Arial"/>
          <w:sz w:val="22"/>
          <w:szCs w:val="22"/>
          <w:color w:val="auto"/>
        </w:rPr>
        <w:t xml:space="preserve">” means the individual agreement (as will be provided in separate cover as </w:t>
      </w:r>
      <w:r>
        <w:rPr>
          <w:rFonts w:ascii="Arial" w:cs="Arial" w:eastAsia="Arial" w:hAnsi="Arial"/>
          <w:sz w:val="22"/>
          <w:szCs w:val="22"/>
          <w:u w:val="single" w:color="auto"/>
          <w:color w:val="auto"/>
        </w:rPr>
        <w:t>Appendix A</w:t>
      </w:r>
      <w:r>
        <w:rPr>
          <w:rFonts w:ascii="Arial" w:cs="Arial" w:eastAsia="Arial" w:hAnsi="Arial"/>
          <w:sz w:val="22"/>
          <w:szCs w:val="22"/>
          <w:color w:val="auto"/>
        </w:rPr>
        <w:t>) provided by the Administrator to a Participant under the Plan, which has been signed and accepted by the Participant.</w:t>
      </w:r>
    </w:p>
    <w:p>
      <w:pPr>
        <w:spacing w:after="0" w:line="62"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2"/>
          <w:szCs w:val="22"/>
          <w:color w:val="auto"/>
        </w:rPr>
        <w:t>2.16.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the Fluidigm Corporation 2020 Change of Control and Severance Plan as set forth in this document and as hereafter amended from time to time.</w:t>
      </w:r>
    </w:p>
    <w:p>
      <w:pPr>
        <w:spacing w:after="0" w:line="4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2"/>
          <w:szCs w:val="22"/>
          <w:color w:val="auto"/>
        </w:rPr>
        <w:t>2.17. “</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means Section 409A of the Code and the final regulations and any guidance promulgated thereunder.</w:t>
      </w:r>
    </w:p>
    <w:p>
      <w:pPr>
        <w:spacing w:after="0" w:line="4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2.18. “</w:t>
      </w:r>
      <w:r>
        <w:rPr>
          <w:rFonts w:ascii="Arial" w:cs="Arial" w:eastAsia="Arial" w:hAnsi="Arial"/>
          <w:sz w:val="22"/>
          <w:szCs w:val="22"/>
          <w:b w:val="1"/>
          <w:bCs w:val="1"/>
          <w:i w:val="1"/>
          <w:iCs w:val="1"/>
          <w:color w:val="auto"/>
        </w:rPr>
        <w:t>Section 409A Limit</w:t>
      </w:r>
      <w:r>
        <w:rPr>
          <w:rFonts w:ascii="Arial" w:cs="Arial" w:eastAsia="Arial" w:hAnsi="Arial"/>
          <w:sz w:val="22"/>
          <w:szCs w:val="22"/>
          <w:color w:val="auto"/>
        </w:rPr>
        <w:t>” means two (2) times the lesser of: (i) the Participant’s annualized compensation based upon the annual rate of pay paid to the Participant during the taxable year preceding the taxable year of the Participant’s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 (17) of the Code for the year in which the Participant’s employment is terminated.</w:t>
      </w:r>
    </w:p>
    <w:p>
      <w:pPr>
        <w:spacing w:after="0" w:line="7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2"/>
          <w:szCs w:val="22"/>
          <w:color w:val="auto"/>
        </w:rPr>
        <w:t>2.19. “</w:t>
      </w:r>
      <w:r>
        <w:rPr>
          <w:rFonts w:ascii="Arial" w:cs="Arial" w:eastAsia="Arial" w:hAnsi="Arial"/>
          <w:sz w:val="22"/>
          <w:szCs w:val="22"/>
          <w:b w:val="1"/>
          <w:bCs w:val="1"/>
          <w:i w:val="1"/>
          <w:iCs w:val="1"/>
          <w:color w:val="auto"/>
        </w:rPr>
        <w:t>Severance Benefits</w:t>
      </w:r>
      <w:r>
        <w:rPr>
          <w:rFonts w:ascii="Arial" w:cs="Arial" w:eastAsia="Arial" w:hAnsi="Arial"/>
          <w:sz w:val="22"/>
          <w:szCs w:val="22"/>
          <w:color w:val="auto"/>
        </w:rPr>
        <w:t>” means the compensation and other benefits that the Participant will be provided in the circumstances described in Section 4 or Section 5 of the Plan, as applicable.</w:t>
      </w:r>
    </w:p>
    <w:p>
      <w:pPr>
        <w:spacing w:after="0" w:line="43" w:lineRule="exact"/>
        <w:rPr>
          <w:sz w:val="20"/>
          <w:szCs w:val="20"/>
          <w:color w:val="auto"/>
        </w:rPr>
      </w:pPr>
    </w:p>
    <w:p>
      <w:pPr>
        <w:ind w:firstLine="656"/>
        <w:spacing w:after="0" w:line="274" w:lineRule="auto"/>
        <w:tabs>
          <w:tab w:leader="none" w:pos="1301"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Eligibility for Severance Benefits</w:t>
      </w:r>
      <w:r>
        <w:rPr>
          <w:rFonts w:ascii="Arial" w:cs="Arial" w:eastAsia="Arial" w:hAnsi="Arial"/>
          <w:sz w:val="22"/>
          <w:szCs w:val="22"/>
          <w:color w:val="auto"/>
        </w:rPr>
        <w:t>. An individual is eligible for Severance Benefits under the Plan,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Section 4 or Section 5, as applicable, only if he or she experiences an Involuntary Termination.</w:t>
      </w:r>
    </w:p>
    <w:p>
      <w:pPr>
        <w:spacing w:after="0" w:line="43" w:lineRule="exact"/>
        <w:rPr>
          <w:rFonts w:ascii="Arial" w:cs="Arial" w:eastAsia="Arial" w:hAnsi="Arial"/>
          <w:sz w:val="22"/>
          <w:szCs w:val="22"/>
          <w:color w:val="auto"/>
        </w:rPr>
      </w:pPr>
    </w:p>
    <w:p>
      <w:pPr>
        <w:jc w:val="both"/>
        <w:ind w:firstLine="656"/>
        <w:spacing w:after="0" w:line="258" w:lineRule="auto"/>
        <w:tabs>
          <w:tab w:leader="none" w:pos="1301"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Involuntary Termination Outside the Change of Control Period</w:t>
      </w:r>
      <w:r>
        <w:rPr>
          <w:rFonts w:ascii="Arial" w:cs="Arial" w:eastAsia="Arial" w:hAnsi="Arial"/>
          <w:sz w:val="22"/>
          <w:szCs w:val="22"/>
          <w:color w:val="auto"/>
        </w:rPr>
        <w:t>. If, outside of the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Period, the Company (or any parent or subsidiary of the Company) terminates the Participant’s employment for a reason other than for Cause,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of 13</w:t>
      </w:r>
    </w:p>
    <w:p>
      <w:pPr>
        <w:sectPr>
          <w:pgSz w:w="11900" w:h="16838" w:orient="portrait"/>
          <w:cols w:equalWidth="0" w:num="1">
            <w:col w:w="11240"/>
          </w:cols>
          <w:pgMar w:left="320" w:top="1417" w:right="339" w:bottom="1440" w:gutter="0" w:footer="0" w:header="0"/>
        </w:sectPr>
      </w:pPr>
    </w:p>
    <w:bookmarkStart w:id="75" w:name="page76"/>
    <w:bookmarkEnd w:id="75"/>
    <w:p>
      <w:pPr>
        <w:jc w:val="both"/>
        <w:spacing w:after="0" w:line="274" w:lineRule="auto"/>
        <w:rPr>
          <w:sz w:val="20"/>
          <w:szCs w:val="20"/>
          <w:color w:val="auto"/>
        </w:rPr>
      </w:pPr>
      <w:r>
        <w:rPr>
          <w:rFonts w:ascii="Arial" w:cs="Arial" w:eastAsia="Arial" w:hAnsi="Arial"/>
          <w:sz w:val="22"/>
          <w:szCs w:val="22"/>
          <w:color w:val="auto"/>
        </w:rPr>
        <w:t>death or Disability (a “</w:t>
      </w:r>
      <w:r>
        <w:rPr>
          <w:rFonts w:ascii="Arial" w:cs="Arial" w:eastAsia="Arial" w:hAnsi="Arial"/>
          <w:sz w:val="22"/>
          <w:szCs w:val="22"/>
          <w:b w:val="1"/>
          <w:bCs w:val="1"/>
          <w:i w:val="1"/>
          <w:iCs w:val="1"/>
          <w:color w:val="auto"/>
        </w:rPr>
        <w:t>Non-COC Involuntary Termination</w:t>
      </w:r>
      <w:r>
        <w:rPr>
          <w:rFonts w:ascii="Arial" w:cs="Arial" w:eastAsia="Arial" w:hAnsi="Arial"/>
          <w:sz w:val="22"/>
          <w:szCs w:val="22"/>
          <w:color w:val="auto"/>
        </w:rPr>
        <w:t>”), subject to the Participant’s compliance with Section 7, the Participant will receive the following Severance Benefits:</w:t>
      </w:r>
    </w:p>
    <w:p>
      <w:pPr>
        <w:spacing w:after="0" w:line="4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color w:val="auto"/>
        </w:rPr>
        <w:t>Cash Severance Benefits</w:t>
      </w:r>
      <w:r>
        <w:rPr>
          <w:rFonts w:ascii="Arial" w:cs="Arial" w:eastAsia="Arial" w:hAnsi="Arial"/>
          <w:sz w:val="22"/>
          <w:szCs w:val="22"/>
          <w:color w:val="auto"/>
        </w:rPr>
        <w:t>. Continued payments of cash severance for the period set forth in the Participant’s Participation Agreement;</w:t>
      </w:r>
    </w:p>
    <w:p>
      <w:pPr>
        <w:spacing w:after="0" w:line="43" w:lineRule="exact"/>
        <w:rPr>
          <w:sz w:val="20"/>
          <w:szCs w:val="20"/>
          <w:color w:val="auto"/>
        </w:rPr>
      </w:pPr>
    </w:p>
    <w:p>
      <w:pPr>
        <w:jc w:val="both"/>
        <w:ind w:left="20" w:firstLine="1296"/>
        <w:spacing w:after="0" w:line="262"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1"/>
          <w:szCs w:val="21"/>
          <w:b w:val="1"/>
          <w:bCs w:val="1"/>
          <w:color w:val="auto"/>
        </w:rPr>
        <w:t>Continued Medical Benefits</w:t>
      </w:r>
      <w:r>
        <w:rPr>
          <w:rFonts w:ascii="Arial" w:cs="Arial" w:eastAsia="Arial" w:hAnsi="Arial"/>
          <w:sz w:val="20"/>
          <w:szCs w:val="20"/>
          <w:color w:val="auto"/>
        </w:rPr>
        <w:t xml:space="preserve"> </w:t>
      </w:r>
      <w:r>
        <w:rPr>
          <w:rFonts w:ascii="Arial" w:cs="Arial" w:eastAsia="Arial" w:hAnsi="Arial"/>
          <w:sz w:val="21"/>
          <w:szCs w:val="21"/>
          <w:color w:val="auto"/>
        </w:rPr>
        <w:t>. If the Participant and any spouse and/or other dependents of the</w:t>
      </w:r>
      <w:r>
        <w:rPr>
          <w:rFonts w:ascii="Arial" w:cs="Arial" w:eastAsia="Arial" w:hAnsi="Arial"/>
          <w:sz w:val="20"/>
          <w:szCs w:val="20"/>
          <w:color w:val="auto"/>
        </w:rPr>
        <w:t xml:space="preserve"> </w:t>
      </w:r>
      <w:r>
        <w:rPr>
          <w:rFonts w:ascii="Arial" w:cs="Arial" w:eastAsia="Arial" w:hAnsi="Arial"/>
          <w:sz w:val="21"/>
          <w:szCs w:val="21"/>
          <w:color w:val="auto"/>
        </w:rPr>
        <w:t>Participant (“</w:t>
      </w:r>
      <w:r>
        <w:rPr>
          <w:rFonts w:ascii="Arial" w:cs="Arial" w:eastAsia="Arial" w:hAnsi="Arial"/>
          <w:sz w:val="21"/>
          <w:szCs w:val="21"/>
          <w:b w:val="1"/>
          <w:bCs w:val="1"/>
          <w:i w:val="1"/>
          <w:iCs w:val="1"/>
          <w:color w:val="auto"/>
        </w:rPr>
        <w:t>Family Members</w:t>
      </w:r>
      <w:r>
        <w:rPr>
          <w:rFonts w:ascii="Arial" w:cs="Arial" w:eastAsia="Arial" w:hAnsi="Arial"/>
          <w:sz w:val="21"/>
          <w:szCs w:val="21"/>
          <w:color w:val="auto"/>
        </w:rPr>
        <w:t>”) have coverage on the date of the Participant’s Involuntary Termination under a group health plan sponsored by the Company, the Company will pay on behalf of Participant the total applicable premium cost for continued group health plan coverage under the Consolidated Omnibus Budget Reconciliation Act of 1985, as amended (“</w:t>
      </w:r>
      <w:r>
        <w:rPr>
          <w:rFonts w:ascii="Arial" w:cs="Arial" w:eastAsia="Arial" w:hAnsi="Arial"/>
          <w:sz w:val="21"/>
          <w:szCs w:val="21"/>
          <w:b w:val="1"/>
          <w:bCs w:val="1"/>
          <w:i w:val="1"/>
          <w:iCs w:val="1"/>
          <w:color w:val="auto"/>
        </w:rPr>
        <w:t>COBRA</w:t>
      </w:r>
      <w:r>
        <w:rPr>
          <w:rFonts w:ascii="Arial" w:cs="Arial" w:eastAsia="Arial" w:hAnsi="Arial"/>
          <w:sz w:val="21"/>
          <w:szCs w:val="21"/>
          <w:color w:val="auto"/>
        </w:rPr>
        <w:t>”) during the period of time following the Participant’s employment termination, as set forth in the Participant’s Participation Agreement, provided that the Participant validly elects and is eligible to continue coverage under COBRA for the Participant and any such Family Members; and</w:t>
      </w:r>
    </w:p>
    <w:p>
      <w:pPr>
        <w:spacing w:after="0" w:line="58" w:lineRule="exact"/>
        <w:rPr>
          <w:sz w:val="20"/>
          <w:szCs w:val="20"/>
          <w:color w:val="auto"/>
        </w:rPr>
      </w:pPr>
    </w:p>
    <w:p>
      <w:pPr>
        <w:jc w:val="both"/>
        <w:ind w:left="20" w:firstLine="1296"/>
        <w:spacing w:after="0" w:line="276"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1"/>
          <w:szCs w:val="21"/>
          <w:b w:val="1"/>
          <w:bCs w:val="1"/>
          <w:color w:val="auto"/>
        </w:rPr>
        <w:t>Outplacement Services</w:t>
      </w:r>
      <w:r>
        <w:rPr>
          <w:rFonts w:ascii="Arial" w:cs="Arial" w:eastAsia="Arial" w:hAnsi="Arial"/>
          <w:sz w:val="21"/>
          <w:szCs w:val="21"/>
          <w:color w:val="auto"/>
        </w:rPr>
        <w:t>. Reasonable outplacement services in accordance with any applicable</w:t>
      </w:r>
      <w:r>
        <w:rPr>
          <w:rFonts w:ascii="Arial" w:cs="Arial" w:eastAsia="Arial" w:hAnsi="Arial"/>
          <w:sz w:val="20"/>
          <w:szCs w:val="20"/>
          <w:color w:val="auto"/>
        </w:rPr>
        <w:t xml:space="preserve"> </w:t>
      </w:r>
      <w:r>
        <w:rPr>
          <w:rFonts w:ascii="Arial" w:cs="Arial" w:eastAsia="Arial" w:hAnsi="Arial"/>
          <w:sz w:val="21"/>
          <w:szCs w:val="21"/>
          <w:color w:val="auto"/>
        </w:rPr>
        <w:t>Company policy in effect as of the Participant’s Non-COC Involuntary Termination (or if no such policy is in effect, as determined by the Company, in its sole discretion).</w:t>
      </w:r>
    </w:p>
    <w:p>
      <w:pPr>
        <w:spacing w:after="0" w:line="44" w:lineRule="exact"/>
        <w:rPr>
          <w:sz w:val="20"/>
          <w:szCs w:val="20"/>
          <w:color w:val="auto"/>
        </w:rPr>
      </w:pPr>
    </w:p>
    <w:p>
      <w:pPr>
        <w:jc w:val="both"/>
        <w:ind w:firstLine="656"/>
        <w:spacing w:after="0" w:line="249" w:lineRule="auto"/>
        <w:tabs>
          <w:tab w:leader="none" w:pos="1301"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Involuntary Termination During the Change of Control Period</w:t>
      </w:r>
      <w:r>
        <w:rPr>
          <w:rFonts w:ascii="Arial" w:cs="Arial" w:eastAsia="Arial" w:hAnsi="Arial"/>
          <w:sz w:val="22"/>
          <w:szCs w:val="22"/>
          <w:color w:val="auto"/>
        </w:rPr>
        <w:t>. If, during the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Period, (i) a Participant terminates his or her employment with the Company (or any parent or subsidiary of the Company) for Good Reason, or (ii) the Company (or any parent or subsidiary of the Company) terminates the Participant’s employment for a reason other than Cause or the Participant’s death or Disability (a “</w:t>
      </w:r>
      <w:r>
        <w:rPr>
          <w:rFonts w:ascii="Arial" w:cs="Arial" w:eastAsia="Arial" w:hAnsi="Arial"/>
          <w:sz w:val="22"/>
          <w:szCs w:val="22"/>
          <w:b w:val="1"/>
          <w:bCs w:val="1"/>
          <w:i w:val="1"/>
          <w:iCs w:val="1"/>
          <w:color w:val="auto"/>
        </w:rPr>
        <w:t>COC Involuntary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Termination</w:t>
      </w:r>
      <w:r>
        <w:rPr>
          <w:rFonts w:ascii="Arial" w:cs="Arial" w:eastAsia="Arial" w:hAnsi="Arial"/>
          <w:sz w:val="22"/>
          <w:szCs w:val="22"/>
          <w:color w:val="auto"/>
        </w:rPr>
        <w:t>”), then, in each case, subject to the Participant’s compliance with Section 7, the Participant will receive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following Severance Benefits:</w:t>
      </w:r>
    </w:p>
    <w:p>
      <w:pPr>
        <w:spacing w:after="0" w:line="72" w:lineRule="exact"/>
        <w:rPr>
          <w:sz w:val="20"/>
          <w:szCs w:val="20"/>
          <w:color w:val="auto"/>
        </w:rPr>
      </w:pPr>
    </w:p>
    <w:p>
      <w:pPr>
        <w:jc w:val="both"/>
        <w:ind w:left="20" w:firstLine="1296"/>
        <w:spacing w:after="0" w:line="298"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1"/>
          <w:szCs w:val="21"/>
          <w:b w:val="1"/>
          <w:bCs w:val="1"/>
          <w:color w:val="auto"/>
        </w:rPr>
        <w:t>Cash Severance Benefits</w:t>
      </w:r>
      <w:r>
        <w:rPr>
          <w:rFonts w:ascii="Arial" w:cs="Arial" w:eastAsia="Arial" w:hAnsi="Arial"/>
          <w:sz w:val="21"/>
          <w:szCs w:val="21"/>
          <w:color w:val="auto"/>
        </w:rPr>
        <w:t>. A lump-sum payment of cash severance and/or bonus equal to the</w:t>
      </w:r>
      <w:r>
        <w:rPr>
          <w:rFonts w:ascii="Arial" w:cs="Arial" w:eastAsia="Arial" w:hAnsi="Arial"/>
          <w:sz w:val="20"/>
          <w:szCs w:val="20"/>
          <w:color w:val="auto"/>
        </w:rPr>
        <w:t xml:space="preserve"> </w:t>
      </w:r>
      <w:r>
        <w:rPr>
          <w:rFonts w:ascii="Arial" w:cs="Arial" w:eastAsia="Arial" w:hAnsi="Arial"/>
          <w:sz w:val="21"/>
          <w:szCs w:val="21"/>
          <w:color w:val="auto"/>
        </w:rPr>
        <w:t>amount set forth in the Participant’s Participation Agreement;</w:t>
      </w:r>
    </w:p>
    <w:p>
      <w:pPr>
        <w:spacing w:after="0" w:line="21" w:lineRule="exact"/>
        <w:rPr>
          <w:sz w:val="20"/>
          <w:szCs w:val="20"/>
          <w:color w:val="auto"/>
        </w:rPr>
      </w:pPr>
    </w:p>
    <w:p>
      <w:pPr>
        <w:jc w:val="both"/>
        <w:ind w:left="20" w:right="20" w:firstLine="1296"/>
        <w:spacing w:after="0" w:line="298"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1"/>
          <w:szCs w:val="21"/>
          <w:b w:val="1"/>
          <w:bCs w:val="1"/>
          <w:color w:val="auto"/>
        </w:rPr>
        <w:t>Equity Award Vesting Acceleration Benefit</w:t>
      </w:r>
      <w:r>
        <w:rPr>
          <w:rFonts w:ascii="Arial" w:cs="Arial" w:eastAsia="Arial" w:hAnsi="Arial"/>
          <w:sz w:val="21"/>
          <w:szCs w:val="21"/>
          <w:color w:val="auto"/>
        </w:rPr>
        <w:t>. The Participant’s Equity Awards will accelerate and</w:t>
      </w:r>
      <w:r>
        <w:rPr>
          <w:rFonts w:ascii="Arial" w:cs="Arial" w:eastAsia="Arial" w:hAnsi="Arial"/>
          <w:sz w:val="20"/>
          <w:szCs w:val="20"/>
          <w:color w:val="auto"/>
        </w:rPr>
        <w:t xml:space="preserve"> </w:t>
      </w:r>
      <w:r>
        <w:rPr>
          <w:rFonts w:ascii="Arial" w:cs="Arial" w:eastAsia="Arial" w:hAnsi="Arial"/>
          <w:sz w:val="21"/>
          <w:szCs w:val="21"/>
          <w:color w:val="auto"/>
        </w:rPr>
        <w:t>vest to the amount set forth in the Participant’s Participation Agreement, as applicable;</w:t>
      </w:r>
    </w:p>
    <w:p>
      <w:pPr>
        <w:spacing w:after="0" w:line="21" w:lineRule="exact"/>
        <w:rPr>
          <w:sz w:val="20"/>
          <w:szCs w:val="20"/>
          <w:color w:val="auto"/>
        </w:rPr>
      </w:pPr>
    </w:p>
    <w:p>
      <w:pPr>
        <w:jc w:val="both"/>
        <w:ind w:left="20" w:firstLine="1296"/>
        <w:spacing w:after="0" w:line="263"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1"/>
          <w:szCs w:val="21"/>
          <w:b w:val="1"/>
          <w:bCs w:val="1"/>
          <w:color w:val="auto"/>
        </w:rPr>
        <w:t>Continued Medical Benefits</w:t>
      </w:r>
      <w:r>
        <w:rPr>
          <w:rFonts w:ascii="Arial" w:cs="Arial" w:eastAsia="Arial" w:hAnsi="Arial"/>
          <w:sz w:val="21"/>
          <w:szCs w:val="21"/>
          <w:color w:val="auto"/>
        </w:rPr>
        <w:t>. If the Participant, and any Family Member(s) has/have coverage on</w:t>
      </w:r>
      <w:r>
        <w:rPr>
          <w:rFonts w:ascii="Arial" w:cs="Arial" w:eastAsia="Arial" w:hAnsi="Arial"/>
          <w:sz w:val="20"/>
          <w:szCs w:val="20"/>
          <w:color w:val="auto"/>
        </w:rPr>
        <w:t xml:space="preserve"> </w:t>
      </w:r>
      <w:r>
        <w:rPr>
          <w:rFonts w:ascii="Arial" w:cs="Arial" w:eastAsia="Arial" w:hAnsi="Arial"/>
          <w:sz w:val="21"/>
          <w:szCs w:val="21"/>
          <w:color w:val="auto"/>
        </w:rPr>
        <w:t>the date of the Participant’s Involuntary Termination under a group health plan sponsored by the Company, the Company will pay on behalf of Participant the total applicable premium cost for continued group health plan coverage under the COBRA during the period of time following the Participant’s employment termination, as set forth in the Participant’s Participation Agreement, provided that the Participant validly elects and is eligible to continue coverage under COBRA for the Participant and his or her Family Members; and</w:t>
      </w:r>
    </w:p>
    <w:p>
      <w:pPr>
        <w:spacing w:after="0" w:line="59" w:lineRule="exact"/>
        <w:rPr>
          <w:sz w:val="20"/>
          <w:szCs w:val="20"/>
          <w:color w:val="auto"/>
        </w:rPr>
      </w:pPr>
    </w:p>
    <w:p>
      <w:pPr>
        <w:jc w:val="both"/>
        <w:ind w:left="20" w:firstLine="1296"/>
        <w:spacing w:after="0" w:line="269"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1"/>
          <w:szCs w:val="21"/>
          <w:b w:val="1"/>
          <w:bCs w:val="1"/>
          <w:color w:val="auto"/>
        </w:rPr>
        <w:t>Outplacement Services</w:t>
      </w:r>
      <w:r>
        <w:rPr>
          <w:rFonts w:ascii="Arial" w:cs="Arial" w:eastAsia="Arial" w:hAnsi="Arial"/>
          <w:sz w:val="21"/>
          <w:szCs w:val="21"/>
          <w:color w:val="auto"/>
        </w:rPr>
        <w:t>. Reasonable outplacement services in accordance with any applicable</w:t>
      </w:r>
      <w:r>
        <w:rPr>
          <w:rFonts w:ascii="Arial" w:cs="Arial" w:eastAsia="Arial" w:hAnsi="Arial"/>
          <w:sz w:val="20"/>
          <w:szCs w:val="20"/>
          <w:color w:val="auto"/>
        </w:rPr>
        <w:t xml:space="preserve"> </w:t>
      </w:r>
      <w:r>
        <w:rPr>
          <w:rFonts w:ascii="Arial" w:cs="Arial" w:eastAsia="Arial" w:hAnsi="Arial"/>
          <w:sz w:val="21"/>
          <w:szCs w:val="21"/>
          <w:color w:val="auto"/>
        </w:rPr>
        <w:t>Company policy in effect as of the Participant’s COC Involuntary Termination (or if no such policy is in effect, as determined by the Company, in its sole discretion); provided, however, that such outplacement services shall be in no case less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of 13</w:t>
      </w:r>
    </w:p>
    <w:p>
      <w:pPr>
        <w:sectPr>
          <w:pgSz w:w="11900" w:h="16838" w:orient="portrait"/>
          <w:cols w:equalWidth="0" w:num="1">
            <w:col w:w="11240"/>
          </w:cols>
          <w:pgMar w:left="320" w:top="1417" w:right="339" w:bottom="1440" w:gutter="0" w:footer="0" w:header="0"/>
        </w:sectPr>
      </w:pPr>
    </w:p>
    <w:bookmarkStart w:id="76" w:name="page77"/>
    <w:bookmarkEnd w:id="76"/>
    <w:p>
      <w:pPr>
        <w:spacing w:after="0" w:line="3" w:lineRule="exact"/>
        <w:rPr>
          <w:sz w:val="20"/>
          <w:szCs w:val="20"/>
          <w:color w:val="auto"/>
        </w:rPr>
      </w:pPr>
    </w:p>
    <w:p>
      <w:pPr>
        <w:ind w:left="20"/>
        <w:spacing w:after="0" w:line="249" w:lineRule="auto"/>
        <w:rPr>
          <w:sz w:val="20"/>
          <w:szCs w:val="20"/>
          <w:color w:val="auto"/>
        </w:rPr>
      </w:pPr>
      <w:r>
        <w:rPr>
          <w:rFonts w:ascii="Arial" w:cs="Arial" w:eastAsia="Arial" w:hAnsi="Arial"/>
          <w:sz w:val="22"/>
          <w:szCs w:val="22"/>
          <w:color w:val="auto"/>
        </w:rPr>
        <w:t>the outplacement services provided under any applicable Company policy in effect immediately prior to the applicable Change of Control.</w:t>
      </w:r>
    </w:p>
    <w:p>
      <w:pPr>
        <w:spacing w:after="0" w:line="70" w:lineRule="exact"/>
        <w:rPr>
          <w:sz w:val="20"/>
          <w:szCs w:val="20"/>
          <w:color w:val="auto"/>
        </w:rPr>
      </w:pPr>
    </w:p>
    <w:p>
      <w:pPr>
        <w:jc w:val="both"/>
        <w:ind w:firstLine="656"/>
        <w:spacing w:after="0" w:line="253" w:lineRule="auto"/>
        <w:tabs>
          <w:tab w:leader="none" w:pos="1301"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Limitation on Payments</w:t>
      </w:r>
      <w:r>
        <w:rPr>
          <w:rFonts w:ascii="Arial" w:cs="Arial" w:eastAsia="Arial" w:hAnsi="Arial"/>
          <w:sz w:val="22"/>
          <w:szCs w:val="22"/>
          <w:color w:val="auto"/>
        </w:rPr>
        <w:t>. In the event that the severance and other benefits provided for in this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w:t>
      </w:r>
      <w:r>
        <w:rPr>
          <w:rFonts w:ascii="Arial" w:cs="Arial" w:eastAsia="Arial" w:hAnsi="Arial"/>
          <w:sz w:val="22"/>
          <w:szCs w:val="22"/>
          <w:b w:val="1"/>
          <w:bCs w:val="1"/>
          <w:i w:val="1"/>
          <w:iCs w:val="1"/>
          <w:color w:val="auto"/>
        </w:rPr>
        <w:t>280G Payments</w:t>
      </w:r>
      <w:r>
        <w:rPr>
          <w:rFonts w:ascii="Arial" w:cs="Arial" w:eastAsia="Arial" w:hAnsi="Arial"/>
          <w:sz w:val="22"/>
          <w:szCs w:val="22"/>
          <w:color w:val="auto"/>
        </w:rPr>
        <w:t>”) payable to a Participant (i) constitute “parachute payments” within the meaning of Section 280G of the Code, and (ii) but for this Section 6, would be subject to the excise tax imposed by Section 4999 of the Code, then the 280G Payments will be either:</w:t>
      </w:r>
    </w:p>
    <w:p>
      <w:pPr>
        <w:spacing w:after="0" w:line="93" w:lineRule="exact"/>
        <w:rPr>
          <w:sz w:val="20"/>
          <w:szCs w:val="20"/>
          <w:color w:val="auto"/>
        </w:rPr>
      </w:pPr>
    </w:p>
    <w:p>
      <w:pPr>
        <w:ind w:left="1320"/>
        <w:spacing w:after="0"/>
        <w:rPr>
          <w:sz w:val="20"/>
          <w:szCs w:val="20"/>
          <w:color w:val="auto"/>
        </w:rPr>
      </w:pPr>
      <w:r>
        <w:rPr>
          <w:rFonts w:ascii="Arial" w:cs="Arial" w:eastAsia="Arial" w:hAnsi="Arial"/>
          <w:sz w:val="20"/>
          <w:szCs w:val="20"/>
          <w:color w:val="auto"/>
        </w:rPr>
        <w:t>6</w:t>
      </w:r>
      <w:r>
        <w:rPr>
          <w:rFonts w:ascii="Arial" w:cs="Arial" w:eastAsia="Arial" w:hAnsi="Arial"/>
          <w:sz w:val="21"/>
          <w:szCs w:val="21"/>
          <w:color w:val="auto"/>
        </w:rPr>
        <w:t>.1. delivered in full, or</w:t>
      </w:r>
    </w:p>
    <w:p>
      <w:pPr>
        <w:spacing w:after="0" w:line="123" w:lineRule="exact"/>
        <w:rPr>
          <w:sz w:val="20"/>
          <w:szCs w:val="20"/>
          <w:color w:val="auto"/>
        </w:rPr>
      </w:pPr>
    </w:p>
    <w:p>
      <w:pPr>
        <w:jc w:val="both"/>
        <w:ind w:left="20" w:firstLine="1296"/>
        <w:spacing w:after="0" w:line="254" w:lineRule="auto"/>
        <w:rPr>
          <w:sz w:val="20"/>
          <w:szCs w:val="20"/>
          <w:color w:val="auto"/>
        </w:rPr>
      </w:pPr>
      <w:r>
        <w:rPr>
          <w:rFonts w:ascii="Arial" w:cs="Arial" w:eastAsia="Arial" w:hAnsi="Arial"/>
          <w:sz w:val="20"/>
          <w:szCs w:val="20"/>
          <w:color w:val="auto"/>
        </w:rPr>
        <w:t>6</w:t>
      </w:r>
      <w:r>
        <w:rPr>
          <w:rFonts w:ascii="Arial" w:cs="Arial" w:eastAsia="Arial" w:hAnsi="Arial"/>
          <w:sz w:val="21"/>
          <w:szCs w:val="21"/>
          <w:color w:val="auto"/>
        </w:rPr>
        <w:t>.2. delivered as to such lesser extent as would result in no portion of such benefits being subject to</w:t>
      </w:r>
      <w:r>
        <w:rPr>
          <w:rFonts w:ascii="Arial" w:cs="Arial" w:eastAsia="Arial" w:hAnsi="Arial"/>
          <w:sz w:val="20"/>
          <w:szCs w:val="20"/>
          <w:color w:val="auto"/>
        </w:rPr>
        <w:t xml:space="preserve"> </w:t>
      </w:r>
      <w:r>
        <w:rPr>
          <w:rFonts w:ascii="Arial" w:cs="Arial" w:eastAsia="Arial" w:hAnsi="Arial"/>
          <w:sz w:val="21"/>
          <w:szCs w:val="21"/>
          <w:color w:val="auto"/>
        </w:rPr>
        <w:t>excise tax under Section 4999 of the Code, whichever of the foregoing amounts, taking into account the applicable federal, state and local income taxes and the excise tax imposed by Section 4999, results in the receipt by the Participant on an after-tax basis, of the greatest amount of benefits, notwithstanding that all or some portion of such benefits may be taxable under Section 4999. If a reduction in severance and other benefits constituting “parachute payments” is necessary so that benefits are delivered to a lesser extent, reduction will occur in the following order: (a) cancellation of awards granted “contingent on a change in ownership or control” (within the meaning of Code Section 280G); (b) a pro rata reduction of (i) cash payments that are subject to Section 409A as deferred compensation and</w:t>
      </w:r>
    </w:p>
    <w:p>
      <w:pPr>
        <w:spacing w:after="0" w:line="7" w:lineRule="exact"/>
        <w:rPr>
          <w:sz w:val="20"/>
          <w:szCs w:val="20"/>
          <w:color w:val="auto"/>
        </w:rPr>
      </w:pPr>
    </w:p>
    <w:p>
      <w:pPr>
        <w:jc w:val="both"/>
        <w:ind w:left="20" w:hanging="6"/>
        <w:spacing w:after="0" w:line="254" w:lineRule="auto"/>
        <w:tabs>
          <w:tab w:leader="none" w:pos="339" w:val="left"/>
        </w:tabs>
        <w:numPr>
          <w:ilvl w:val="0"/>
          <w:numId w:val="34"/>
        </w:numPr>
        <w:rPr>
          <w:rFonts w:ascii="Arial" w:cs="Arial" w:eastAsia="Arial" w:hAnsi="Arial"/>
          <w:sz w:val="21"/>
          <w:szCs w:val="21"/>
          <w:color w:val="auto"/>
        </w:rPr>
      </w:pPr>
      <w:r>
        <w:rPr>
          <w:rFonts w:ascii="Arial" w:cs="Arial" w:eastAsia="Arial" w:hAnsi="Arial"/>
          <w:sz w:val="21"/>
          <w:szCs w:val="21"/>
          <w:color w:val="auto"/>
        </w:rPr>
        <w:t>cash payments not subject to Section 409A; (c) a pro rata reduction of (i) employee benefits that are subject to Section 409A as deferred compensation and (ii) employee benefits not subject to Section 409A; and (d) a pro rata cancellation of (i) accelerated vesting equity awards that are subject to Section 409A as deferred compensation and</w:t>
      </w:r>
    </w:p>
    <w:p>
      <w:pPr>
        <w:spacing w:after="0" w:line="2" w:lineRule="exact"/>
        <w:rPr>
          <w:rFonts w:ascii="Arial" w:cs="Arial" w:eastAsia="Arial" w:hAnsi="Arial"/>
          <w:sz w:val="21"/>
          <w:szCs w:val="21"/>
          <w:color w:val="auto"/>
        </w:rPr>
      </w:pPr>
    </w:p>
    <w:p>
      <w:pPr>
        <w:jc w:val="both"/>
        <w:ind w:left="20" w:hanging="6"/>
        <w:spacing w:after="0" w:line="244" w:lineRule="auto"/>
        <w:tabs>
          <w:tab w:leader="none" w:pos="35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equity awards not subject to Section 409A. In the event that acceleration of vesting of equity awards is to be cancelled, such acceleration of vesting will be cancelled in the reverse order of the date of grant of the Participant’s equity awards. Notwithstanding the foregoing, to the extent the Company submits any payment or benefit payable to the Participant under this Plan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the Participant and in the order prescribed by this Section 6.</w:t>
      </w:r>
    </w:p>
    <w:p>
      <w:pPr>
        <w:spacing w:after="0" w:line="10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Unless the Participant and the Company otherwise agree in writing, any determination required under this Section 6 will be made in writing by the Company’s independent public accountants immediately prior to the Change of Control or such other person or entity to which the parties mutually agree (the “</w:t>
      </w:r>
      <w:r>
        <w:rPr>
          <w:rFonts w:ascii="Arial" w:cs="Arial" w:eastAsia="Arial" w:hAnsi="Arial"/>
          <w:sz w:val="22"/>
          <w:szCs w:val="22"/>
          <w:b w:val="1"/>
          <w:bCs w:val="1"/>
          <w:i w:val="1"/>
          <w:iCs w:val="1"/>
          <w:color w:val="auto"/>
        </w:rPr>
        <w:t>Firm</w:t>
      </w:r>
      <w:r>
        <w:rPr>
          <w:rFonts w:ascii="Arial" w:cs="Arial" w:eastAsia="Arial" w:hAnsi="Arial"/>
          <w:sz w:val="22"/>
          <w:szCs w:val="22"/>
          <w:color w:val="auto"/>
        </w:rPr>
        <w:t>”), whose determination will be conclusive and binding upon the Participant and the Company. For purposes of making the calculations required by this Section 6 the Firm may make reasonable assumptions and approximations concerning applicable taxes and may rely on reasonable, good faith interpretations concerning the application of Sections 280G and 4999 of the Code. The Participant and the Company will furnish to the Firm such information and documents as the Firm may reasonably request in order to make a determination under this Section 6. The Company will bear all costs the Firm may incur in connection with any calculations contemplated by this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of 13</w:t>
      </w:r>
    </w:p>
    <w:p>
      <w:pPr>
        <w:sectPr>
          <w:pgSz w:w="11900" w:h="16838" w:orient="portrait"/>
          <w:cols w:equalWidth="0" w:num="1">
            <w:col w:w="11240"/>
          </w:cols>
          <w:pgMar w:left="320" w:top="1440" w:right="339" w:bottom="1440" w:gutter="0" w:footer="0" w:header="0"/>
        </w:sectPr>
      </w:pPr>
    </w:p>
    <w:bookmarkStart w:id="77" w:name="page78"/>
    <w:bookmarkEnd w:id="77"/>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112" w:lineRule="exact"/>
        <w:rPr>
          <w:sz w:val="20"/>
          <w:szCs w:val="20"/>
          <w:color w:val="auto"/>
        </w:rPr>
      </w:pPr>
    </w:p>
    <w:p>
      <w:pPr>
        <w:jc w:val="both"/>
        <w:ind w:left="20" w:firstLine="1296"/>
        <w:spacing w:after="0" w:line="262"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1"/>
          <w:szCs w:val="21"/>
          <w:b w:val="1"/>
          <w:bCs w:val="1"/>
          <w:color w:val="auto"/>
        </w:rPr>
        <w:t>Release Agreement</w:t>
      </w:r>
      <w:r>
        <w:rPr>
          <w:rFonts w:ascii="Arial" w:cs="Arial" w:eastAsia="Arial" w:hAnsi="Arial"/>
          <w:sz w:val="21"/>
          <w:szCs w:val="21"/>
          <w:color w:val="auto"/>
        </w:rPr>
        <w:t>. As a condition to receiving the Severance Benefits under this Plan, each</w:t>
      </w:r>
      <w:r>
        <w:rPr>
          <w:rFonts w:ascii="Arial" w:cs="Arial" w:eastAsia="Arial" w:hAnsi="Arial"/>
          <w:sz w:val="20"/>
          <w:szCs w:val="20"/>
          <w:color w:val="auto"/>
        </w:rPr>
        <w:t xml:space="preserve"> </w:t>
      </w:r>
      <w:r>
        <w:rPr>
          <w:rFonts w:ascii="Arial" w:cs="Arial" w:eastAsia="Arial" w:hAnsi="Arial"/>
          <w:sz w:val="21"/>
          <w:szCs w:val="21"/>
          <w:color w:val="auto"/>
        </w:rPr>
        <w:t xml:space="preserve">Participant will be required to sign and not revoke a separation and release of claims agreement in substantially the form attached this Plan as </w:t>
      </w:r>
      <w:r>
        <w:rPr>
          <w:rFonts w:ascii="Arial" w:cs="Arial" w:eastAsia="Arial" w:hAnsi="Arial"/>
          <w:sz w:val="21"/>
          <w:szCs w:val="21"/>
          <w:u w:val="single" w:color="auto"/>
          <w:color w:val="auto"/>
        </w:rPr>
        <w:t>Appendix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In all cases, the Release must become effective and irrevocable no later than the 60th day following the Participant’s Involuntary Termination (the “</w:t>
      </w:r>
      <w:r>
        <w:rPr>
          <w:rFonts w:ascii="Arial" w:cs="Arial" w:eastAsia="Arial" w:hAnsi="Arial"/>
          <w:sz w:val="21"/>
          <w:szCs w:val="21"/>
          <w:b w:val="1"/>
          <w:bCs w:val="1"/>
          <w:i w:val="1"/>
          <w:iCs w:val="1"/>
          <w:color w:val="auto"/>
        </w:rPr>
        <w:t>Release Deadline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Date</w:t>
      </w:r>
      <w:r>
        <w:rPr>
          <w:rFonts w:ascii="Arial" w:cs="Arial" w:eastAsia="Arial" w:hAnsi="Arial"/>
          <w:sz w:val="21"/>
          <w:szCs w:val="21"/>
          <w:color w:val="auto"/>
        </w:rPr>
        <w:t>”). If the Release does not become effective and irrevocable by the Release Deadline Date, the Participant will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forfeit any right to the Severance Benefits. In no event will the Severance Benefits be paid or provided until the Release becomes effective and irrevocable.</w:t>
      </w:r>
    </w:p>
    <w:p>
      <w:pPr>
        <w:spacing w:after="0" w:line="58"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Other Requirements</w:t>
      </w:r>
      <w:r>
        <w:rPr>
          <w:rFonts w:ascii="Arial" w:cs="Arial" w:eastAsia="Arial" w:hAnsi="Arial"/>
          <w:sz w:val="22"/>
          <w:szCs w:val="22"/>
          <w:color w:val="auto"/>
        </w:rPr>
        <w:t>. A Participant’s receipt of Severance Benefits will be subject to the Participant continuing to comply with the provisions of this Section 7 and the terms of any confidentiality, proprietary information and inventions agreement and such other appropriate agreement between the Participant and the Company. Severance Benefits under this Plan will terminate immediately for a Participant if the Participant, at any time, violates any such agreement and/or the provisions of this Section 7.</w:t>
      </w:r>
    </w:p>
    <w:p>
      <w:pPr>
        <w:spacing w:after="0" w:line="68" w:lineRule="exact"/>
        <w:rPr>
          <w:sz w:val="20"/>
          <w:szCs w:val="20"/>
          <w:color w:val="auto"/>
        </w:rPr>
      </w:pPr>
    </w:p>
    <w:p>
      <w:pPr>
        <w:jc w:val="both"/>
        <w:ind w:firstLine="656"/>
        <w:spacing w:after="0" w:line="248" w:lineRule="auto"/>
        <w:tabs>
          <w:tab w:leader="none" w:pos="1301"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Timing of Severance Benefits</w:t>
      </w:r>
      <w:r>
        <w:rPr>
          <w:rFonts w:ascii="Arial" w:cs="Arial" w:eastAsia="Arial" w:hAnsi="Arial"/>
          <w:sz w:val="22"/>
          <w:szCs w:val="22"/>
          <w:color w:val="auto"/>
        </w:rPr>
        <w:t>. Provided that the Release becomes effective and irrevocable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Deadline Date and subject to Section 10, the Severance Benefits will be paid (or in the case of Severance Benefits scheduled to be paid installments, will commence) on the first Company payroll date following the Release Deadline Date (such payment date, the “</w:t>
      </w:r>
      <w:r>
        <w:rPr>
          <w:rFonts w:ascii="Arial" w:cs="Arial" w:eastAsia="Arial" w:hAnsi="Arial"/>
          <w:sz w:val="22"/>
          <w:szCs w:val="22"/>
          <w:b w:val="1"/>
          <w:bCs w:val="1"/>
          <w:i w:val="1"/>
          <w:iCs w:val="1"/>
          <w:color w:val="auto"/>
        </w:rPr>
        <w:t>Severance Start Date</w:t>
      </w:r>
      <w:r>
        <w:rPr>
          <w:rFonts w:ascii="Arial" w:cs="Arial" w:eastAsia="Arial" w:hAnsi="Arial"/>
          <w:sz w:val="22"/>
          <w:szCs w:val="22"/>
          <w:color w:val="auto"/>
        </w:rPr>
        <w:t>”), and any severance payments or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w:t>
      </w:r>
    </w:p>
    <w:p>
      <w:pPr>
        <w:spacing w:after="0" w:line="73" w:lineRule="exact"/>
        <w:rPr>
          <w:rFonts w:ascii="Arial" w:cs="Arial" w:eastAsia="Arial" w:hAnsi="Arial"/>
          <w:sz w:val="22"/>
          <w:szCs w:val="22"/>
          <w:color w:val="auto"/>
        </w:rPr>
      </w:pPr>
    </w:p>
    <w:p>
      <w:pPr>
        <w:jc w:val="both"/>
        <w:ind w:firstLine="656"/>
        <w:spacing w:after="0" w:line="249" w:lineRule="auto"/>
        <w:tabs>
          <w:tab w:leader="none" w:pos="1301"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Exclusive Benefit</w:t>
      </w:r>
      <w:r>
        <w:rPr>
          <w:rFonts w:ascii="Arial" w:cs="Arial" w:eastAsia="Arial" w:hAnsi="Arial"/>
          <w:sz w:val="22"/>
          <w:szCs w:val="22"/>
          <w:color w:val="auto"/>
        </w:rPr>
        <w:t>. The benefits provided under this Plan shall be the exclusive benefit for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to termination of employment and/or change in control and shall supersede and replace any severance and/or change in control benefits set forth in any offer letter, employment agreement and/or severance agreement, including without limitation the Prior Plan. For the avoidance of doubt, if a Participant was otherwise eligible to participate in any other Company severance plan (whether or not subject to ERISA), then participation in this Plan will supersede and replace eligibility in such other plan.</w:t>
      </w:r>
    </w:p>
    <w:p>
      <w:pPr>
        <w:spacing w:after="0" w:line="72" w:lineRule="exact"/>
        <w:rPr>
          <w:rFonts w:ascii="Arial" w:cs="Arial" w:eastAsia="Arial" w:hAnsi="Arial"/>
          <w:sz w:val="22"/>
          <w:szCs w:val="22"/>
          <w:color w:val="auto"/>
        </w:rPr>
      </w:pPr>
    </w:p>
    <w:p>
      <w:pPr>
        <w:ind w:left="1320" w:hanging="664"/>
        <w:spacing w:after="0"/>
        <w:tabs>
          <w:tab w:leader="none" w:pos="132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38"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2"/>
          <w:szCs w:val="22"/>
          <w:color w:val="auto"/>
        </w:rPr>
        <w:t>10.1. Notwithstanding anything to the contrary in this Plan, no severance payments or benefits to be paid or provided to a Participant, if any, under this Plan that, when considered together with any other severance payments or separation benefits, are considered deferred compensation under Section 409A (together, the “</w:t>
      </w:r>
      <w:r>
        <w:rPr>
          <w:rFonts w:ascii="Arial" w:cs="Arial" w:eastAsia="Arial" w:hAnsi="Arial"/>
          <w:sz w:val="22"/>
          <w:szCs w:val="22"/>
          <w:b w:val="1"/>
          <w:bCs w:val="1"/>
          <w:i w:val="1"/>
          <w:iCs w:val="1"/>
          <w:color w:val="auto"/>
        </w:rPr>
        <w:t>Deferred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Payments</w:t>
      </w:r>
      <w:r>
        <w:rPr>
          <w:rFonts w:ascii="Arial" w:cs="Arial" w:eastAsia="Arial" w:hAnsi="Arial"/>
          <w:sz w:val="22"/>
          <w:szCs w:val="22"/>
          <w:color w:val="auto"/>
        </w:rPr>
        <w:t>”) will be paid or provided until the Participant has a “separation from service” within the meaning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409A. Similarly, no severance payable to a Participant, if any, under this Plan that otherwise would be exempt from Section 409A pursuant to Treasury Regulation Section 1.409A 1(b)(9) will be payable until the Participant has a “separation from service”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of 13</w:t>
      </w:r>
    </w:p>
    <w:p>
      <w:pPr>
        <w:sectPr>
          <w:pgSz w:w="11900" w:h="16838" w:orient="portrait"/>
          <w:cols w:equalWidth="0" w:num="1">
            <w:col w:w="11240"/>
          </w:cols>
          <w:pgMar w:left="320" w:top="1417" w:right="339" w:bottom="1440" w:gutter="0" w:footer="0" w:header="0"/>
        </w:sectPr>
      </w:pPr>
    </w:p>
    <w:bookmarkStart w:id="78" w:name="page79"/>
    <w:bookmarkEnd w:id="78"/>
    <w:p>
      <w:pPr>
        <w:spacing w:after="0" w:line="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2"/>
          <w:szCs w:val="22"/>
          <w:color w:val="auto"/>
        </w:rPr>
        <w:t>10.2. It is intended that none of the severance payments or benefits under this Plan will constitute Deferred Payments but rather will be exempt from Section 409A as a payment that would fall within the “short-term deferral period” as described in Section 10.3 below or resulting from an involuntary separation from service as described in Section 10.4 below. In no event will a Participant have discretion to determine the taxable year of payment of any Deferred Payment.</w:t>
      </w:r>
    </w:p>
    <w:p>
      <w:pPr>
        <w:spacing w:after="0" w:line="10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color w:val="auto"/>
        </w:rPr>
        <w:t>10.3. Notwithstanding anything to the contrary in this Plan or in any Participation Agreement, if a Participant is a “specified employee” within the meaning of Section 409A at the time of the Participant’s separation from service (other than due to death), then the Deferred Payments, if any, that are payable within the first six (6) months following the Participant’s separation from service, will become payable on the date six (6) months and one</w:t>
      </w:r>
    </w:p>
    <w:p>
      <w:pPr>
        <w:spacing w:after="0" w:line="1" w:lineRule="exact"/>
        <w:rPr>
          <w:sz w:val="20"/>
          <w:szCs w:val="20"/>
          <w:color w:val="auto"/>
        </w:rPr>
      </w:pPr>
    </w:p>
    <w:p>
      <w:pPr>
        <w:jc w:val="both"/>
        <w:ind w:firstLine="8"/>
        <w:spacing w:after="0" w:line="244" w:lineRule="auto"/>
        <w:tabs>
          <w:tab w:leader="none" w:pos="334" w:val="left"/>
        </w:tabs>
        <w:numPr>
          <w:ilvl w:val="0"/>
          <w:numId w:val="38"/>
        </w:numPr>
        <w:rPr>
          <w:rFonts w:ascii="Arial" w:cs="Arial" w:eastAsia="Arial" w:hAnsi="Arial"/>
          <w:sz w:val="22"/>
          <w:szCs w:val="22"/>
          <w:color w:val="auto"/>
        </w:rPr>
      </w:pPr>
      <w:r>
        <w:rPr>
          <w:rFonts w:ascii="Arial" w:cs="Arial" w:eastAsia="Arial" w:hAnsi="Arial"/>
          <w:sz w:val="22"/>
          <w:szCs w:val="22"/>
          <w:color w:val="auto"/>
        </w:rPr>
        <w:t>day following the date of the Participant’s separation from service. All subsequent Deferred Payments, if any, will be payable in accordance with the payment schedule applicable to each payment or benefit. Notwithstanding anything herein to the contrary, in the event of the Participant’s death following the Participant’s separation from service, but before the six-month anniversary of the separation from service, then any payments delayed in accordance with this paragraph will be payable in a lump sum as soon as administratively practicable after the date of the Participant’s death and all other Deferred Payments will be payable in accordance with the payment schedule applicable to each payment or benefit. Each payment and benefit payable under this Plan is intended to constitute a separate payment under Section 1.409A-2(b)(2) of the Treasury Regulations.</w:t>
      </w:r>
    </w:p>
    <w:p>
      <w:pPr>
        <w:spacing w:after="0" w:line="10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10.4. Any amount paid under this Plan that satisfies the requirements of the “short-term deferral” rule set forth in Section 1.409A-1(b)(4) of the Treasury Regulations will not constitute Deferred Payments for purposes of Section 10 above.</w:t>
      </w:r>
    </w:p>
    <w:p>
      <w:pPr>
        <w:spacing w:after="0" w:line="10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10.5. Any amount paid under this Plan that qualifies as a payment made as a result of an involuntary separation from service pursuant to Section 1.409A-1(b)(9)(iii) of the Treasury Regulations that does not exceed the Section 409A Limit will not constitute Deferred Payments for purposes of Section 10 above.</w:t>
      </w:r>
    </w:p>
    <w:p>
      <w:pPr>
        <w:spacing w:after="0" w:line="10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2"/>
          <w:szCs w:val="22"/>
          <w:color w:val="auto"/>
        </w:rPr>
        <w:t>10.6. The foregoing provisions are intended to comply with or be exempt from the requirements of Section 409A so that none of the payments and benefits to be provided under the Plan will be subject to the additional tax imposed under Section 409A, and any ambiguities herein will be interpreted to so comply or be exempt. Notwithstanding anything to the contrary in the Plan, including but not limited to Sections 12 and 15, the Company reserves the right to amend the Plan as it deems necessary or advisable, in its sole discretion and without the consent of the Participants, to comply with Section 409A or to avoid income recognition under Section 409A prior to the actual payment of benefits under the Plan or imposition of any additional tax. In no event will the Company reimburse a Participant for any taxes that may be imposed on the Participant as result of Section 409A.</w:t>
      </w:r>
    </w:p>
    <w:p>
      <w:pPr>
        <w:spacing w:after="0" w:line="77" w:lineRule="exact"/>
        <w:rPr>
          <w:sz w:val="20"/>
          <w:szCs w:val="20"/>
          <w:color w:val="auto"/>
        </w:rPr>
      </w:pPr>
    </w:p>
    <w:p>
      <w:pPr>
        <w:ind w:firstLine="656"/>
        <w:spacing w:after="0" w:line="298" w:lineRule="auto"/>
        <w:tabs>
          <w:tab w:leader="none" w:pos="1313" w:val="left"/>
        </w:tabs>
        <w:numPr>
          <w:ilvl w:val="0"/>
          <w:numId w:val="39"/>
        </w:numPr>
        <w:rPr>
          <w:rFonts w:ascii="Arial" w:cs="Arial" w:eastAsia="Arial" w:hAnsi="Arial"/>
          <w:sz w:val="21"/>
          <w:szCs w:val="21"/>
          <w:color w:val="auto"/>
        </w:rPr>
      </w:pPr>
      <w:r>
        <w:rPr>
          <w:rFonts w:ascii="Arial" w:cs="Arial" w:eastAsia="Arial" w:hAnsi="Arial"/>
          <w:sz w:val="21"/>
          <w:szCs w:val="21"/>
          <w:b w:val="1"/>
          <w:bCs w:val="1"/>
          <w:color w:val="auto"/>
        </w:rPr>
        <w:t>Withholdings</w:t>
      </w:r>
      <w:r>
        <w:rPr>
          <w:rFonts w:ascii="Arial" w:cs="Arial" w:eastAsia="Arial" w:hAnsi="Arial"/>
          <w:sz w:val="21"/>
          <w:szCs w:val="21"/>
          <w:color w:val="auto"/>
        </w:rPr>
        <w:t>. The Company will withhold from any payments or benefits under the Plan all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U.S. federal, state, local and non-U.S. taxes required to be withheld and any other required payroll deductions.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of 13</w:t>
      </w:r>
    </w:p>
    <w:p>
      <w:pPr>
        <w:sectPr>
          <w:pgSz w:w="11900" w:h="16838" w:orient="portrait"/>
          <w:cols w:equalWidth="0" w:num="1">
            <w:col w:w="11240"/>
          </w:cols>
          <w:pgMar w:left="320" w:top="1440" w:right="339" w:bottom="1440" w:gutter="0" w:footer="0" w:header="0"/>
        </w:sectPr>
      </w:pPr>
    </w:p>
    <w:bookmarkStart w:id="79" w:name="page80"/>
    <w:bookmarkEnd w:id="79"/>
    <w:p>
      <w:pPr>
        <w:jc w:val="both"/>
        <w:ind w:firstLine="656"/>
        <w:spacing w:after="0" w:line="259" w:lineRule="auto"/>
        <w:tabs>
          <w:tab w:leader="none" w:pos="1313" w:val="left"/>
        </w:tabs>
        <w:numPr>
          <w:ilvl w:val="0"/>
          <w:numId w:val="40"/>
        </w:numPr>
        <w:rPr>
          <w:rFonts w:ascii="Arial" w:cs="Arial" w:eastAsia="Arial" w:hAnsi="Arial"/>
          <w:sz w:val="21"/>
          <w:szCs w:val="21"/>
          <w:color w:val="auto"/>
        </w:rPr>
      </w:pPr>
      <w:r>
        <w:rPr>
          <w:rFonts w:ascii="Arial" w:cs="Arial" w:eastAsia="Arial" w:hAnsi="Arial"/>
          <w:sz w:val="21"/>
          <w:szCs w:val="21"/>
          <w:b w:val="1"/>
          <w:bCs w:val="1"/>
          <w:color w:val="auto"/>
        </w:rPr>
        <w:t>Administration</w:t>
      </w:r>
      <w:r>
        <w:rPr>
          <w:rFonts w:ascii="Arial" w:cs="Arial" w:eastAsia="Arial" w:hAnsi="Arial"/>
          <w:sz w:val="21"/>
          <w:szCs w:val="21"/>
          <w:color w:val="auto"/>
        </w:rPr>
        <w:t>. The Company is the administrator of the Plan (within the meaning of section 3(16)(A)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ERISA). The Plan will be administered and interpreted by the Administrator (in its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In accordance with Section 2.1, the Administrator (a) may, in its sole discretion and on such terms and conditions as it may provide, delegate in writing to one or more officers of the Company all or any portion of its authority or responsibility with respect to the Plan, and (b) has the authority to act for the Company (in a non-fiduciary capacity) as to any matter pertaining to the Plan; </w:t>
      </w:r>
      <w:r>
        <w:rPr>
          <w:rFonts w:ascii="Arial" w:cs="Arial" w:eastAsia="Arial" w:hAnsi="Arial"/>
          <w:sz w:val="21"/>
          <w:szCs w:val="21"/>
          <w:i w:val="1"/>
          <w:iCs w:val="1"/>
          <w:color w:val="auto"/>
        </w:rPr>
        <w:t>provided, however</w:t>
      </w:r>
      <w:r>
        <w:rPr>
          <w:rFonts w:ascii="Arial" w:cs="Arial" w:eastAsia="Arial" w:hAnsi="Arial"/>
          <w:sz w:val="21"/>
          <w:szCs w:val="21"/>
          <w:color w:val="auto"/>
        </w:rPr>
        <w:t>, that any Plan amendment or termination or any other action that reasonably could be expected to increase materially the cost of the Plan must be approved by the Board.</w:t>
      </w:r>
    </w:p>
    <w:p>
      <w:pPr>
        <w:spacing w:after="0" w:line="62" w:lineRule="exact"/>
        <w:rPr>
          <w:rFonts w:ascii="Arial" w:cs="Arial" w:eastAsia="Arial" w:hAnsi="Arial"/>
          <w:sz w:val="21"/>
          <w:szCs w:val="21"/>
          <w:color w:val="auto"/>
        </w:rPr>
      </w:pPr>
    </w:p>
    <w:p>
      <w:pPr>
        <w:jc w:val="both"/>
        <w:ind w:firstLine="656"/>
        <w:spacing w:after="0" w:line="249" w:lineRule="auto"/>
        <w:tabs>
          <w:tab w:leader="none" w:pos="1313"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Eligibility to Participate</w:t>
      </w:r>
      <w:r>
        <w:rPr>
          <w:rFonts w:ascii="Arial" w:cs="Arial" w:eastAsia="Arial" w:hAnsi="Arial"/>
          <w:sz w:val="22"/>
          <w:szCs w:val="22"/>
          <w:color w:val="auto"/>
        </w:rPr>
        <w:t>. To the extent that the Administrator has delegated administrative authority or</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responsibility to one or more officers of the Company in accordance with Sections 2.1 and 12,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spacing w:after="0" w:line="72" w:lineRule="exact"/>
        <w:rPr>
          <w:rFonts w:ascii="Arial" w:cs="Arial" w:eastAsia="Arial" w:hAnsi="Arial"/>
          <w:sz w:val="22"/>
          <w:szCs w:val="22"/>
          <w:color w:val="auto"/>
        </w:rPr>
      </w:pPr>
    </w:p>
    <w:p>
      <w:pPr>
        <w:jc w:val="both"/>
        <w:ind w:firstLine="656"/>
        <w:spacing w:after="0" w:line="246" w:lineRule="auto"/>
        <w:tabs>
          <w:tab w:leader="none" w:pos="1313"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Term</w:t>
      </w:r>
      <w:r>
        <w:rPr>
          <w:rFonts w:ascii="Arial" w:cs="Arial" w:eastAsia="Arial" w:hAnsi="Arial"/>
          <w:sz w:val="22"/>
          <w:szCs w:val="22"/>
          <w:color w:val="auto"/>
        </w:rPr>
        <w:t>. This Plan will have a term of three years commencing on the Effective Date and expiring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anniversary of the Effective Date (the “</w:t>
      </w:r>
      <w:r>
        <w:rPr>
          <w:rFonts w:ascii="Arial" w:cs="Arial" w:eastAsia="Arial" w:hAnsi="Arial"/>
          <w:sz w:val="22"/>
          <w:szCs w:val="22"/>
          <w:b w:val="1"/>
          <w:bCs w:val="1"/>
          <w:i w:val="1"/>
          <w:iCs w:val="1"/>
          <w:color w:val="auto"/>
        </w:rPr>
        <w:t>Initial Term</w:t>
      </w:r>
      <w:r>
        <w:rPr>
          <w:rFonts w:ascii="Arial" w:cs="Arial" w:eastAsia="Arial" w:hAnsi="Arial"/>
          <w:sz w:val="22"/>
          <w:szCs w:val="22"/>
          <w:color w:val="auto"/>
        </w:rPr>
        <w:t>”) and shall, thereafter, automatically renew for successive one-year periods (each a “</w:t>
      </w:r>
      <w:r>
        <w:rPr>
          <w:rFonts w:ascii="Arial" w:cs="Arial" w:eastAsia="Arial" w:hAnsi="Arial"/>
          <w:sz w:val="22"/>
          <w:szCs w:val="22"/>
          <w:b w:val="1"/>
          <w:bCs w:val="1"/>
          <w:i w:val="1"/>
          <w:iCs w:val="1"/>
          <w:color w:val="auto"/>
        </w:rPr>
        <w:t>Renewal Term</w:t>
      </w:r>
      <w:r>
        <w:rPr>
          <w:rFonts w:ascii="Arial" w:cs="Arial" w:eastAsia="Arial" w:hAnsi="Arial"/>
          <w:sz w:val="22"/>
          <w:szCs w:val="22"/>
          <w:color w:val="auto"/>
        </w:rPr>
        <w:t>” and, collectively with the Initial Term,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unless, upon the decision of the Administrator, the Company notifies the Participants who remain eligible for benefits under this Plan of the Plan’s nonrenewal at least twelve (12) months prior to the commencement of such Renewal Term, in which case such Renewal Term will be canceled and the Plan will expire on the anniversary of Initial Term or the relevant Renewal Term, as applicable. If a Change of Control occurs, the Term will extend automatically through the date that is twelve (12) months following the effective date of the Change of Control. If a Participant becomes entitled to benefits during the Term, the Plan will not terminate with respect to such Participant until all of the obligations of the Company and such Participant with respect to this Plan have been satisfied.</w:t>
      </w:r>
    </w:p>
    <w:p>
      <w:pPr>
        <w:spacing w:after="0" w:line="80" w:lineRule="exact"/>
        <w:rPr>
          <w:rFonts w:ascii="Arial" w:cs="Arial" w:eastAsia="Arial" w:hAnsi="Arial"/>
          <w:sz w:val="22"/>
          <w:szCs w:val="22"/>
          <w:color w:val="auto"/>
        </w:rPr>
      </w:pPr>
    </w:p>
    <w:p>
      <w:pPr>
        <w:jc w:val="both"/>
        <w:ind w:firstLine="656"/>
        <w:spacing w:after="0" w:line="262" w:lineRule="auto"/>
        <w:tabs>
          <w:tab w:leader="none" w:pos="1313" w:val="left"/>
        </w:tabs>
        <w:numPr>
          <w:ilvl w:val="0"/>
          <w:numId w:val="40"/>
        </w:numPr>
        <w:rPr>
          <w:rFonts w:ascii="Arial" w:cs="Arial" w:eastAsia="Arial" w:hAnsi="Arial"/>
          <w:sz w:val="21"/>
          <w:szCs w:val="21"/>
          <w:color w:val="auto"/>
        </w:rPr>
      </w:pPr>
      <w:r>
        <w:rPr>
          <w:rFonts w:ascii="Arial" w:cs="Arial" w:eastAsia="Arial" w:hAnsi="Arial"/>
          <w:sz w:val="21"/>
          <w:szCs w:val="21"/>
          <w:b w:val="1"/>
          <w:bCs w:val="1"/>
          <w:color w:val="auto"/>
        </w:rPr>
        <w:t>Amendment or Termination</w:t>
      </w:r>
      <w:r>
        <w:rPr>
          <w:rFonts w:ascii="Arial" w:cs="Arial" w:eastAsia="Arial" w:hAnsi="Arial"/>
          <w:sz w:val="21"/>
          <w:szCs w:val="21"/>
          <w:color w:val="auto"/>
        </w:rPr>
        <w:t>. The Company, by action of the Administrator, reserves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amend or terminate the Plan at any time, without advance notice to any Participant and without regard to the effect of the amendment or termination on any Participant or on any other individual. Any amendment or termination of the Plan will be in writing. In addition, notwithstanding the preceding, during the Term, the Company may not, without a Participant’s written consent, amend or terminate the Plan in any way, nor take any other action, that (i) prevents that Participant from becoming eligible for the Severance Benefits under the Plan, or (ii) reduces or alters to the detriment of the Participant the Severance Benefits payable, or potentially payable, to a Participant under the Plan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of 13</w:t>
      </w:r>
    </w:p>
    <w:p>
      <w:pPr>
        <w:sectPr>
          <w:pgSz w:w="11900" w:h="16838" w:orient="portrait"/>
          <w:cols w:equalWidth="0" w:num="1">
            <w:col w:w="11240"/>
          </w:cols>
          <w:pgMar w:left="320" w:top="1417" w:right="339" w:bottom="1440" w:gutter="0" w:footer="0" w:header="0"/>
        </w:sectPr>
      </w:pPr>
    </w:p>
    <w:bookmarkStart w:id="80" w:name="page81"/>
    <w:bookmarkEnd w:id="80"/>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without limitation, imposing additional conditions). Any action of the Company in amending or terminating the Plan will be taken in a non-fiduciary capacity.</w:t>
      </w:r>
    </w:p>
    <w:p>
      <w:pPr>
        <w:spacing w:after="0" w:line="70" w:lineRule="exact"/>
        <w:rPr>
          <w:sz w:val="20"/>
          <w:szCs w:val="20"/>
          <w:color w:val="auto"/>
        </w:rPr>
      </w:pPr>
    </w:p>
    <w:p>
      <w:pPr>
        <w:ind w:left="1320" w:hanging="664"/>
        <w:spacing w:after="0"/>
        <w:tabs>
          <w:tab w:leader="none" w:pos="132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Claims and Appeals</w:t>
      </w:r>
      <w:r>
        <w:rPr>
          <w:rFonts w:ascii="Arial" w:cs="Arial" w:eastAsia="Arial" w:hAnsi="Arial"/>
          <w:sz w:val="22"/>
          <w:szCs w:val="22"/>
          <w:color w:val="auto"/>
        </w:rPr>
        <w:t>.</w:t>
      </w:r>
    </w:p>
    <w:p>
      <w:pPr>
        <w:spacing w:after="0" w:line="11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16.1</w:t>
      </w:r>
      <w:r>
        <w:rPr>
          <w:rFonts w:ascii="Arial" w:cs="Arial" w:eastAsia="Arial" w:hAnsi="Arial"/>
          <w:sz w:val="22"/>
          <w:szCs w:val="22"/>
          <w:b w:val="1"/>
          <w:bCs w:val="1"/>
          <w:color w:val="auto"/>
        </w:rPr>
        <w:t>. Claims Procedure</w:t>
      </w:r>
      <w:r>
        <w:rPr>
          <w:rFonts w:ascii="Arial" w:cs="Arial" w:eastAsia="Arial" w:hAnsi="Arial"/>
          <w:sz w:val="22"/>
          <w:szCs w:val="22"/>
          <w:color w:val="auto"/>
        </w:rPr>
        <w:t>. Any employee or other person who believes he or she is entitled to any payment under the Plan may submit a claim in writing to the Administrator 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date by which the Administrator expects to render its decision on the claim.</w:t>
      </w:r>
    </w:p>
    <w:p>
      <w:pPr>
        <w:spacing w:after="0" w:line="80"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16.2</w:t>
      </w:r>
      <w:r>
        <w:rPr>
          <w:rFonts w:ascii="Arial" w:cs="Arial" w:eastAsia="Arial" w:hAnsi="Arial"/>
          <w:sz w:val="22"/>
          <w:szCs w:val="22"/>
          <w:b w:val="1"/>
          <w:bCs w:val="1"/>
          <w:color w:val="auto"/>
        </w:rPr>
        <w:t>. Appeal Procedure</w:t>
      </w:r>
      <w:r>
        <w:rPr>
          <w:rFonts w:ascii="Arial" w:cs="Arial" w:eastAsia="Arial" w:hAnsi="Arial"/>
          <w:sz w:val="22"/>
          <w:szCs w:val="22"/>
          <w:color w:val="auto"/>
        </w:rPr>
        <w:t>. If the claimant’s claim is denied, the claimant (or his or her authorized representative) may apply in writing to the Administrator for 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its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spacing w:after="0" w:line="84" w:lineRule="exact"/>
        <w:rPr>
          <w:sz w:val="20"/>
          <w:szCs w:val="20"/>
          <w:color w:val="auto"/>
        </w:rPr>
      </w:pPr>
    </w:p>
    <w:p>
      <w:pPr>
        <w:ind w:firstLine="656"/>
        <w:spacing w:after="0" w:line="274" w:lineRule="auto"/>
        <w:tabs>
          <w:tab w:leader="none" w:pos="1313"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Attorneys’ Fees</w:t>
      </w:r>
      <w:r>
        <w:rPr>
          <w:rFonts w:ascii="Arial" w:cs="Arial" w:eastAsia="Arial" w:hAnsi="Arial"/>
          <w:sz w:val="22"/>
          <w:szCs w:val="22"/>
          <w:color w:val="auto"/>
        </w:rPr>
        <w:t>. The parties shall each bear their own expenses, legal fees and other fees incurred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this Plan.</w:t>
      </w:r>
    </w:p>
    <w:p>
      <w:pPr>
        <w:spacing w:after="0" w:line="43" w:lineRule="exact"/>
        <w:rPr>
          <w:rFonts w:ascii="Arial" w:cs="Arial" w:eastAsia="Arial" w:hAnsi="Arial"/>
          <w:sz w:val="22"/>
          <w:szCs w:val="22"/>
          <w:color w:val="auto"/>
        </w:rPr>
      </w:pPr>
    </w:p>
    <w:p>
      <w:pPr>
        <w:jc w:val="both"/>
        <w:ind w:firstLine="656"/>
        <w:spacing w:after="0" w:line="253" w:lineRule="auto"/>
        <w:tabs>
          <w:tab w:leader="none" w:pos="1313"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Source of Payments</w:t>
      </w:r>
      <w:r>
        <w:rPr>
          <w:rFonts w:ascii="Arial" w:cs="Arial" w:eastAsia="Arial" w:hAnsi="Arial"/>
          <w:sz w:val="22"/>
          <w:szCs w:val="22"/>
          <w:color w:val="auto"/>
        </w:rPr>
        <w:t>. All payments under the Plan will be paid from the general funds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no separate fund will be established under the Plan, and the Plan will have no assets. No right of any person to receive any payment under the Plan will be any greater than the right of any other general unsecured creditor of the Company.</w:t>
      </w:r>
    </w:p>
    <w:p>
      <w:pPr>
        <w:spacing w:after="0" w:line="67" w:lineRule="exact"/>
        <w:rPr>
          <w:rFonts w:ascii="Arial" w:cs="Arial" w:eastAsia="Arial" w:hAnsi="Arial"/>
          <w:sz w:val="22"/>
          <w:szCs w:val="22"/>
          <w:color w:val="auto"/>
        </w:rPr>
      </w:pPr>
    </w:p>
    <w:p>
      <w:pPr>
        <w:ind w:right="20" w:firstLine="656"/>
        <w:spacing w:after="0" w:line="274" w:lineRule="auto"/>
        <w:tabs>
          <w:tab w:leader="none" w:pos="1313"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Inalienability</w:t>
      </w:r>
      <w:r>
        <w:rPr>
          <w:rFonts w:ascii="Arial" w:cs="Arial" w:eastAsia="Arial" w:hAnsi="Arial"/>
          <w:sz w:val="22"/>
          <w:szCs w:val="22"/>
          <w:color w:val="auto"/>
        </w:rPr>
        <w:t>. In no event may any current or former employee of the Company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or affiliates sell, transfer, anticipate, assign or otherwise dispose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 of 13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3"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right or interest under the Plan. At no time will any such right or interest be subject to the claims of creditors nor liable to attachment, execution or other legal process.</w:t>
      </w:r>
    </w:p>
    <w:p>
      <w:pPr>
        <w:spacing w:after="0" w:line="70" w:lineRule="exact"/>
        <w:rPr>
          <w:sz w:val="20"/>
          <w:szCs w:val="20"/>
          <w:color w:val="auto"/>
        </w:rPr>
      </w:pPr>
    </w:p>
    <w:p>
      <w:pPr>
        <w:jc w:val="both"/>
        <w:ind w:firstLine="656"/>
        <w:spacing w:after="0" w:line="251" w:lineRule="auto"/>
        <w:tabs>
          <w:tab w:leader="none" w:pos="1313"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No Enlargement of Employment Rights</w:t>
      </w:r>
      <w:r>
        <w:rPr>
          <w:rFonts w:ascii="Arial" w:cs="Arial" w:eastAsia="Arial" w:hAnsi="Arial"/>
          <w:sz w:val="22"/>
          <w:szCs w:val="22"/>
          <w:color w:val="auto"/>
        </w:rPr>
        <w:t>. Neither the establishment or maintenance or amendment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nor the making of any benefit payment hereunder, will be construed to confer upon any individual any right to continue to be an employee of the Company. The Company expressly reserves the right to discharge any of its employees at any time, with or without cause. However, as described in the Plan, a Participant may be entitled to benefits under the Plan depending upon the circumstances of his or her termination of employment.</w:t>
      </w:r>
    </w:p>
    <w:p>
      <w:pPr>
        <w:spacing w:after="0" w:line="67" w:lineRule="exact"/>
        <w:rPr>
          <w:rFonts w:ascii="Arial" w:cs="Arial" w:eastAsia="Arial" w:hAnsi="Arial"/>
          <w:sz w:val="22"/>
          <w:szCs w:val="22"/>
          <w:color w:val="auto"/>
        </w:rPr>
      </w:pPr>
    </w:p>
    <w:p>
      <w:pPr>
        <w:jc w:val="both"/>
        <w:ind w:firstLine="656"/>
        <w:spacing w:after="0" w:line="263" w:lineRule="auto"/>
        <w:tabs>
          <w:tab w:leader="none" w:pos="1313" w:val="left"/>
        </w:tabs>
        <w:numPr>
          <w:ilvl w:val="0"/>
          <w:numId w:val="43"/>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Any successor to the Company of all or substantially all of the Company’s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and/or assets (whether direct or indirect and whether by purchase, merger, 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spacing w:after="0" w:line="59" w:lineRule="exact"/>
        <w:rPr>
          <w:rFonts w:ascii="Arial" w:cs="Arial" w:eastAsia="Arial" w:hAnsi="Arial"/>
          <w:sz w:val="21"/>
          <w:szCs w:val="21"/>
          <w:color w:val="auto"/>
        </w:rPr>
      </w:pPr>
    </w:p>
    <w:p>
      <w:pPr>
        <w:jc w:val="both"/>
        <w:ind w:firstLine="656"/>
        <w:spacing w:after="0" w:line="258" w:lineRule="auto"/>
        <w:tabs>
          <w:tab w:leader="none" w:pos="1313"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Applicable Law</w:t>
      </w:r>
      <w:r>
        <w:rPr>
          <w:rFonts w:ascii="Arial" w:cs="Arial" w:eastAsia="Arial" w:hAnsi="Arial"/>
          <w:sz w:val="22"/>
          <w:szCs w:val="22"/>
          <w:color w:val="auto"/>
        </w:rPr>
        <w:t>. The provisions of the Plan will be construed, administered and enforced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ERISA and, to the extent applicable, the internal substantive laws of the state of California (but not its conflict of laws provisions).</w:t>
      </w:r>
    </w:p>
    <w:p>
      <w:pPr>
        <w:spacing w:after="0" w:line="61" w:lineRule="exact"/>
        <w:rPr>
          <w:rFonts w:ascii="Arial" w:cs="Arial" w:eastAsia="Arial" w:hAnsi="Arial"/>
          <w:sz w:val="22"/>
          <w:szCs w:val="22"/>
          <w:color w:val="auto"/>
        </w:rPr>
      </w:pPr>
    </w:p>
    <w:p>
      <w:pPr>
        <w:jc w:val="both"/>
        <w:ind w:firstLine="656"/>
        <w:spacing w:after="0" w:line="258" w:lineRule="auto"/>
        <w:tabs>
          <w:tab w:leader="none" w:pos="1313"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the Plan is held invalid or unenforceable, its invalidity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unenforceability will not affect any other provision of the Plan, and the Plan will be construed and enforced as if such provision had not been included.</w:t>
      </w:r>
    </w:p>
    <w:p>
      <w:pPr>
        <w:spacing w:after="0" w:line="61" w:lineRule="exact"/>
        <w:rPr>
          <w:rFonts w:ascii="Arial" w:cs="Arial" w:eastAsia="Arial" w:hAnsi="Arial"/>
          <w:sz w:val="22"/>
          <w:szCs w:val="22"/>
          <w:color w:val="auto"/>
        </w:rPr>
      </w:pPr>
    </w:p>
    <w:p>
      <w:pPr>
        <w:ind w:firstLine="656"/>
        <w:spacing w:after="0" w:line="274" w:lineRule="auto"/>
        <w:tabs>
          <w:tab w:leader="none" w:pos="1313"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Headings</w:t>
      </w:r>
      <w:r>
        <w:rPr>
          <w:rFonts w:ascii="Arial" w:cs="Arial" w:eastAsia="Arial" w:hAnsi="Arial"/>
          <w:sz w:val="22"/>
          <w:szCs w:val="22"/>
          <w:color w:val="auto"/>
        </w:rPr>
        <w:t>. Headings in this Plan document are for purposes of reference only and will not limit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affect the meaning hereof.</w:t>
      </w:r>
    </w:p>
    <w:p>
      <w:pPr>
        <w:spacing w:after="0" w:line="43" w:lineRule="exact"/>
        <w:rPr>
          <w:rFonts w:ascii="Arial" w:cs="Arial" w:eastAsia="Arial" w:hAnsi="Arial"/>
          <w:sz w:val="22"/>
          <w:szCs w:val="22"/>
          <w:color w:val="auto"/>
        </w:rPr>
      </w:pPr>
    </w:p>
    <w:p>
      <w:pPr>
        <w:jc w:val="both"/>
        <w:ind w:firstLine="656"/>
        <w:spacing w:after="0" w:line="248" w:lineRule="auto"/>
        <w:tabs>
          <w:tab w:leader="none" w:pos="1313"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Indemnification</w:t>
      </w:r>
      <w:r>
        <w:rPr>
          <w:rFonts w:ascii="Arial" w:cs="Arial" w:eastAsia="Arial" w:hAnsi="Arial"/>
          <w:sz w:val="22"/>
          <w:szCs w:val="22"/>
          <w:color w:val="auto"/>
        </w:rPr>
        <w:t>. The Company hereby agrees to indemnify and hold harmless the officers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of the Company, and the members of its Board, from all losses, claims, 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spacing w:after="0" w:line="73" w:lineRule="exact"/>
        <w:rPr>
          <w:rFonts w:ascii="Arial" w:cs="Arial" w:eastAsia="Arial" w:hAnsi="Arial"/>
          <w:sz w:val="22"/>
          <w:szCs w:val="22"/>
          <w:color w:val="auto"/>
        </w:rPr>
      </w:pPr>
    </w:p>
    <w:p>
      <w:pPr>
        <w:ind w:left="1320" w:hanging="664"/>
        <w:spacing w:after="0"/>
        <w:tabs>
          <w:tab w:leader="none" w:pos="132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Additional Information</w:t>
      </w:r>
      <w:r>
        <w:rPr>
          <w:rFonts w:ascii="Arial" w:cs="Arial" w:eastAsia="Arial" w:hAnsi="Arial"/>
          <w:sz w:val="22"/>
          <w:szCs w:val="22"/>
          <w:color w:val="auto"/>
        </w:rPr>
        <w: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Name</w:t>
      </w:r>
      <w:r>
        <w:rPr>
          <w:rFonts w:ascii="Arial" w:cs="Arial" w:eastAsia="Arial" w:hAnsi="Arial"/>
          <w:sz w:val="22"/>
          <w:szCs w:val="22"/>
          <w:color w:val="auto"/>
        </w:rPr>
        <w:t>:  Fluidigm Corporation 2020 Change of Control and Severance Plan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Sponsor</w:t>
      </w:r>
      <w:r>
        <w:rPr>
          <w:rFonts w:ascii="Arial" w:cs="Arial" w:eastAsia="Arial" w:hAnsi="Arial"/>
          <w:sz w:val="22"/>
          <w:szCs w:val="22"/>
          <w:color w:val="auto"/>
        </w:rPr>
        <w:t>:  Fluidigm Corporation</w:t>
      </w:r>
    </w:p>
    <w:p>
      <w:pPr>
        <w:spacing w:after="0" w:line="4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c/o General Counsel</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2 Tower Place, Suite 2000</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South San Francisco, CA 94080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of 13</w:t>
      </w:r>
    </w:p>
    <w:p>
      <w:pPr>
        <w:sectPr>
          <w:pgSz w:w="11900" w:h="16838" w:orient="portrait"/>
          <w:cols w:equalWidth="0" w:num="1">
            <w:col w:w="11240"/>
          </w:cols>
          <w:pgMar w:left="320" w:top="1440"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22"/>
          <w:szCs w:val="22"/>
          <w:b w:val="1"/>
          <w:bCs w:val="1"/>
          <w:color w:val="auto"/>
        </w:rPr>
        <w:t>Identification Numbers</w:t>
      </w:r>
      <w:r>
        <w:rPr>
          <w:rFonts w:ascii="Arial" w:cs="Arial" w:eastAsia="Arial" w:hAnsi="Arial"/>
          <w:sz w:val="22"/>
          <w:szCs w:val="22"/>
          <w:color w:val="auto"/>
        </w:rPr>
        <w:t>:</w:t>
      </w:r>
      <w:r>
        <w:rPr>
          <w:rFonts w:ascii="Arial" w:cs="Arial" w:eastAsia="Arial" w:hAnsi="Arial"/>
          <w:sz w:val="22"/>
          <w:szCs w:val="22"/>
          <w:b w:val="1"/>
          <w:bCs w:val="1"/>
          <w:color w:val="auto"/>
        </w:rPr>
        <w:t xml:space="preserve"> EIN</w:t>
      </w:r>
      <w:r>
        <w:rPr>
          <w:rFonts w:ascii="Arial" w:cs="Arial" w:eastAsia="Arial" w:hAnsi="Arial"/>
          <w:sz w:val="22"/>
          <w:szCs w:val="22"/>
          <w:color w:val="auto"/>
        </w:rPr>
        <w:t>: 77-0513190</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PLAN</w:t>
      </w:r>
      <w:r>
        <w:rPr>
          <w:rFonts w:ascii="Arial" w:cs="Arial" w:eastAsia="Arial" w:hAnsi="Arial"/>
          <w:sz w:val="22"/>
          <w:szCs w:val="22"/>
          <w:color w:val="auto"/>
        </w:rPr>
        <w:t>: 502</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Year</w:t>
      </w:r>
      <w:r>
        <w:rPr>
          <w:rFonts w:ascii="Arial" w:cs="Arial" w:eastAsia="Arial" w:hAnsi="Arial"/>
          <w:sz w:val="22"/>
          <w:szCs w:val="22"/>
          <w:color w:val="auto"/>
        </w:rPr>
        <w:t>:  Company’s fiscal year</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Administrator</w:t>
      </w:r>
      <w:r>
        <w:rPr>
          <w:rFonts w:ascii="Arial" w:cs="Arial" w:eastAsia="Arial" w:hAnsi="Arial"/>
          <w:sz w:val="22"/>
          <w:szCs w:val="22"/>
          <w:color w:val="auto"/>
        </w:rPr>
        <w:t>: Fluidigm Corporation</w:t>
      </w:r>
    </w:p>
    <w:p>
      <w:pPr>
        <w:spacing w:after="0" w:line="43" w:lineRule="exact"/>
        <w:rPr>
          <w:sz w:val="20"/>
          <w:szCs w:val="20"/>
          <w:color w:val="auto"/>
        </w:rPr>
      </w:pPr>
    </w:p>
    <w:p>
      <w:pPr>
        <w:ind w:left="3240" w:right="300"/>
        <w:spacing w:after="0" w:line="256" w:lineRule="auto"/>
        <w:rPr>
          <w:sz w:val="20"/>
          <w:szCs w:val="20"/>
          <w:color w:val="auto"/>
        </w:rPr>
      </w:pPr>
      <w:r>
        <w:rPr>
          <w:rFonts w:ascii="Arial" w:cs="Arial" w:eastAsia="Arial" w:hAnsi="Arial"/>
          <w:sz w:val="22"/>
          <w:szCs w:val="22"/>
          <w:color w:val="auto"/>
        </w:rPr>
        <w:t>Attention: Administrator of the Fluidigm Corporation 2020 Change of Control and Severance Plan</w:t>
      </w:r>
    </w:p>
    <w:p>
      <w:pPr>
        <w:ind w:left="3240"/>
        <w:spacing w:after="0"/>
        <w:rPr>
          <w:sz w:val="20"/>
          <w:szCs w:val="20"/>
          <w:color w:val="auto"/>
        </w:rPr>
      </w:pPr>
      <w:r>
        <w:rPr>
          <w:rFonts w:ascii="Arial" w:cs="Arial" w:eastAsia="Arial" w:hAnsi="Arial"/>
          <w:sz w:val="22"/>
          <w:szCs w:val="22"/>
          <w:color w:val="auto"/>
        </w:rPr>
        <w:t>2 Tower Place, Suite 2000</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South San Francisco, CA 94080</w:t>
      </w:r>
    </w:p>
    <w:p>
      <w:pPr>
        <w:spacing w:after="0" w:line="3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650-266-6000</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Agent for Service of</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Legal Process</w:t>
      </w:r>
      <w:r>
        <w:rPr>
          <w:rFonts w:ascii="Arial" w:cs="Arial" w:eastAsia="Arial" w:hAnsi="Arial"/>
          <w:sz w:val="22"/>
          <w:szCs w:val="22"/>
          <w:color w:val="auto"/>
        </w:rPr>
        <w:t>:  Fluidigm Corporation</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2020 Change of Control and Severance Plan</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2 Tower Place, Suite 2000</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South San Francisco, CA 94080</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650-266-6000</w:t>
      </w:r>
    </w:p>
    <w:p>
      <w:pPr>
        <w:spacing w:after="0" w:line="17" w:lineRule="exact"/>
        <w:rPr>
          <w:sz w:val="20"/>
          <w:szCs w:val="20"/>
          <w:color w:val="auto"/>
        </w:rPr>
      </w:pPr>
    </w:p>
    <w:p>
      <w:pPr>
        <w:ind w:left="660" w:right="4040" w:firstLine="661"/>
        <w:spacing w:after="0" w:line="371" w:lineRule="auto"/>
        <w:rPr>
          <w:sz w:val="20"/>
          <w:szCs w:val="20"/>
          <w:color w:val="auto"/>
        </w:rPr>
      </w:pPr>
      <w:r>
        <w:rPr>
          <w:rFonts w:ascii="Arial" w:cs="Arial" w:eastAsia="Arial" w:hAnsi="Arial"/>
          <w:sz w:val="21"/>
          <w:szCs w:val="21"/>
          <w:color w:val="auto"/>
        </w:rPr>
        <w:t xml:space="preserve">Service of process also may be made upon the Administrator. </w:t>
      </w:r>
      <w:r>
        <w:rPr>
          <w:rFonts w:ascii="Arial" w:cs="Arial" w:eastAsia="Arial" w:hAnsi="Arial"/>
          <w:sz w:val="21"/>
          <w:szCs w:val="21"/>
          <w:b w:val="1"/>
          <w:bCs w:val="1"/>
          <w:color w:val="auto"/>
        </w:rPr>
        <w:t>Type of Plan</w:t>
      </w:r>
      <w:r>
        <w:rPr>
          <w:rFonts w:ascii="Arial" w:cs="Arial" w:eastAsia="Arial" w:hAnsi="Arial"/>
          <w:sz w:val="21"/>
          <w:szCs w:val="21"/>
          <w:color w:val="auto"/>
        </w:rPr>
        <w:t>: Severance Plan/Employee Welfare Benefit Plan</w:t>
      </w:r>
      <w:r>
        <w:rPr>
          <w:rFonts w:ascii="Arial" w:cs="Arial" w:eastAsia="Arial" w:hAnsi="Arial"/>
          <w:sz w:val="21"/>
          <w:szCs w:val="21"/>
          <w:b w:val="1"/>
          <w:bCs w:val="1"/>
          <w:color w:val="auto"/>
        </w:rPr>
        <w:t xml:space="preserve"> Plan Costs</w:t>
      </w:r>
      <w:r>
        <w:rPr>
          <w:rFonts w:ascii="Arial" w:cs="Arial" w:eastAsia="Arial" w:hAnsi="Arial"/>
          <w:sz w:val="21"/>
          <w:szCs w:val="21"/>
          <w:color w:val="auto"/>
        </w:rPr>
        <w:t>: The cost of the Plan is paid by the Employer.</w:t>
      </w:r>
    </w:p>
    <w:p>
      <w:pPr>
        <w:spacing w:after="0" w:line="96" w:lineRule="exact"/>
        <w:rPr>
          <w:sz w:val="20"/>
          <w:szCs w:val="20"/>
          <w:color w:val="auto"/>
        </w:rPr>
      </w:pPr>
    </w:p>
    <w:p>
      <w:pPr>
        <w:ind w:left="1320" w:hanging="664"/>
        <w:spacing w:after="0"/>
        <w:tabs>
          <w:tab w:leader="none" w:pos="132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Statement of ERISA Rights</w:t>
      </w:r>
      <w:r>
        <w:rPr>
          <w:rFonts w:ascii="Arial" w:cs="Arial" w:eastAsia="Arial" w:hAnsi="Arial"/>
          <w:sz w:val="22"/>
          <w:szCs w:val="22"/>
          <w:color w:val="auto"/>
        </w:rPr>
        <w: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a Participant under the Plan, you have certain rights and protections under ERISA:</w:t>
      </w:r>
    </w:p>
    <w:p>
      <w:pPr>
        <w:spacing w:after="0" w:line="112" w:lineRule="exact"/>
        <w:rPr>
          <w:sz w:val="20"/>
          <w:szCs w:val="20"/>
          <w:color w:val="auto"/>
        </w:rPr>
      </w:pPr>
    </w:p>
    <w:p>
      <w:pPr>
        <w:jc w:val="both"/>
        <w:ind w:left="660" w:hanging="328"/>
        <w:spacing w:after="0" w:line="246" w:lineRule="auto"/>
        <w:tabs>
          <w:tab w:leader="none" w:pos="655" w:val="left"/>
        </w:tabs>
        <w:numPr>
          <w:ilvl w:val="0"/>
          <w:numId w:val="45"/>
        </w:numPr>
        <w:rPr>
          <w:rFonts w:ascii="Arial" w:cs="Arial" w:eastAsia="Arial" w:hAnsi="Arial"/>
          <w:sz w:val="22"/>
          <w:szCs w:val="22"/>
          <w:color w:val="auto"/>
        </w:rPr>
      </w:pPr>
      <w:r>
        <w:rPr>
          <w:rFonts w:ascii="Arial" w:cs="Arial" w:eastAsia="Arial" w:hAnsi="Arial"/>
          <w:sz w:val="22"/>
          <w:szCs w:val="22"/>
          <w:color w:val="auto"/>
        </w:rPr>
        <w:t>You may examine (without charge) all Plan documents, including any amendments and copies of all documents filed with the U.S. Department of Labor. These documents are available for your review in the Company’s Human Resources Department.</w:t>
      </w:r>
    </w:p>
    <w:p>
      <w:pPr>
        <w:spacing w:after="0" w:line="234"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45"/>
        </w:numPr>
        <w:rPr>
          <w:rFonts w:ascii="Arial" w:cs="Arial" w:eastAsia="Arial" w:hAnsi="Arial"/>
          <w:sz w:val="22"/>
          <w:szCs w:val="22"/>
          <w:color w:val="auto"/>
        </w:rPr>
      </w:pPr>
      <w:r>
        <w:rPr>
          <w:rFonts w:ascii="Arial" w:cs="Arial" w:eastAsia="Arial" w:hAnsi="Arial"/>
          <w:sz w:val="22"/>
          <w:szCs w:val="22"/>
          <w:color w:val="auto"/>
        </w:rPr>
        <w:t>You may obtain copies of all Plan documents and other Plan information upon written request to the Administrator. A reasonable charge may be made for such copies.</w:t>
      </w:r>
    </w:p>
    <w:p>
      <w:pPr>
        <w:spacing w:after="0" w:line="9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addition to creating rights for Participants, ERISA imposes duties upon the people who are responsible for the operation of the Plan. The people who operate the Plan (called “</w:t>
      </w:r>
      <w:r>
        <w:rPr>
          <w:rFonts w:ascii="Arial" w:cs="Arial" w:eastAsia="Arial" w:hAnsi="Arial"/>
          <w:sz w:val="22"/>
          <w:szCs w:val="22"/>
          <w:b w:val="1"/>
          <w:bCs w:val="1"/>
          <w:i w:val="1"/>
          <w:iCs w:val="1"/>
          <w:color w:val="auto"/>
        </w:rPr>
        <w:t>fiduciaries</w:t>
      </w:r>
      <w:r>
        <w:rPr>
          <w:rFonts w:ascii="Arial" w:cs="Arial" w:eastAsia="Arial" w:hAnsi="Arial"/>
          <w:sz w:val="22"/>
          <w:szCs w:val="22"/>
          <w:color w:val="auto"/>
        </w:rPr>
        <w:t>”)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16 above.)</w:t>
      </w:r>
    </w:p>
    <w:p>
      <w:pPr>
        <w:spacing w:after="0" w:line="10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 of 13</w:t>
      </w:r>
    </w:p>
    <w:p>
      <w:pPr>
        <w:sectPr>
          <w:pgSz w:w="11900" w:h="16838" w:orient="portrait"/>
          <w:cols w:equalWidth="0" w:num="1">
            <w:col w:w="11240"/>
          </w:cols>
          <w:pgMar w:left="320" w:top="1417" w:right="339" w:bottom="1440" w:gutter="0" w:footer="0" w:header="0"/>
          <w:type w:val="continuous"/>
        </w:sectPr>
      </w:pPr>
    </w:p>
    <w:bookmarkStart w:id="83" w:name="page84"/>
    <w:bookmarkEnd w:id="83"/>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spacing w:after="0" w:line="10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spacing w:after="0" w:line="10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of 13</w:t>
      </w:r>
    </w:p>
    <w:p>
      <w:pPr>
        <w:sectPr>
          <w:pgSz w:w="11900" w:h="16838" w:orient="portrait"/>
          <w:cols w:equalWidth="0" w:num="1">
            <w:col w:w="11240"/>
          </w:cols>
          <w:pgMar w:left="320" w:top="144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CEO</w:t>
      </w:r>
    </w:p>
    <w:p>
      <w:pPr>
        <w:spacing w:after="0" w:line="112" w:lineRule="exact"/>
        <w:rPr>
          <w:sz w:val="20"/>
          <w:szCs w:val="20"/>
          <w:color w:val="auto"/>
        </w:rPr>
      </w:pPr>
    </w:p>
    <w:p>
      <w:pPr>
        <w:ind w:left="5020"/>
        <w:spacing w:after="0"/>
        <w:rPr>
          <w:sz w:val="20"/>
          <w:szCs w:val="20"/>
          <w:color w:val="auto"/>
        </w:rPr>
      </w:pPr>
      <w:r>
        <w:rPr>
          <w:rFonts w:ascii="Arial" w:cs="Arial" w:eastAsia="Arial" w:hAnsi="Arial"/>
          <w:sz w:val="22"/>
          <w:szCs w:val="22"/>
          <w:b w:val="1"/>
          <w:bCs w:val="1"/>
          <w:u w:val="single" w:color="auto"/>
          <w:color w:val="auto"/>
        </w:rPr>
        <w:t>Appendix A</w:t>
      </w:r>
    </w:p>
    <w:p>
      <w:pPr>
        <w:spacing w:after="0" w:line="112"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Fluidigm Corporation 2020 Change of Control and Severance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 Agreement</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Fluidigm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is pleased to inform you, S. Christopher Linthwaite, that you have been selected to participate in the Company’s 2020 Change of Control and Severance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as a Participant.</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spacing w:after="0" w:line="100" w:lineRule="exact"/>
        <w:rPr>
          <w:sz w:val="20"/>
          <w:szCs w:val="20"/>
          <w:color w:val="auto"/>
        </w:rPr>
      </w:pPr>
    </w:p>
    <w:p>
      <w:pPr>
        <w:ind w:right="680"/>
        <w:spacing w:after="0" w:line="333" w:lineRule="auto"/>
        <w:rPr>
          <w:sz w:val="20"/>
          <w:szCs w:val="20"/>
          <w:color w:val="auto"/>
        </w:rPr>
      </w:pPr>
      <w:r>
        <w:rPr>
          <w:rFonts w:ascii="Arial" w:cs="Arial" w:eastAsia="Arial" w:hAnsi="Arial"/>
          <w:sz w:val="22"/>
          <w:szCs w:val="22"/>
          <w:color w:val="auto"/>
        </w:rPr>
        <w:t xml:space="preserve">In order to actually become a participant in the Plan, you must complete and sign this Participation Agreement. </w:t>
      </w:r>
      <w:r>
        <w:rPr>
          <w:rFonts w:ascii="Arial" w:cs="Arial" w:eastAsia="Arial" w:hAnsi="Arial"/>
          <w:sz w:val="22"/>
          <w:szCs w:val="22"/>
          <w:b w:val="1"/>
          <w:bCs w:val="1"/>
          <w:color w:val="auto"/>
        </w:rPr>
        <w:t>Definition of “Good Reason”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means the occurrence of one or more of the following events effected without your prior consent, provided you terminate your employment with the Company within one (1) year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a requirement that you are required to report to a corporate officer or employee instead of reporting directly to the board of directors of the Company or, if the Company becomes a subsidiary of another corporation, the board of directors of the Company’s parent company; (ii) a material reduction by the Company in your then-current base salary; (iii) a material change in the geographic location at which you must perform services (for purposes of this Participation Agreement, your relocation to a facility or a location less than 25 miles from your then-present location shall not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Non-COC Involuntary Termination</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If, outside of the Change of Control Period, you incur a Non-COC Involuntary Termination, then subject to the terms and conditions of the Plan, you will receive:</w:t>
      </w:r>
    </w:p>
    <w:p>
      <w:pPr>
        <w:spacing w:after="0" w:line="70" w:lineRule="exact"/>
        <w:rPr>
          <w:sz w:val="20"/>
          <w:szCs w:val="20"/>
          <w:color w:val="auto"/>
        </w:rPr>
      </w:pPr>
    </w:p>
    <w:p>
      <w:pPr>
        <w:jc w:val="both"/>
        <w:ind w:right="20" w:firstLine="332"/>
        <w:spacing w:after="0" w:line="258" w:lineRule="auto"/>
        <w:tabs>
          <w:tab w:leader="none" w:pos="653"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Cash Severance Benefits</w:t>
      </w:r>
      <w:r>
        <w:rPr>
          <w:rFonts w:ascii="Arial" w:cs="Arial" w:eastAsia="Arial" w:hAnsi="Arial"/>
          <w:sz w:val="22"/>
          <w:szCs w:val="22"/>
          <w:color w:val="auto"/>
        </w:rPr>
        <w:t>. An aggregate amount equal to 200% of your annual base salary in effect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of your Non-COC Involuntary Termination paid in equal installments over a period of 24 months following your termination date.</w:t>
      </w:r>
    </w:p>
    <w:p>
      <w:pPr>
        <w:spacing w:after="0" w:line="61" w:lineRule="exact"/>
        <w:rPr>
          <w:rFonts w:ascii="Arial" w:cs="Arial" w:eastAsia="Arial" w:hAnsi="Arial"/>
          <w:sz w:val="22"/>
          <w:szCs w:val="22"/>
          <w:b w:val="1"/>
          <w:bCs w:val="1"/>
          <w:color w:val="auto"/>
        </w:rPr>
      </w:pPr>
    </w:p>
    <w:p>
      <w:pPr>
        <w:ind w:right="20" w:firstLine="332"/>
        <w:spacing w:after="0" w:line="274" w:lineRule="auto"/>
        <w:tabs>
          <w:tab w:leader="none" w:pos="653"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Continued Medical Benefits</w:t>
      </w:r>
      <w:r>
        <w:rPr>
          <w:rFonts w:ascii="Arial" w:cs="Arial" w:eastAsia="Arial" w:hAnsi="Arial"/>
          <w:sz w:val="22"/>
          <w:szCs w:val="22"/>
          <w:color w:val="auto"/>
        </w:rPr>
        <w:t>. Payment by the Company of continued health coverage under COBRA for a</w:t>
      </w:r>
      <w:r>
        <w:rPr>
          <w:rFonts w:ascii="Arial" w:cs="Arial" w:eastAsia="Arial" w:hAnsi="Arial"/>
          <w:sz w:val="22"/>
          <w:szCs w:val="22"/>
          <w:b w:val="1"/>
          <w:bCs w:val="1"/>
          <w:color w:val="auto"/>
        </w:rPr>
        <w:t xml:space="preserve"> </w:t>
      </w:r>
      <w:r>
        <w:rPr>
          <w:rFonts w:ascii="Arial" w:cs="Arial" w:eastAsia="Arial" w:hAnsi="Arial"/>
          <w:sz w:val="22"/>
          <w:szCs w:val="22"/>
          <w:color w:val="auto"/>
        </w:rPr>
        <w:t>period of 12 months following your termination of employment.</w:t>
      </w:r>
    </w:p>
    <w:p>
      <w:pPr>
        <w:spacing w:after="0" w:line="43" w:lineRule="exact"/>
        <w:rPr>
          <w:rFonts w:ascii="Arial" w:cs="Arial" w:eastAsia="Arial" w:hAnsi="Arial"/>
          <w:sz w:val="22"/>
          <w:szCs w:val="22"/>
          <w:b w:val="1"/>
          <w:bCs w:val="1"/>
          <w:color w:val="auto"/>
        </w:rPr>
      </w:pPr>
    </w:p>
    <w:p>
      <w:pPr>
        <w:ind w:left="660" w:hanging="328"/>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Outplacement Services</w:t>
      </w:r>
      <w:r>
        <w:rPr>
          <w:rFonts w:ascii="Arial" w:cs="Arial" w:eastAsia="Arial" w:hAnsi="Arial"/>
          <w:sz w:val="22"/>
          <w:szCs w:val="22"/>
          <w:color w:val="auto"/>
        </w:rPr>
        <w:t>. Outplacement services as described in Section 4.3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417"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auto"/>
        </w:rPr>
        <w:t>COC Involuntary Termination</w:t>
      </w:r>
    </w:p>
    <w:p>
      <w:pPr>
        <w:spacing w:after="0" w:line="138"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If, during the Change of Control Period, you incur a COC Involuntary Termination, then subject to the terms and conditions of the Plan, you will receive:</w:t>
      </w:r>
    </w:p>
    <w:p>
      <w:pPr>
        <w:spacing w:after="0" w:line="7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Cash Severance Benefits</w:t>
      </w:r>
      <w:r>
        <w:rPr>
          <w:rFonts w:ascii="Arial" w:cs="Arial" w:eastAsia="Arial" w:hAnsi="Arial"/>
          <w:sz w:val="22"/>
          <w:szCs w:val="22"/>
          <w:color w:val="auto"/>
        </w:rPr>
        <w:t>.</w:t>
      </w:r>
    </w:p>
    <w:p>
      <w:pPr>
        <w:spacing w:after="0" w:line="137" w:lineRule="exact"/>
        <w:rPr>
          <w:rFonts w:ascii="Arial" w:cs="Arial" w:eastAsia="Arial" w:hAnsi="Arial"/>
          <w:sz w:val="22"/>
          <w:szCs w:val="22"/>
          <w:b w:val="1"/>
          <w:bCs w:val="1"/>
          <w:color w:val="auto"/>
        </w:rPr>
      </w:pPr>
    </w:p>
    <w:p>
      <w:pPr>
        <w:jc w:val="both"/>
        <w:ind w:left="1300" w:hanging="320"/>
        <w:spacing w:after="0" w:line="244" w:lineRule="auto"/>
        <w:tabs>
          <w:tab w:leader="none" w:pos="1318"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lump-sum payment equal to 250%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for the three (3) fiscal years preceding the year in which your COC Involuntary Termination occurs.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spacing w:after="0" w:line="101" w:lineRule="exact"/>
        <w:rPr>
          <w:rFonts w:ascii="Arial" w:cs="Arial" w:eastAsia="Arial" w:hAnsi="Arial"/>
          <w:sz w:val="22"/>
          <w:szCs w:val="22"/>
          <w:color w:val="auto"/>
        </w:rPr>
      </w:pPr>
    </w:p>
    <w:p>
      <w:pPr>
        <w:jc w:val="both"/>
        <w:ind w:left="1300" w:hanging="320"/>
        <w:spacing w:after="0" w:line="245" w:lineRule="auto"/>
        <w:tabs>
          <w:tab w:leader="none" w:pos="1305"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spacing w:after="0" w:line="75" w:lineRule="exact"/>
        <w:rPr>
          <w:rFonts w:ascii="Arial" w:cs="Arial" w:eastAsia="Arial" w:hAnsi="Arial"/>
          <w:sz w:val="22"/>
          <w:szCs w:val="22"/>
          <w:color w:val="auto"/>
        </w:rPr>
      </w:pPr>
    </w:p>
    <w:p>
      <w:pPr>
        <w:jc w:val="both"/>
        <w:ind w:firstLine="332"/>
        <w:spacing w:after="0" w:line="253" w:lineRule="auto"/>
        <w:tabs>
          <w:tab w:leader="none" w:pos="653"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Continued Medical Benefits</w:t>
      </w:r>
      <w:r>
        <w:rPr>
          <w:rFonts w:ascii="Arial" w:cs="Arial" w:eastAsia="Arial" w:hAnsi="Arial"/>
          <w:sz w:val="22"/>
          <w:szCs w:val="22"/>
          <w:color w:val="auto"/>
        </w:rPr>
        <w:t>. Payment by the Company of continued health coverage under COBRA (or,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period after expiration of COBRA eligibility, reimbursement of health insurance monthly costs up the amount of the COBRA premium that would be payable if COBRA were available at such time) for a period of 30 months following your termination of employment.</w:t>
      </w:r>
    </w:p>
    <w:p>
      <w:pPr>
        <w:spacing w:after="0" w:line="67" w:lineRule="exact"/>
        <w:rPr>
          <w:rFonts w:ascii="Arial" w:cs="Arial" w:eastAsia="Arial" w:hAnsi="Arial"/>
          <w:sz w:val="22"/>
          <w:szCs w:val="22"/>
          <w:b w:val="1"/>
          <w:bCs w:val="1"/>
          <w:color w:val="auto"/>
        </w:rPr>
      </w:pPr>
    </w:p>
    <w:p>
      <w:pPr>
        <w:jc w:val="both"/>
        <w:ind w:firstLine="332"/>
        <w:spacing w:after="0" w:line="245" w:lineRule="auto"/>
        <w:tabs>
          <w:tab w:leader="none" w:pos="653"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Equity Award Vesting Acceleration</w:t>
      </w:r>
      <w:r>
        <w:rPr>
          <w:rFonts w:ascii="Arial" w:cs="Arial" w:eastAsia="Arial" w:hAnsi="Arial"/>
          <w:sz w:val="22"/>
          <w:szCs w:val="22"/>
          <w:color w:val="auto"/>
        </w:rPr>
        <w:t>. 100% of your then-outstanding and unvested Equity Awards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that the payment or settlement will not be subject to the additional tax or interest applicable under Section 409A.</w:t>
      </w:r>
    </w:p>
    <w:p>
      <w:pPr>
        <w:spacing w:after="0" w:line="85" w:lineRule="exact"/>
        <w:rPr>
          <w:rFonts w:ascii="Arial" w:cs="Arial" w:eastAsia="Arial" w:hAnsi="Arial"/>
          <w:sz w:val="22"/>
          <w:szCs w:val="22"/>
          <w:b w:val="1"/>
          <w:bCs w:val="1"/>
          <w:color w:val="auto"/>
        </w:rPr>
      </w:pPr>
    </w:p>
    <w:p>
      <w:pPr>
        <w:ind w:left="660" w:hanging="328"/>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Outplacement Services</w:t>
      </w:r>
      <w:r>
        <w:rPr>
          <w:rFonts w:ascii="Arial" w:cs="Arial" w:eastAsia="Arial" w:hAnsi="Arial"/>
          <w:sz w:val="22"/>
          <w:szCs w:val="22"/>
          <w:color w:val="auto"/>
        </w:rPr>
        <w:t>. Outplacement services as described in Section 5.4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17"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auto"/>
        </w:rPr>
        <w:t>Additional Benefits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$8,000.</w:t>
      </w:r>
    </w:p>
    <w:p>
      <w:pPr>
        <w:spacing w:after="0" w:line="10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Furthermore, if you incur a Non-COC Involuntary Termination or a COC Involuntary Termination, the Company will assign to you and reimburse you for payment of premiums paid by you to maintain the life insurance policy insuring your life (as referenced in your Endorsement Split-Dollar Life Insurance Agreement, dated as of September 9, 2017, with the Company) for up to 30 months following your termination of employment.</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Provisions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spacing w:after="0" w:line="10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order to receive any Severance Benefits for which you otherwise become eligible under the Plan, you must sign and deliver to the Company the Release, which must have become effective and irrevocable within the requisite period set forth in the Plan.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417" w:right="339" w:bottom="1440" w:gutter="0" w:footer="0" w:header="0"/>
        </w:sectPr>
      </w:pPr>
    </w:p>
    <w:bookmarkStart w:id="87" w:name="page88"/>
    <w:bookmarkEnd w:id="87"/>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By your signature below, you and the Company agree that your participation in the Plan is governed by this Participation Agreement and the provisions of the Plan. Your signature below confirms that: (1) you have received a copy of the 2020 Change of Control and Severance Plan and Summary Plan Description; (2) you have carefully read this Participation Agreement and the 2020 Change of Control and Severance Plan and Summary Plan Description;</w:t>
      </w:r>
    </w:p>
    <w:p>
      <w:pPr>
        <w:spacing w:after="0" w:line="4" w:lineRule="exact"/>
        <w:rPr>
          <w:sz w:val="20"/>
          <w:szCs w:val="20"/>
          <w:color w:val="auto"/>
        </w:rPr>
      </w:pPr>
    </w:p>
    <w:p>
      <w:pPr>
        <w:jc w:val="both"/>
        <w:ind w:firstLine="8"/>
        <w:spacing w:after="0" w:line="244" w:lineRule="auto"/>
        <w:tabs>
          <w:tab w:leader="none" w:pos="366" w:val="left"/>
        </w:tabs>
        <w:numPr>
          <w:ilvl w:val="0"/>
          <w:numId w:val="48"/>
        </w:numPr>
        <w:rPr>
          <w:rFonts w:ascii="Arial" w:cs="Arial" w:eastAsia="Arial" w:hAnsi="Arial"/>
          <w:sz w:val="22"/>
          <w:szCs w:val="22"/>
          <w:color w:val="auto"/>
        </w:rPr>
      </w:pPr>
      <w:r>
        <w:rPr>
          <w:rFonts w:ascii="Arial" w:cs="Arial" w:eastAsia="Arial" w:hAnsi="Arial"/>
          <w:sz w:val="22"/>
          <w:szCs w:val="22"/>
          <w:color w:val="auto"/>
        </w:rPr>
        <w:t>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 and your Employment and Severance Agreement with the Company dated August 1, 2016.</w:t>
      </w:r>
    </w:p>
    <w:p>
      <w:pPr>
        <w:sectPr>
          <w:pgSz w:w="11900" w:h="16838" w:orient="portrait"/>
          <w:cols w:equalWidth="0" w:num="1">
            <w:col w:w="11240"/>
          </w:cols>
          <w:pgMar w:left="320" w:top="1440" w:right="339" w:bottom="1440" w:gutter="0" w:footer="0" w:header="0"/>
        </w:sectPr>
      </w:pPr>
    </w:p>
    <w:p>
      <w:pPr>
        <w:spacing w:after="0" w:line="13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FLUIDIGM CORPORATION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PARTICIPANT</w:t>
      </w:r>
    </w:p>
    <w:p>
      <w:pPr>
        <w:spacing w:after="0" w:line="200" w:lineRule="exact"/>
        <w:rPr>
          <w:sz w:val="20"/>
          <w:szCs w:val="20"/>
          <w:color w:val="auto"/>
        </w:rPr>
      </w:pPr>
    </w:p>
    <w:p>
      <w:pPr>
        <w:sectPr>
          <w:pgSz w:w="11900" w:h="16838" w:orient="portrait"/>
          <w:cols w:equalWidth="0" w:num="2">
            <w:col w:w="4820" w:space="720"/>
            <w:col w:w="5700"/>
          </w:cols>
          <w:pgMar w:left="320" w:top="1440" w:right="339" w:bottom="1440" w:gutter="0" w:footer="0" w:header="0"/>
          <w:type w:val="continuous"/>
        </w:sectPr>
      </w:pPr>
    </w:p>
    <w:p>
      <w:pPr>
        <w:spacing w:after="0" w:line="84" w:lineRule="exact"/>
        <w:rPr>
          <w:sz w:val="20"/>
          <w:szCs w:val="20"/>
          <w:color w:val="auto"/>
        </w:rPr>
      </w:pPr>
    </w:p>
    <w:p>
      <w:pPr>
        <w:ind w:left="20" w:right="960"/>
        <w:spacing w:after="0" w:line="272" w:lineRule="auto"/>
        <w:rPr>
          <w:sz w:val="20"/>
          <w:szCs w:val="20"/>
          <w:color w:val="auto"/>
        </w:rPr>
      </w:pPr>
      <w:r>
        <w:rPr>
          <w:rFonts w:ascii="Arial" w:cs="Arial" w:eastAsia="Arial" w:hAnsi="Arial"/>
          <w:sz w:val="21"/>
          <w:szCs w:val="21"/>
          <w:color w:val="auto"/>
        </w:rPr>
        <w:t>________________________________ Signature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860"/>
        <w:spacing w:after="0" w:line="272" w:lineRule="auto"/>
        <w:rPr>
          <w:sz w:val="20"/>
          <w:szCs w:val="20"/>
          <w:color w:val="auto"/>
        </w:rPr>
      </w:pPr>
      <w:r>
        <w:rPr>
          <w:rFonts w:ascii="Arial" w:cs="Arial" w:eastAsia="Arial" w:hAnsi="Arial"/>
          <w:sz w:val="21"/>
          <w:szCs w:val="21"/>
          <w:color w:val="auto"/>
        </w:rPr>
        <w:t>________________________________ Signature</w:t>
      </w:r>
    </w:p>
    <w:p>
      <w:pPr>
        <w:spacing w:after="0" w:line="200" w:lineRule="exact"/>
        <w:rPr>
          <w:sz w:val="20"/>
          <w:szCs w:val="20"/>
          <w:color w:val="auto"/>
        </w:rPr>
      </w:pPr>
    </w:p>
    <w:p>
      <w:pPr>
        <w:sectPr>
          <w:pgSz w:w="11900" w:h="16838" w:orient="portrait"/>
          <w:cols w:equalWidth="0" w:num="2">
            <w:col w:w="4820" w:space="720"/>
            <w:col w:w="5700"/>
          </w:cols>
          <w:pgMar w:left="320" w:top="1440" w:right="339" w:bottom="1440" w:gutter="0" w:footer="0" w:header="0"/>
          <w:type w:val="continuous"/>
        </w:sectPr>
      </w:pPr>
    </w:p>
    <w:p>
      <w:pPr>
        <w:spacing w:after="0" w:line="9" w:lineRule="exact"/>
        <w:rPr>
          <w:sz w:val="20"/>
          <w:szCs w:val="20"/>
          <w:color w:val="auto"/>
        </w:rPr>
      </w:pPr>
    </w:p>
    <w:p>
      <w:pPr>
        <w:ind w:left="20" w:right="840"/>
        <w:spacing w:after="0" w:line="272" w:lineRule="auto"/>
        <w:rPr>
          <w:sz w:val="20"/>
          <w:szCs w:val="20"/>
          <w:color w:val="auto"/>
        </w:rPr>
      </w:pPr>
      <w:r>
        <w:rPr>
          <w:rFonts w:ascii="Arial" w:cs="Arial" w:eastAsia="Arial" w:hAnsi="Arial"/>
          <w:sz w:val="21"/>
          <w:szCs w:val="21"/>
          <w:color w:val="auto"/>
        </w:rPr>
        <w:t>_________________________________ Name</w:t>
      </w:r>
    </w:p>
    <w:p>
      <w:pPr>
        <w:spacing w:after="0" w:line="20" w:lineRule="exact"/>
        <w:rPr>
          <w:sz w:val="20"/>
          <w:szCs w:val="20"/>
          <w:color w:val="auto"/>
        </w:rPr>
      </w:pPr>
      <w:r>
        <w:rPr>
          <w:sz w:val="20"/>
          <w:szCs w:val="20"/>
          <w:color w:val="auto"/>
        </w:rPr>
        <w:br w:type="column"/>
      </w:r>
    </w:p>
    <w:p>
      <w:pPr>
        <w:ind w:right="1740"/>
        <w:spacing w:after="0" w:line="272" w:lineRule="auto"/>
        <w:rPr>
          <w:sz w:val="20"/>
          <w:szCs w:val="20"/>
          <w:color w:val="auto"/>
        </w:rPr>
      </w:pPr>
      <w:r>
        <w:rPr>
          <w:rFonts w:ascii="Arial" w:cs="Arial" w:eastAsia="Arial" w:hAnsi="Arial"/>
          <w:sz w:val="21"/>
          <w:szCs w:val="21"/>
          <w:color w:val="auto"/>
        </w:rPr>
        <w:t>_________________________________ Name</w:t>
      </w:r>
    </w:p>
    <w:p>
      <w:pPr>
        <w:spacing w:after="0" w:line="200" w:lineRule="exact"/>
        <w:rPr>
          <w:sz w:val="20"/>
          <w:szCs w:val="20"/>
          <w:color w:val="auto"/>
        </w:rPr>
      </w:pPr>
    </w:p>
    <w:p>
      <w:pPr>
        <w:sectPr>
          <w:pgSz w:w="11900" w:h="16838" w:orient="portrait"/>
          <w:cols w:equalWidth="0" w:num="2">
            <w:col w:w="4820" w:space="720"/>
            <w:col w:w="5700"/>
          </w:cols>
          <w:pgMar w:left="320" w:top="1440" w:right="339" w:bottom="1440" w:gutter="0" w:footer="0" w:header="0"/>
          <w:type w:val="continuous"/>
        </w:sectPr>
      </w:pPr>
    </w:p>
    <w:p>
      <w:pPr>
        <w:spacing w:after="0" w:line="9" w:lineRule="exact"/>
        <w:rPr>
          <w:sz w:val="20"/>
          <w:szCs w:val="20"/>
          <w:color w:val="auto"/>
        </w:rPr>
      </w:pPr>
    </w:p>
    <w:p>
      <w:pPr>
        <w:ind w:left="20" w:right="840"/>
        <w:spacing w:after="0" w:line="272" w:lineRule="auto"/>
        <w:rPr>
          <w:sz w:val="20"/>
          <w:szCs w:val="20"/>
          <w:color w:val="auto"/>
        </w:rPr>
      </w:pPr>
      <w:r>
        <w:rPr>
          <w:rFonts w:ascii="Arial" w:cs="Arial" w:eastAsia="Arial" w:hAnsi="Arial"/>
          <w:sz w:val="21"/>
          <w:szCs w:val="21"/>
          <w:color w:val="auto"/>
        </w:rPr>
        <w:t>_________________________________ Title</w:t>
      </w:r>
    </w:p>
    <w:p>
      <w:pPr>
        <w:spacing w:after="0" w:line="20" w:lineRule="exact"/>
        <w:rPr>
          <w:sz w:val="20"/>
          <w:szCs w:val="20"/>
          <w:color w:val="auto"/>
        </w:rPr>
      </w:pPr>
      <w:r>
        <w:rPr>
          <w:sz w:val="20"/>
          <w:szCs w:val="20"/>
          <w:color w:val="auto"/>
        </w:rPr>
        <w:br w:type="column"/>
      </w:r>
    </w:p>
    <w:p>
      <w:pPr>
        <w:ind w:right="1740"/>
        <w:spacing w:after="0" w:line="272" w:lineRule="auto"/>
        <w:rPr>
          <w:sz w:val="20"/>
          <w:szCs w:val="20"/>
          <w:color w:val="auto"/>
        </w:rPr>
      </w:pPr>
      <w:r>
        <w:rPr>
          <w:rFonts w:ascii="Arial" w:cs="Arial" w:eastAsia="Arial" w:hAnsi="Arial"/>
          <w:sz w:val="21"/>
          <w:szCs w:val="21"/>
          <w:color w:val="auto"/>
        </w:rPr>
        <w:t>_________________________________ Date</w:t>
      </w:r>
    </w:p>
    <w:p>
      <w:pPr>
        <w:spacing w:after="0" w:line="101" w:lineRule="exact"/>
        <w:rPr>
          <w:sz w:val="20"/>
          <w:szCs w:val="20"/>
          <w:color w:val="auto"/>
        </w:rPr>
      </w:pPr>
    </w:p>
    <w:p>
      <w:pPr>
        <w:sectPr>
          <w:pgSz w:w="11900" w:h="16838" w:orient="portrait"/>
          <w:cols w:equalWidth="0" w:num="2">
            <w:col w:w="4820" w:space="720"/>
            <w:col w:w="5700"/>
          </w:cols>
          <w:pgMar w:left="320" w:top="1440" w:right="339" w:bottom="1440" w:gutter="0" w:footer="0" w:header="0"/>
          <w:type w:val="continuous"/>
        </w:sectPr>
      </w:pPr>
    </w:p>
    <w:p>
      <w:pPr>
        <w:spacing w:after="0"/>
        <w:rPr>
          <w:sz w:val="20"/>
          <w:szCs w:val="20"/>
          <w:color w:val="auto"/>
        </w:rPr>
      </w:pPr>
      <w:r>
        <w:rPr>
          <w:rFonts w:ascii="Arial" w:cs="Arial" w:eastAsia="Arial" w:hAnsi="Arial"/>
          <w:sz w:val="21"/>
          <w:szCs w:val="21"/>
          <w:color w:val="auto"/>
        </w:rPr>
        <w:t>Attachment: Fluidigm Corporation 2020 Change of Control and Severance Plan and Summary Plan Description</w:t>
      </w:r>
    </w:p>
    <w:p>
      <w:pPr>
        <w:spacing w:after="0" w:line="101" w:lineRule="exact"/>
        <w:rPr>
          <w:sz w:val="20"/>
          <w:szCs w:val="20"/>
          <w:color w:val="auto"/>
        </w:rPr>
      </w:pPr>
    </w:p>
    <w:p>
      <w:pPr>
        <w:ind w:left="3340"/>
        <w:spacing w:after="0"/>
        <w:rPr>
          <w:sz w:val="20"/>
          <w:szCs w:val="20"/>
          <w:color w:val="auto"/>
        </w:rPr>
      </w:pPr>
      <w:r>
        <w:rPr>
          <w:rFonts w:ascii="Arial" w:cs="Arial" w:eastAsia="Arial" w:hAnsi="Arial"/>
          <w:sz w:val="22"/>
          <w:szCs w:val="22"/>
          <w:i w:val="1"/>
          <w:iCs w:val="1"/>
          <w:color w:val="auto"/>
        </w:rPr>
        <w:t>[Signature Page to the Participation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440" w:right="339" w:bottom="1440" w:gutter="0" w:footer="0" w:header="0"/>
          <w:type w:val="continuous"/>
        </w:sectPr>
      </w:pPr>
    </w:p>
    <w:bookmarkStart w:id="88" w:name="page89"/>
    <w:bookmarkEnd w:id="88"/>
    <w:p>
      <w:pPr>
        <w:ind w:left="7400"/>
        <w:spacing w:after="0"/>
        <w:rPr>
          <w:sz w:val="20"/>
          <w:szCs w:val="20"/>
          <w:color w:val="auto"/>
        </w:rPr>
      </w:pPr>
      <w:r>
        <w:rPr>
          <w:rFonts w:ascii="Arial" w:cs="Arial" w:eastAsia="Arial" w:hAnsi="Arial"/>
          <w:sz w:val="21"/>
          <w:szCs w:val="21"/>
          <w:b w:val="1"/>
          <w:bCs w:val="1"/>
          <w:color w:val="auto"/>
        </w:rPr>
        <w:t>Executive Leadership Team Members</w:t>
      </w:r>
    </w:p>
    <w:p>
      <w:pPr>
        <w:spacing w:after="0" w:line="123"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Appendix A</w:t>
      </w:r>
    </w:p>
    <w:p>
      <w:pPr>
        <w:spacing w:after="0" w:line="112"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Fluidigm Corporation 2020 Change of Control and Severance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 Agreement</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Fluidigm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is pleased to inform you that you have been selected to participate in the Company’s 2020 Change of Control and Severance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as a Participant.</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spacing w:after="0" w:line="100" w:lineRule="exact"/>
        <w:rPr>
          <w:sz w:val="20"/>
          <w:szCs w:val="20"/>
          <w:color w:val="auto"/>
        </w:rPr>
      </w:pPr>
    </w:p>
    <w:p>
      <w:pPr>
        <w:ind w:right="680"/>
        <w:spacing w:after="0" w:line="333" w:lineRule="auto"/>
        <w:rPr>
          <w:sz w:val="20"/>
          <w:szCs w:val="20"/>
          <w:color w:val="auto"/>
        </w:rPr>
      </w:pPr>
      <w:r>
        <w:rPr>
          <w:rFonts w:ascii="Arial" w:cs="Arial" w:eastAsia="Arial" w:hAnsi="Arial"/>
          <w:sz w:val="22"/>
          <w:szCs w:val="22"/>
          <w:color w:val="auto"/>
        </w:rPr>
        <w:t xml:space="preserve">In order to actually become a participant in the Plan, you must complete and sign this Participation Agreement. </w:t>
      </w:r>
      <w:r>
        <w:rPr>
          <w:rFonts w:ascii="Arial" w:cs="Arial" w:eastAsia="Arial" w:hAnsi="Arial"/>
          <w:sz w:val="22"/>
          <w:szCs w:val="22"/>
          <w:b w:val="1"/>
          <w:bCs w:val="1"/>
          <w:color w:val="auto"/>
        </w:rPr>
        <w:t>Definition of “Good Reason”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Good Reason</w:t>
      </w:r>
      <w:r>
        <w:rPr>
          <w:rFonts w:ascii="Arial" w:cs="Arial" w:eastAsia="Arial" w:hAnsi="Arial"/>
          <w:sz w:val="21"/>
          <w:szCs w:val="21"/>
          <w:color w:val="auto"/>
        </w:rPr>
        <w:t>” means the occurrence of one or more of the following events effected without your prior consent, provided you terminate your employment with the Company within one (1) year following the initial existence of the “Good Reason” condition (discussed below):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then-current base salary; (iii) a material change in the geographic location at which you must perform services (for purposes of this Participation Agreement, your relocation to a facility or a location less than 25 miles from your then-present location shall not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Non-COC Involuntary Termination</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If, outside of the Change of Control Period, you incur a Non-COC Involuntary Termination, then subject to the terms and conditions of the Plan, you will receive:</w:t>
      </w:r>
    </w:p>
    <w:p>
      <w:pPr>
        <w:spacing w:after="0" w:line="70" w:lineRule="exact"/>
        <w:rPr>
          <w:sz w:val="20"/>
          <w:szCs w:val="20"/>
          <w:color w:val="auto"/>
        </w:rPr>
      </w:pPr>
    </w:p>
    <w:p>
      <w:pPr>
        <w:jc w:val="both"/>
        <w:ind w:firstLine="332"/>
        <w:spacing w:after="0" w:line="258" w:lineRule="auto"/>
        <w:tabs>
          <w:tab w:leader="none" w:pos="653"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Cash Severance Benefits</w:t>
      </w:r>
      <w:r>
        <w:rPr>
          <w:rFonts w:ascii="Arial" w:cs="Arial" w:eastAsia="Arial" w:hAnsi="Arial"/>
          <w:sz w:val="22"/>
          <w:szCs w:val="22"/>
          <w:color w:val="auto"/>
        </w:rPr>
        <w:t>. An aggregate amount equal to 75% of your annual base salary in effect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of your Non-COC Involuntary Termination paid in equal installments over a period of nine (9) months following your termination date.</w:t>
      </w:r>
    </w:p>
    <w:p>
      <w:pPr>
        <w:spacing w:after="0" w:line="61" w:lineRule="exact"/>
        <w:rPr>
          <w:rFonts w:ascii="Arial" w:cs="Arial" w:eastAsia="Arial" w:hAnsi="Arial"/>
          <w:sz w:val="22"/>
          <w:szCs w:val="22"/>
          <w:b w:val="1"/>
          <w:bCs w:val="1"/>
          <w:color w:val="auto"/>
        </w:rPr>
      </w:pPr>
    </w:p>
    <w:p>
      <w:pPr>
        <w:jc w:val="both"/>
        <w:ind w:firstLine="332"/>
        <w:spacing w:after="0" w:line="253" w:lineRule="auto"/>
        <w:tabs>
          <w:tab w:leader="none" w:pos="653"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Continued Medical Benefits</w:t>
      </w:r>
      <w:r>
        <w:rPr>
          <w:rFonts w:ascii="Arial" w:cs="Arial" w:eastAsia="Arial" w:hAnsi="Arial"/>
          <w:sz w:val="22"/>
          <w:szCs w:val="22"/>
          <w:color w:val="auto"/>
        </w:rPr>
        <w:t>. Payment by the Company of continued health coverage under COBRA for a</w:t>
      </w:r>
      <w:r>
        <w:rPr>
          <w:rFonts w:ascii="Arial" w:cs="Arial" w:eastAsia="Arial" w:hAnsi="Arial"/>
          <w:sz w:val="22"/>
          <w:szCs w:val="22"/>
          <w:b w:val="1"/>
          <w:bCs w:val="1"/>
          <w:color w:val="auto"/>
        </w:rPr>
        <w:t xml:space="preserve"> </w:t>
      </w:r>
      <w:r>
        <w:rPr>
          <w:rFonts w:ascii="Arial" w:cs="Arial" w:eastAsia="Arial" w:hAnsi="Arial"/>
          <w:sz w:val="22"/>
          <w:szCs w:val="22"/>
          <w:color w:val="auto"/>
        </w:rPr>
        <w:t>period of nine (9) months following your termination of employment. Notwithstanding the foregoing, if you are not employed in the United States, the benefit under this paragraph will be a regional equivalent to COBRA determined by the Administrator in its sole discretion.</w:t>
      </w:r>
    </w:p>
    <w:p>
      <w:pPr>
        <w:sectPr>
          <w:pgSz w:w="11900" w:h="16838" w:orient="portrait"/>
          <w:cols w:equalWidth="0" w:num="1">
            <w:col w:w="11240"/>
          </w:cols>
          <w:pgMar w:left="320" w:top="1417" w:right="339" w:bottom="1440" w:gutter="0" w:footer="0" w:header="0"/>
        </w:sectPr>
      </w:pPr>
    </w:p>
    <w:bookmarkStart w:id="89" w:name="page90"/>
    <w:bookmarkEnd w:id="89"/>
    <w:p>
      <w:pPr>
        <w:ind w:left="660" w:hanging="328"/>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Outplacement Services</w:t>
      </w:r>
      <w:r>
        <w:rPr>
          <w:rFonts w:ascii="Arial" w:cs="Arial" w:eastAsia="Arial" w:hAnsi="Arial"/>
          <w:sz w:val="22"/>
          <w:szCs w:val="22"/>
          <w:color w:val="auto"/>
        </w:rPr>
        <w:t>. Outplacement services as described in Section 4.3 of the Plan.</w:t>
      </w:r>
    </w:p>
    <w:p>
      <w:pPr>
        <w:spacing w:after="0" w:line="111"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COC Involuntary Termination</w:t>
      </w:r>
    </w:p>
    <w:p>
      <w:pPr>
        <w:spacing w:after="0" w:line="138"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If, during the Change of Control Period, you incur a COC Involuntary Termination, then subject to the terms and conditions of the Plan, you will receive:</w:t>
      </w:r>
    </w:p>
    <w:p>
      <w:pPr>
        <w:spacing w:after="0" w:line="7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Cash Severance Benefits</w:t>
      </w:r>
      <w:r>
        <w:rPr>
          <w:rFonts w:ascii="Arial" w:cs="Arial" w:eastAsia="Arial" w:hAnsi="Arial"/>
          <w:sz w:val="22"/>
          <w:szCs w:val="22"/>
          <w:color w:val="auto"/>
        </w:rPr>
        <w:t>.</w:t>
      </w:r>
    </w:p>
    <w:p>
      <w:pPr>
        <w:spacing w:after="0" w:line="137" w:lineRule="exact"/>
        <w:rPr>
          <w:rFonts w:ascii="Arial" w:cs="Arial" w:eastAsia="Arial" w:hAnsi="Arial"/>
          <w:sz w:val="22"/>
          <w:szCs w:val="22"/>
          <w:b w:val="1"/>
          <w:bCs w:val="1"/>
          <w:color w:val="auto"/>
        </w:rPr>
      </w:pPr>
    </w:p>
    <w:p>
      <w:pPr>
        <w:jc w:val="both"/>
        <w:ind w:left="1300" w:hanging="320"/>
        <w:spacing w:after="0" w:line="244" w:lineRule="auto"/>
        <w:tabs>
          <w:tab w:leader="none" w:pos="1318" w:val="left"/>
        </w:tabs>
        <w:numPr>
          <w:ilvl w:val="1"/>
          <w:numId w:val="51"/>
        </w:numPr>
        <w:rPr>
          <w:rFonts w:ascii="Arial" w:cs="Arial" w:eastAsia="Arial" w:hAnsi="Arial"/>
          <w:sz w:val="22"/>
          <w:szCs w:val="22"/>
          <w:color w:val="auto"/>
        </w:rPr>
      </w:pPr>
      <w:r>
        <w:rPr>
          <w:rFonts w:ascii="Arial" w:cs="Arial" w:eastAsia="Arial" w:hAnsi="Arial"/>
          <w:sz w:val="22"/>
          <w:szCs w:val="22"/>
          <w:color w:val="auto"/>
        </w:rPr>
        <w:t>A lump-sum payment equal to 150% of the sum of (x) your annual base salary (as in effect immediately prior to the Change of Control or your COC Involuntary Termination, whichever is greater), plus (y) the greater of (A) your annual target bonus (as in effect immediately prior to the Change of Control or your COC Involuntary Termination, whichever is greater) or (B) the average of the annual bonuses actually paid to you for the three (3) fiscal years preceding the year in which your COC Involuntary Termination occurs.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spacing w:after="0" w:line="101" w:lineRule="exact"/>
        <w:rPr>
          <w:rFonts w:ascii="Arial" w:cs="Arial" w:eastAsia="Arial" w:hAnsi="Arial"/>
          <w:sz w:val="22"/>
          <w:szCs w:val="22"/>
          <w:color w:val="auto"/>
        </w:rPr>
      </w:pPr>
    </w:p>
    <w:p>
      <w:pPr>
        <w:jc w:val="both"/>
        <w:ind w:left="1300" w:hanging="320"/>
        <w:spacing w:after="0" w:line="245" w:lineRule="auto"/>
        <w:tabs>
          <w:tab w:leader="none" w:pos="1305" w:val="left"/>
        </w:tabs>
        <w:numPr>
          <w:ilvl w:val="1"/>
          <w:numId w:val="51"/>
        </w:numPr>
        <w:rPr>
          <w:rFonts w:ascii="Arial" w:cs="Arial" w:eastAsia="Arial" w:hAnsi="Arial"/>
          <w:sz w:val="22"/>
          <w:szCs w:val="22"/>
          <w:color w:val="auto"/>
        </w:rPr>
      </w:pPr>
      <w:r>
        <w:rPr>
          <w:rFonts w:ascii="Arial" w:cs="Arial" w:eastAsia="Arial" w:hAnsi="Arial"/>
          <w:sz w:val="22"/>
          <w:szCs w:val="22"/>
          <w:color w:val="auto"/>
        </w:rPr>
        <w:t>A lump sum amount equal to (i) your annual target bonus (as in effect immediately prior to the Change of Control or your COC Involuntary Termination, whichever is greater), multiplied by (ii) a fraction, the numerator of which is the number of days worked by you during the year in which the COC Involuntary Termination occurs and the denominator of which is 365.</w:t>
      </w:r>
    </w:p>
    <w:p>
      <w:pPr>
        <w:spacing w:after="0" w:line="75" w:lineRule="exact"/>
        <w:rPr>
          <w:rFonts w:ascii="Arial" w:cs="Arial" w:eastAsia="Arial" w:hAnsi="Arial"/>
          <w:sz w:val="22"/>
          <w:szCs w:val="22"/>
          <w:color w:val="auto"/>
        </w:rPr>
      </w:pPr>
    </w:p>
    <w:p>
      <w:pPr>
        <w:jc w:val="both"/>
        <w:ind w:firstLine="332"/>
        <w:spacing w:after="0" w:line="253" w:lineRule="auto"/>
        <w:tabs>
          <w:tab w:leader="none" w:pos="653"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Continued Medical Benefits</w:t>
      </w:r>
      <w:r>
        <w:rPr>
          <w:rFonts w:ascii="Arial" w:cs="Arial" w:eastAsia="Arial" w:hAnsi="Arial"/>
          <w:sz w:val="22"/>
          <w:szCs w:val="22"/>
          <w:color w:val="auto"/>
        </w:rPr>
        <w:t>. Payment by the Company of continued health coverage under COBRA for a</w:t>
      </w:r>
      <w:r>
        <w:rPr>
          <w:rFonts w:ascii="Arial" w:cs="Arial" w:eastAsia="Arial" w:hAnsi="Arial"/>
          <w:sz w:val="22"/>
          <w:szCs w:val="22"/>
          <w:b w:val="1"/>
          <w:bCs w:val="1"/>
          <w:color w:val="auto"/>
        </w:rPr>
        <w:t xml:space="preserve"> </w:t>
      </w:r>
      <w:r>
        <w:rPr>
          <w:rFonts w:ascii="Arial" w:cs="Arial" w:eastAsia="Arial" w:hAnsi="Arial"/>
          <w:sz w:val="22"/>
          <w:szCs w:val="22"/>
          <w:color w:val="auto"/>
        </w:rPr>
        <w:t>period of 18 months following your termination of employment. Notwithstanding the foregoing, if you are not employed in the United States, the benefit under this paragraph will be a regional equivalent to COBRA determined by the Administrator in its sole discretion.</w:t>
      </w:r>
    </w:p>
    <w:p>
      <w:pPr>
        <w:spacing w:after="0" w:line="67" w:lineRule="exact"/>
        <w:rPr>
          <w:rFonts w:ascii="Arial" w:cs="Arial" w:eastAsia="Arial" w:hAnsi="Arial"/>
          <w:sz w:val="22"/>
          <w:szCs w:val="22"/>
          <w:b w:val="1"/>
          <w:bCs w:val="1"/>
          <w:color w:val="auto"/>
        </w:rPr>
      </w:pPr>
    </w:p>
    <w:p>
      <w:pPr>
        <w:jc w:val="both"/>
        <w:ind w:firstLine="332"/>
        <w:spacing w:after="0" w:line="245" w:lineRule="auto"/>
        <w:tabs>
          <w:tab w:leader="none" w:pos="653"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Equity Award Vesting Acceleration</w:t>
      </w:r>
      <w:r>
        <w:rPr>
          <w:rFonts w:ascii="Arial" w:cs="Arial" w:eastAsia="Arial" w:hAnsi="Arial"/>
          <w:sz w:val="22"/>
          <w:szCs w:val="22"/>
          <w:color w:val="auto"/>
        </w:rPr>
        <w:t>. 100% of your then-outstanding and unvested Equity Awards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vested in full. If, however, an outstanding Equity Award is to vest and/or the amount of the award to vest is to be determined based on the achievement of performance criteria, then, unless expressly otherwise provided in the applicable Equity Award agreement, the Equity Award will vest as to 100% of the “Baseline Number of Restricted Stock Units” or “Baseline Number of Performance Units” (as defined in the Company’s grant agreements) or the equivalent measure of the number of units or shares that vest at 100% of target levels of achievement under the relevant Equity Award. Except otherwise provided in the applicable Equity Award agreement, shares owed upon such vesting (and exercise if applicable) of Equity Awards will issued to you as promptly as practicable and no more than 30 days after they become issuable (whether through the vesting acceleration alone or upon an exercise of options following such vesting acceleration). Notwithstanding the foregoing, to the extent that the payment or settlement of an Equity Award is subject to Section 409A, the Equity Award will be paid or settled in a manner that will meet the requirements of Section 409A such that the payment or settlement will not be subject to the additional tax or interest applicable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17" w:right="339" w:bottom="1440" w:gutter="0" w:footer="0" w:header="0"/>
        </w:sectPr>
      </w:pPr>
    </w:p>
    <w:bookmarkStart w:id="90" w:name="page91"/>
    <w:bookmarkEnd w:id="90"/>
    <w:p>
      <w:pPr>
        <w:ind w:left="660" w:hanging="328"/>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Outplacement Services</w:t>
      </w:r>
      <w:r>
        <w:rPr>
          <w:rFonts w:ascii="Arial" w:cs="Arial" w:eastAsia="Arial" w:hAnsi="Arial"/>
          <w:sz w:val="22"/>
          <w:szCs w:val="22"/>
          <w:color w:val="auto"/>
        </w:rPr>
        <w:t>. Outplacement services as described in Section 5.4 of the Plan.</w:t>
      </w:r>
    </w:p>
    <w:p>
      <w:pPr>
        <w:spacing w:after="0" w:line="111"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Additional Benefits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In addition to the foregoing benefits, in addition to the Plan benefits described above, if, during the Change of Control Period, you incur a COC Involuntary Termination, then subject to the terms and conditions of the Plan, the Company will reimburse your reasonable attorneys’ fees incurred in connection with the review of the Release and any related separation agreements and documents, up to $5,000.</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Provisions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For clarity, any severance payments provided for herein that are based on annual base salary (and any reduction to base salary constituting “Good Reason”) shall be calculated without giving effect to any temporary reduction in base salary imposed by the Company or agreed to by you in connection with any global pandemic or comparable global or U.S. emergency that threatens the Company’s economic position.</w:t>
      </w:r>
    </w:p>
    <w:p>
      <w:pPr>
        <w:spacing w:after="0" w:line="10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order to receive any Severance Benefits for which you otherwise become eligible under the Plan, you must sign and deliver to the Company the Release, which must have become effective and irrevocable within the requisite period set forth in the Plan.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417" w:right="339" w:bottom="1440" w:gutter="0" w:footer="0" w:header="0"/>
        </w:sectPr>
      </w:pPr>
    </w:p>
    <w:bookmarkStart w:id="91" w:name="page92"/>
    <w:bookmarkEnd w:id="91"/>
    <w:p>
      <w:pPr>
        <w:spacing w:after="0" w:line="35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By your signature below, you and the Company agree that your participation in the Plan is governed by this Participation Agreement and the provisions of the Plan. Your signature below confirms that: (1) you have received a copy of the 2020 Change of Control and Severance Plan and Summary Plan Description; (2) you have carefully read this Participation Agreement and the 2020 Change of Control and Severance Plan and Summary Plan Description;</w:t>
      </w:r>
    </w:p>
    <w:p>
      <w:pPr>
        <w:spacing w:after="0" w:line="4" w:lineRule="exact"/>
        <w:rPr>
          <w:sz w:val="20"/>
          <w:szCs w:val="20"/>
          <w:color w:val="auto"/>
        </w:rPr>
      </w:pPr>
    </w:p>
    <w:p>
      <w:pPr>
        <w:jc w:val="both"/>
        <w:ind w:firstLine="8"/>
        <w:spacing w:after="0" w:line="245" w:lineRule="auto"/>
        <w:tabs>
          <w:tab w:leader="none" w:pos="366" w:val="left"/>
        </w:tabs>
        <w:numPr>
          <w:ilvl w:val="0"/>
          <w:numId w:val="53"/>
        </w:numPr>
        <w:rPr>
          <w:rFonts w:ascii="Arial" w:cs="Arial" w:eastAsia="Arial" w:hAnsi="Arial"/>
          <w:sz w:val="22"/>
          <w:szCs w:val="22"/>
          <w:color w:val="auto"/>
        </w:rPr>
      </w:pPr>
      <w:r>
        <w:rPr>
          <w:rFonts w:ascii="Arial" w:cs="Arial" w:eastAsia="Arial" w:hAnsi="Arial"/>
          <w:sz w:val="22"/>
          <w:szCs w:val="22"/>
          <w:color w:val="auto"/>
        </w:rPr>
        <w:t>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 including, but not limited to, the Prior Plan.</w:t>
      </w:r>
    </w:p>
    <w:p>
      <w:pPr>
        <w:sectPr>
          <w:pgSz w:w="11900" w:h="16838" w:orient="portrait"/>
          <w:cols w:equalWidth="0" w:num="1">
            <w:col w:w="11240"/>
          </w:cols>
          <w:pgMar w:left="320" w:top="1440" w:right="339" w:bottom="1440" w:gutter="0" w:footer="0" w:header="0"/>
        </w:sectPr>
      </w:pPr>
    </w:p>
    <w:p>
      <w:pPr>
        <w:spacing w:after="0" w:line="12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FLUIDIGM CORPORATION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PARTICIPANT</w:t>
      </w:r>
    </w:p>
    <w:p>
      <w:pPr>
        <w:spacing w:after="0" w:line="200" w:lineRule="exact"/>
        <w:rPr>
          <w:sz w:val="20"/>
          <w:szCs w:val="20"/>
          <w:color w:val="auto"/>
        </w:rPr>
      </w:pPr>
    </w:p>
    <w:p>
      <w:pPr>
        <w:sectPr>
          <w:pgSz w:w="11900" w:h="16838" w:orient="portrait"/>
          <w:cols w:equalWidth="0" w:num="2">
            <w:col w:w="4820" w:space="720"/>
            <w:col w:w="5700"/>
          </w:cols>
          <w:pgMar w:left="320" w:top="1440" w:right="339" w:bottom="1440" w:gutter="0" w:footer="0" w:header="0"/>
          <w:type w:val="continuous"/>
        </w:sectPr>
      </w:pPr>
    </w:p>
    <w:p>
      <w:pPr>
        <w:spacing w:after="0" w:line="84" w:lineRule="exact"/>
        <w:rPr>
          <w:sz w:val="20"/>
          <w:szCs w:val="20"/>
          <w:color w:val="auto"/>
        </w:rPr>
      </w:pPr>
    </w:p>
    <w:p>
      <w:pPr>
        <w:ind w:left="20" w:right="960"/>
        <w:spacing w:after="0" w:line="272" w:lineRule="auto"/>
        <w:rPr>
          <w:sz w:val="20"/>
          <w:szCs w:val="20"/>
          <w:color w:val="auto"/>
        </w:rPr>
      </w:pPr>
      <w:r>
        <w:rPr>
          <w:rFonts w:ascii="Arial" w:cs="Arial" w:eastAsia="Arial" w:hAnsi="Arial"/>
          <w:sz w:val="21"/>
          <w:szCs w:val="21"/>
          <w:color w:val="auto"/>
        </w:rPr>
        <w:t>________________________________ Signature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860"/>
        <w:spacing w:after="0" w:line="272" w:lineRule="auto"/>
        <w:rPr>
          <w:sz w:val="20"/>
          <w:szCs w:val="20"/>
          <w:color w:val="auto"/>
        </w:rPr>
      </w:pPr>
      <w:r>
        <w:rPr>
          <w:rFonts w:ascii="Arial" w:cs="Arial" w:eastAsia="Arial" w:hAnsi="Arial"/>
          <w:sz w:val="21"/>
          <w:szCs w:val="21"/>
          <w:color w:val="auto"/>
        </w:rPr>
        <w:t>________________________________ Signature</w:t>
      </w:r>
    </w:p>
    <w:p>
      <w:pPr>
        <w:spacing w:after="0" w:line="200" w:lineRule="exact"/>
        <w:rPr>
          <w:sz w:val="20"/>
          <w:szCs w:val="20"/>
          <w:color w:val="auto"/>
        </w:rPr>
      </w:pPr>
    </w:p>
    <w:p>
      <w:pPr>
        <w:sectPr>
          <w:pgSz w:w="11900" w:h="16838" w:orient="portrait"/>
          <w:cols w:equalWidth="0" w:num="2">
            <w:col w:w="4820" w:space="720"/>
            <w:col w:w="5700"/>
          </w:cols>
          <w:pgMar w:left="320" w:top="1440" w:right="339" w:bottom="1440" w:gutter="0" w:footer="0" w:header="0"/>
          <w:type w:val="continuous"/>
        </w:sectPr>
      </w:pPr>
    </w:p>
    <w:p>
      <w:pPr>
        <w:spacing w:after="0" w:line="9" w:lineRule="exact"/>
        <w:rPr>
          <w:sz w:val="20"/>
          <w:szCs w:val="20"/>
          <w:color w:val="auto"/>
        </w:rPr>
      </w:pPr>
    </w:p>
    <w:p>
      <w:pPr>
        <w:ind w:left="20" w:right="840"/>
        <w:spacing w:after="0" w:line="272" w:lineRule="auto"/>
        <w:rPr>
          <w:sz w:val="20"/>
          <w:szCs w:val="20"/>
          <w:color w:val="auto"/>
        </w:rPr>
      </w:pPr>
      <w:r>
        <w:rPr>
          <w:rFonts w:ascii="Arial" w:cs="Arial" w:eastAsia="Arial" w:hAnsi="Arial"/>
          <w:sz w:val="21"/>
          <w:szCs w:val="21"/>
          <w:color w:val="auto"/>
        </w:rPr>
        <w:t>_________________________________ Name</w:t>
      </w:r>
    </w:p>
    <w:p>
      <w:pPr>
        <w:spacing w:after="0" w:line="20" w:lineRule="exact"/>
        <w:rPr>
          <w:sz w:val="20"/>
          <w:szCs w:val="20"/>
          <w:color w:val="auto"/>
        </w:rPr>
      </w:pPr>
      <w:r>
        <w:rPr>
          <w:sz w:val="20"/>
          <w:szCs w:val="20"/>
          <w:color w:val="auto"/>
        </w:rPr>
        <w:br w:type="column"/>
      </w:r>
    </w:p>
    <w:p>
      <w:pPr>
        <w:ind w:right="1740"/>
        <w:spacing w:after="0" w:line="272" w:lineRule="auto"/>
        <w:rPr>
          <w:sz w:val="20"/>
          <w:szCs w:val="20"/>
          <w:color w:val="auto"/>
        </w:rPr>
      </w:pPr>
      <w:r>
        <w:rPr>
          <w:rFonts w:ascii="Arial" w:cs="Arial" w:eastAsia="Arial" w:hAnsi="Arial"/>
          <w:sz w:val="21"/>
          <w:szCs w:val="21"/>
          <w:color w:val="auto"/>
        </w:rPr>
        <w:t>_________________________________ Name</w:t>
      </w:r>
    </w:p>
    <w:p>
      <w:pPr>
        <w:spacing w:after="0" w:line="200" w:lineRule="exact"/>
        <w:rPr>
          <w:sz w:val="20"/>
          <w:szCs w:val="20"/>
          <w:color w:val="auto"/>
        </w:rPr>
      </w:pPr>
    </w:p>
    <w:p>
      <w:pPr>
        <w:sectPr>
          <w:pgSz w:w="11900" w:h="16838" w:orient="portrait"/>
          <w:cols w:equalWidth="0" w:num="2">
            <w:col w:w="4820" w:space="720"/>
            <w:col w:w="5700"/>
          </w:cols>
          <w:pgMar w:left="320" w:top="1440" w:right="339" w:bottom="1440" w:gutter="0" w:footer="0" w:header="0"/>
          <w:type w:val="continuous"/>
        </w:sectPr>
      </w:pPr>
    </w:p>
    <w:p>
      <w:pPr>
        <w:spacing w:after="0" w:line="9" w:lineRule="exact"/>
        <w:rPr>
          <w:sz w:val="20"/>
          <w:szCs w:val="20"/>
          <w:color w:val="auto"/>
        </w:rPr>
      </w:pPr>
    </w:p>
    <w:p>
      <w:pPr>
        <w:ind w:left="20" w:right="840"/>
        <w:spacing w:after="0" w:line="272" w:lineRule="auto"/>
        <w:rPr>
          <w:sz w:val="20"/>
          <w:szCs w:val="20"/>
          <w:color w:val="auto"/>
        </w:rPr>
      </w:pPr>
      <w:r>
        <w:rPr>
          <w:rFonts w:ascii="Arial" w:cs="Arial" w:eastAsia="Arial" w:hAnsi="Arial"/>
          <w:sz w:val="21"/>
          <w:szCs w:val="21"/>
          <w:color w:val="auto"/>
        </w:rPr>
        <w:t>_________________________________ Title</w:t>
      </w:r>
    </w:p>
    <w:p>
      <w:pPr>
        <w:spacing w:after="0" w:line="20" w:lineRule="exact"/>
        <w:rPr>
          <w:sz w:val="20"/>
          <w:szCs w:val="20"/>
          <w:color w:val="auto"/>
        </w:rPr>
      </w:pPr>
      <w:r>
        <w:rPr>
          <w:sz w:val="20"/>
          <w:szCs w:val="20"/>
          <w:color w:val="auto"/>
        </w:rPr>
        <w:br w:type="column"/>
      </w:r>
    </w:p>
    <w:p>
      <w:pPr>
        <w:ind w:right="1740"/>
        <w:spacing w:after="0" w:line="272" w:lineRule="auto"/>
        <w:rPr>
          <w:sz w:val="20"/>
          <w:szCs w:val="20"/>
          <w:color w:val="auto"/>
        </w:rPr>
      </w:pPr>
      <w:r>
        <w:rPr>
          <w:rFonts w:ascii="Arial" w:cs="Arial" w:eastAsia="Arial" w:hAnsi="Arial"/>
          <w:sz w:val="21"/>
          <w:szCs w:val="21"/>
          <w:color w:val="auto"/>
        </w:rPr>
        <w:t>_________________________________ Date</w:t>
      </w:r>
    </w:p>
    <w:p>
      <w:pPr>
        <w:spacing w:after="0" w:line="101" w:lineRule="exact"/>
        <w:rPr>
          <w:sz w:val="20"/>
          <w:szCs w:val="20"/>
          <w:color w:val="auto"/>
        </w:rPr>
      </w:pPr>
    </w:p>
    <w:p>
      <w:pPr>
        <w:sectPr>
          <w:pgSz w:w="11900" w:h="16838" w:orient="portrait"/>
          <w:cols w:equalWidth="0" w:num="2">
            <w:col w:w="4820" w:space="720"/>
            <w:col w:w="5700"/>
          </w:cols>
          <w:pgMar w:left="320" w:top="1440" w:right="339" w:bottom="1440" w:gutter="0" w:footer="0" w:header="0"/>
          <w:type w:val="continuous"/>
        </w:sectPr>
      </w:pPr>
    </w:p>
    <w:p>
      <w:pPr>
        <w:spacing w:after="0"/>
        <w:rPr>
          <w:sz w:val="20"/>
          <w:szCs w:val="20"/>
          <w:color w:val="auto"/>
        </w:rPr>
      </w:pPr>
      <w:r>
        <w:rPr>
          <w:rFonts w:ascii="Arial" w:cs="Arial" w:eastAsia="Arial" w:hAnsi="Arial"/>
          <w:sz w:val="21"/>
          <w:szCs w:val="21"/>
          <w:color w:val="auto"/>
        </w:rPr>
        <w:t>Attachment: Fluidigm Corporation 2020 Change of Control and Severance Plan and Summary Plan Description</w:t>
      </w:r>
    </w:p>
    <w:p>
      <w:pPr>
        <w:spacing w:after="0" w:line="101" w:lineRule="exact"/>
        <w:rPr>
          <w:sz w:val="20"/>
          <w:szCs w:val="20"/>
          <w:color w:val="auto"/>
        </w:rPr>
      </w:pPr>
    </w:p>
    <w:p>
      <w:pPr>
        <w:ind w:left="3340"/>
        <w:spacing w:after="0"/>
        <w:rPr>
          <w:sz w:val="20"/>
          <w:szCs w:val="20"/>
          <w:color w:val="auto"/>
        </w:rPr>
      </w:pPr>
      <w:r>
        <w:rPr>
          <w:rFonts w:ascii="Arial" w:cs="Arial" w:eastAsia="Arial" w:hAnsi="Arial"/>
          <w:sz w:val="22"/>
          <w:szCs w:val="22"/>
          <w:i w:val="1"/>
          <w:iCs w:val="1"/>
          <w:color w:val="auto"/>
        </w:rPr>
        <w:t>[Signature Page to the Participation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440" w:right="339" w:bottom="1440" w:gutter="0" w:footer="0" w:header="0"/>
          <w:type w:val="continuous"/>
        </w:sectPr>
      </w:pPr>
    </w:p>
    <w:bookmarkStart w:id="92" w:name="page93"/>
    <w:bookmarkEnd w:id="92"/>
    <w:p>
      <w:pPr>
        <w:ind w:left="3900"/>
        <w:spacing w:after="0"/>
        <w:rPr>
          <w:sz w:val="20"/>
          <w:szCs w:val="20"/>
          <w:color w:val="auto"/>
        </w:rPr>
      </w:pPr>
      <w:r>
        <w:rPr>
          <w:rFonts w:ascii="Arial" w:cs="Arial" w:eastAsia="Arial" w:hAnsi="Arial"/>
          <w:sz w:val="22"/>
          <w:szCs w:val="22"/>
          <w:b w:val="1"/>
          <w:bCs w:val="1"/>
          <w:color w:val="auto"/>
        </w:rPr>
        <w:t>Appendix B</w:t>
      </w:r>
    </w:p>
    <w:p>
      <w:pPr>
        <w:spacing w:after="0" w:line="112" w:lineRule="exact"/>
        <w:rPr>
          <w:sz w:val="20"/>
          <w:szCs w:val="20"/>
          <w:color w:val="auto"/>
        </w:rPr>
      </w:pPr>
    </w:p>
    <w:p>
      <w:pPr>
        <w:ind w:left="1120"/>
        <w:spacing w:after="0"/>
        <w:rPr>
          <w:sz w:val="20"/>
          <w:szCs w:val="20"/>
          <w:color w:val="auto"/>
        </w:rPr>
      </w:pPr>
      <w:r>
        <w:rPr>
          <w:rFonts w:ascii="Arial" w:cs="Arial" w:eastAsia="Arial" w:hAnsi="Arial"/>
          <w:sz w:val="21"/>
          <w:szCs w:val="21"/>
          <w:b w:val="1"/>
          <w:bCs w:val="1"/>
          <w:color w:val="auto"/>
        </w:rPr>
        <w:t>Fluidigm Corporation 2020 Change of Control and Severance Plan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9019"/>
          </w:cols>
          <w:pgMar w:left="1440" w:top="1417"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6"/>
        <w:spacing w:after="0" w:line="286" w:lineRule="auto"/>
        <w:tabs>
          <w:tab w:leader="none" w:pos="1482"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160" w:hanging="656"/>
        <w:spacing w:after="0" w:line="286" w:lineRule="auto"/>
        <w:tabs>
          <w:tab w:leader="none" w:pos="1492"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60" w:hanging="656"/>
        <w:spacing w:after="0" w:line="263" w:lineRule="auto"/>
        <w:tabs>
          <w:tab w:leader="none" w:pos="1482"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960" w:right="20" w:hanging="656"/>
        <w:spacing w:after="0" w:line="286" w:lineRule="auto"/>
        <w:tabs>
          <w:tab w:leader="none" w:pos="1492"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right="100" w:hanging="644"/>
        <w:spacing w:after="0" w:line="342" w:lineRule="auto"/>
        <w:tabs>
          <w:tab w:leader="none" w:pos="82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60" w:hanging="656"/>
        <w:spacing w:after="0" w:line="342" w:lineRule="auto"/>
        <w:tabs>
          <w:tab w:leader="none" w:pos="1472"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560" w:hanging="656"/>
        <w:spacing w:after="0" w:line="277" w:lineRule="auto"/>
        <w:tabs>
          <w:tab w:leader="none" w:pos="148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580" w:val="left"/>
          <w:tab w:leader="none" w:pos="702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31750</wp:posOffset>
            </wp:positionV>
            <wp:extent cx="24942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53"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6"/>
        <w:spacing w:after="0" w:line="286" w:lineRule="auto"/>
        <w:tabs>
          <w:tab w:leader="none" w:pos="195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960" w:right="80" w:hanging="656"/>
        <w:spacing w:after="0" w:line="263" w:lineRule="auto"/>
        <w:tabs>
          <w:tab w:leader="none" w:pos="19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6580" w:val="left"/>
          <w:tab w:leader="none" w:pos="702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31750</wp:posOffset>
            </wp:positionV>
            <wp:extent cx="24942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116" w:lineRule="exact"/>
        <w:rPr>
          <w:sz w:val="20"/>
          <w:szCs w:val="20"/>
          <w:color w:val="auto"/>
        </w:rPr>
      </w:pPr>
    </w:p>
    <w:p>
      <w:pPr>
        <w:ind w:left="420" w:right="540" w:hanging="7"/>
        <w:spacing w:after="0" w:line="277" w:lineRule="auto"/>
        <w:tabs>
          <w:tab w:leader="none" w:pos="6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2020 (the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880" w:val="left"/>
          <w:tab w:leader="none" w:pos="63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31750</wp:posOffset>
            </wp:positionV>
            <wp:extent cx="23742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116" w:lineRule="exact"/>
        <w:rPr>
          <w:sz w:val="20"/>
          <w:szCs w:val="20"/>
          <w:color w:val="auto"/>
        </w:rPr>
      </w:pPr>
    </w:p>
    <w:p>
      <w:pPr>
        <w:ind w:left="420" w:right="200" w:hanging="7"/>
        <w:spacing w:after="0" w:line="277" w:lineRule="auto"/>
        <w:tabs>
          <w:tab w:leader="none" w:pos="6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year ended June 30, 2020 (the “Report”), fully complies with the requirements of Section 13(a) or 15(d) of the Securities Exchange Act of 1934, as amended; and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880" w:val="left"/>
          <w:tab w:leader="none" w:pos="63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31750</wp:posOffset>
            </wp:positionV>
            <wp:extent cx="23660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470"/>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lvl w:ilvl="1">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3"/>
    </w:lvl>
  </w:abstractNum>
  <w:abstractNum w:abstractNumId="31">
    <w:nsid w:val="2CD89A32"/>
    <w:multiLevelType w:val="hybridMultilevel"/>
    <w:lvl w:ilvl="0">
      <w:lvlJc w:val="left"/>
      <w:lvlText w:val="%1."/>
      <w:numFmt w:val="decimal"/>
      <w:start w:val="5"/>
    </w:lvl>
  </w:abstractNum>
  <w:abstractNum w:abstractNumId="32">
    <w:nsid w:val="57E4CCAF"/>
    <w:multiLevelType w:val="hybridMultilevel"/>
    <w:lvl w:ilvl="0">
      <w:lvlJc w:val="left"/>
      <w:lvlText w:val="%1."/>
      <w:numFmt w:val="decimal"/>
      <w:start w:val="6"/>
    </w:lvl>
  </w:abstractNum>
  <w:abstractNum w:abstractNumId="33">
    <w:nsid w:val="7A6D8D3C"/>
    <w:multiLevelType w:val="hybridMultilevel"/>
    <w:lvl w:ilvl="0">
      <w:lvlJc w:val="left"/>
      <w:lvlText w:val="(%1)"/>
      <w:numFmt w:val="lowerRoman"/>
      <w:start w:val="2"/>
    </w:lvl>
  </w:abstractNum>
  <w:abstractNum w:abstractNumId="34">
    <w:nsid w:val="4B588F54"/>
    <w:multiLevelType w:val="hybridMultilevel"/>
    <w:lvl w:ilvl="0">
      <w:lvlJc w:val="left"/>
      <w:lvlText w:val="(%1)"/>
      <w:numFmt w:val="lowerRoman"/>
      <w:start w:val="2"/>
    </w:lvl>
  </w:abstractNum>
  <w:abstractNum w:abstractNumId="35">
    <w:nsid w:val="542289EC"/>
    <w:multiLevelType w:val="hybridMultilevel"/>
    <w:lvl w:ilvl="0">
      <w:lvlJc w:val="left"/>
      <w:lvlText w:val="%1."/>
      <w:numFmt w:val="decimal"/>
      <w:start w:val="7"/>
    </w:lvl>
  </w:abstractNum>
  <w:abstractNum w:abstractNumId="36">
    <w:nsid w:val="6DE91B18"/>
    <w:multiLevelType w:val="hybridMultilevel"/>
    <w:lvl w:ilvl="0">
      <w:lvlJc w:val="left"/>
      <w:lvlText w:val="%1."/>
      <w:numFmt w:val="decimal"/>
      <w:start w:val="8"/>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1"/>
    </w:lvl>
  </w:abstractNum>
  <w:abstractNum w:abstractNumId="39">
    <w:nsid w:val="32FFF902"/>
    <w:multiLevelType w:val="hybridMultilevel"/>
    <w:lvl w:ilvl="0">
      <w:lvlJc w:val="left"/>
      <w:lvlText w:val="%1."/>
      <w:numFmt w:val="decimal"/>
      <w:start w:val="12"/>
    </w:lvl>
  </w:abstractNum>
  <w:abstractNum w:abstractNumId="40">
    <w:nsid w:val="684A481A"/>
    <w:multiLevelType w:val="hybridMultilevel"/>
    <w:lvl w:ilvl="0">
      <w:lvlJc w:val="left"/>
      <w:lvlText w:val="%1."/>
      <w:numFmt w:val="decimal"/>
      <w:start w:val="16"/>
    </w:lvl>
  </w:abstractNum>
  <w:abstractNum w:abstractNumId="41">
    <w:nsid w:val="579478FE"/>
    <w:multiLevelType w:val="hybridMultilevel"/>
    <w:lvl w:ilvl="0">
      <w:lvlJc w:val="left"/>
      <w:lvlText w:val="%1."/>
      <w:numFmt w:val="decimal"/>
      <w:start w:val="17"/>
    </w:lvl>
  </w:abstractNum>
  <w:abstractNum w:abstractNumId="42">
    <w:nsid w:val="749ABB43"/>
    <w:multiLevelType w:val="hybridMultilevel"/>
    <w:lvl w:ilvl="0">
      <w:lvlJc w:val="left"/>
      <w:lvlText w:val="%1."/>
      <w:numFmt w:val="decimal"/>
      <w:start w:val="20"/>
    </w:lvl>
  </w:abstractNum>
  <w:abstractNum w:abstractNumId="43">
    <w:nsid w:val="3DC240FB"/>
    <w:multiLevelType w:val="hybridMultilevel"/>
    <w:lvl w:ilvl="0">
      <w:lvlJc w:val="left"/>
      <w:lvlText w:val="%1."/>
      <w:numFmt w:val="decimal"/>
      <w:start w:val="27"/>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lvl w:ilvl="1">
      <w:lvlJc w:val="left"/>
      <w:lvlText w:val="%2."/>
      <w:numFmt w:val="lowerLetter"/>
      <w:start w:val="1"/>
    </w:lvl>
  </w:abstractNum>
  <w:abstractNum w:abstractNumId="47">
    <w:nsid w:val="12E685FB"/>
    <w:multiLevelType w:val="hybridMultilevel"/>
    <w:lvl w:ilvl="0">
      <w:lvlJc w:val="left"/>
      <w:lvlText w:val="(%1)"/>
      <w:numFmt w:val="decimal"/>
      <w:start w:val="3"/>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3"/>
    </w:lvl>
  </w:abstractNum>
  <w:abstractNum w:abstractNumId="50">
    <w:nsid w:val="374A3FE6"/>
    <w:multiLevelType w:val="hybridMultilevel"/>
    <w:lvl w:ilvl="0">
      <w:lvlJc w:val="left"/>
      <w:lvlText w:val="%1."/>
      <w:numFmt w:val="decimal"/>
      <w:start w:val="1"/>
    </w:lvl>
    <w:lvl w:ilvl="1">
      <w:lvlJc w:val="left"/>
      <w:lvlText w:val="%2."/>
      <w:numFmt w:val="lowerLetter"/>
      <w:start w:val="1"/>
    </w:lvl>
  </w:abstractNum>
  <w:abstractNum w:abstractNumId="51">
    <w:nsid w:val="4F4EF005"/>
    <w:multiLevelType w:val="hybridMultilevel"/>
    <w:lvl w:ilvl="0">
      <w:lvlJc w:val="left"/>
      <w:lvlText w:val="%1."/>
      <w:numFmt w:val="decimal"/>
      <w:start w:val="4"/>
    </w:lvl>
  </w:abstractNum>
  <w:abstractNum w:abstractNumId="52">
    <w:nsid w:val="23F9C13C"/>
    <w:multiLevelType w:val="hybridMultilevel"/>
    <w:lvl w:ilvl="0">
      <w:lvlJc w:val="left"/>
      <w:lvlText w:val="(%1)"/>
      <w:numFmt w:val="decimal"/>
      <w:start w:val="3"/>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86" Type="http://schemas.openxmlformats.org/officeDocument/2006/relationships/hyperlink" Target="http://www.sec.gov/Archives/edgar/data/1162194/000110465920029390/tm2011555d1_ex1-1.htm" TargetMode="External"/><Relationship Id="rId87" Type="http://schemas.openxmlformats.org/officeDocument/2006/relationships/hyperlink" Target="http://www.sec.gov/Archives/edgar/data/1162194/000116219420000076/exhibit101-amendedrest.htm" TargetMode="External"/><Relationship Id="rId88" Type="http://schemas.openxmlformats.org/officeDocument/2006/relationships/hyperlink" Target="http://www.sec.gov/Archives/edgar/data/1162194/000116219420000076/exhibit102-amended2011.htm" TargetMode="External"/><Relationship Id="rId89" Type="http://schemas.openxmlformats.org/officeDocument/2006/relationships/hyperlink" Target="http://www.sec.gov/Archives/edgar/data/1162194/000116219420000033/exhibit101svbloanamen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2020-08-07T15:31:19Z</dcterms:created>
  <dcterms:modified xsi:type="dcterms:W3CDTF">2020-08-07T15:31:19Z</dcterms:modified>
</cp:coreProperties>
</file>