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-10795</wp:posOffset>
            </wp:positionV>
            <wp:extent cx="142875" cy="193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193040"/>
                    </a:xfrm>
                    <a:prstGeom prst="rect">
                      <a:avLst/>
                    </a:prstGeom>
                    <a:noFill/>
                  </pic:spPr>
                </pic:pic>
              </a:graphicData>
            </a:graphic>
          </wp:anchor>
        </w:drawing>
      </w:r>
    </w:p>
    <w:p>
      <w:pPr>
        <w:jc w:val="both"/>
        <w:ind w:left="340" w:right="340" w:hanging="255"/>
        <w:spacing w:after="0" w:line="183"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6434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80" w:space="42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Yow Mai Chan</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400"/>
        <w:spacing w:after="0" w:line="386"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09/20/2017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92"/>
        <w:spacing w:after="0"/>
        <w:rPr>
          <w:sz w:val="20"/>
          <w:szCs w:val="20"/>
          <w:color w:val="auto"/>
        </w:rPr>
      </w:pPr>
      <w:r>
        <w:rPr>
          <w:rFonts w:ascii="Arial" w:cs="Arial" w:eastAsia="Arial" w:hAnsi="Arial"/>
          <w:sz w:val="17"/>
          <w:szCs w:val="17"/>
          <w:color w:val="0000FF"/>
        </w:rPr>
        <w:t>See Remarks</w:t>
      </w:r>
    </w:p>
    <w:p>
      <w:pPr>
        <w:spacing w:after="0" w:line="551" w:lineRule="exact"/>
        <w:rPr>
          <w:sz w:val="24"/>
          <w:szCs w:val="24"/>
          <w:color w:val="auto"/>
        </w:rPr>
      </w:pPr>
    </w:p>
    <w:p>
      <w:pPr>
        <w:sectPr>
          <w:pgSz w:w="11900" w:h="16838" w:orient="portrait"/>
          <w:cols w:equalWidth="0" w:num="3">
            <w:col w:w="3340" w:space="720"/>
            <w:col w:w="3268" w:space="720"/>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6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00" w:type="dxa"/>
            <w:vAlign w:val="bottom"/>
            <w:gridSpan w:val="7"/>
            <w:vMerge w:val="continue"/>
          </w:tcPr>
          <w:p>
            <w:pPr>
              <w:spacing w:after="0"/>
              <w:rPr>
                <w:sz w:val="9"/>
                <w:szCs w:val="9"/>
                <w:color w:val="auto"/>
              </w:rPr>
            </w:pPr>
          </w:p>
        </w:tc>
        <w:tc>
          <w:tcPr>
            <w:tcW w:w="37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ind w:left="280"/>
              <w:spacing w:after="0" w:line="172" w:lineRule="exact"/>
              <w:rPr>
                <w:sz w:val="20"/>
                <w:szCs w:val="20"/>
                <w:color w:val="auto"/>
              </w:rPr>
            </w:pPr>
            <w:r>
              <w:rPr>
                <w:rFonts w:ascii="Arial" w:cs="Arial" w:eastAsia="Arial" w:hAnsi="Arial"/>
                <w:sz w:val="17"/>
                <w:szCs w:val="17"/>
                <w:color w:val="0000FF"/>
              </w:rPr>
              <w:t>09/22/2017</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8"/>
                <w:szCs w:val="18"/>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180"/>
              <w:spacing w:after="0" w:line="146"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jc w:val="center"/>
              <w:ind w:left="713"/>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64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834</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14.6</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5"/>
                <w:szCs w:val="5"/>
                <w:color w:val="auto"/>
              </w:rPr>
            </w:pPr>
          </w:p>
        </w:tc>
        <w:tc>
          <w:tcPr>
            <w:tcW w:w="5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834</w:t>
            </w:r>
          </w:p>
        </w:tc>
        <w:tc>
          <w:tcPr>
            <w:tcW w:w="800" w:type="dxa"/>
            <w:vAlign w:val="bottom"/>
            <w:gridSpan w:val="2"/>
            <w:vMerge w:val="continue"/>
          </w:tcPr>
          <w:p>
            <w:pPr>
              <w:spacing w:after="0"/>
              <w:rPr>
                <w:sz w:val="5"/>
                <w:szCs w:val="5"/>
                <w:color w:val="auto"/>
              </w:rPr>
            </w:pPr>
          </w:p>
        </w:tc>
        <w:tc>
          <w:tcPr>
            <w:tcW w:w="7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05/17/2021</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217"/>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242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242</w:t>
            </w: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09/20/2027</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217"/>
              <w:spacing w:after="0" w:line="145" w:lineRule="exact"/>
              <w:rPr>
                <w:sz w:val="20"/>
                <w:szCs w:val="20"/>
                <w:color w:val="auto"/>
              </w:rPr>
            </w:pPr>
            <w:r>
              <w:rPr>
                <w:rFonts w:ascii="Arial" w:cs="Arial" w:eastAsia="Arial" w:hAnsi="Arial"/>
                <w:sz w:val="13"/>
                <w:szCs w:val="13"/>
                <w:color w:val="0000FF"/>
                <w:w w:val="92"/>
              </w:rPr>
              <w:t>242</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17,859</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81"/>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15.49</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3"/>
                <w:szCs w:val="13"/>
                <w:color w:val="0000FF"/>
                <w:w w:val="90"/>
              </w:rPr>
              <w:t>17,859</w:t>
            </w:r>
          </w:p>
        </w:tc>
        <w:tc>
          <w:tcPr>
            <w:tcW w:w="800" w:type="dxa"/>
            <w:vAlign w:val="bottom"/>
            <w:gridSpan w:val="2"/>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02/16/2022</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jc w:val="center"/>
              <w:ind w:left="217"/>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4,920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4,920</w:t>
            </w: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97"/>
              <w:spacing w:after="0" w:line="145" w:lineRule="exact"/>
              <w:rPr>
                <w:sz w:val="20"/>
                <w:szCs w:val="20"/>
                <w:color w:val="auto"/>
              </w:rPr>
            </w:pPr>
            <w:r>
              <w:rPr>
                <w:rFonts w:ascii="Arial" w:cs="Arial" w:eastAsia="Arial" w:hAnsi="Arial"/>
                <w:sz w:val="13"/>
                <w:szCs w:val="13"/>
                <w:color w:val="0000FF"/>
                <w:w w:val="92"/>
              </w:rPr>
              <w:t>4,920</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(7)</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66,000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81"/>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16.73</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3"/>
                <w:szCs w:val="13"/>
                <w:color w:val="0000FF"/>
                <w:w w:val="90"/>
              </w:rPr>
              <w:t>66,000</w:t>
            </w:r>
          </w:p>
        </w:tc>
        <w:tc>
          <w:tcPr>
            <w:tcW w:w="800" w:type="dxa"/>
            <w:vAlign w:val="bottom"/>
            <w:gridSpan w:val="2"/>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02/15/2023</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jc w:val="center"/>
              <w:ind w:left="217"/>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17,838</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01"/>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28" w:lineRule="exact"/>
              <w:rPr>
                <w:sz w:val="20"/>
                <w:szCs w:val="20"/>
                <w:color w:val="auto"/>
              </w:rPr>
            </w:pPr>
            <w:r>
              <w:rPr>
                <w:rFonts w:ascii="Arial" w:cs="Arial" w:eastAsia="Arial" w:hAnsi="Arial"/>
                <w:sz w:val="13"/>
                <w:szCs w:val="13"/>
                <w:color w:val="0000FF"/>
                <w:w w:val="90"/>
              </w:rPr>
              <w:t>17,838</w:t>
            </w:r>
          </w:p>
        </w:tc>
        <w:tc>
          <w:tcPr>
            <w:tcW w:w="5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90"/>
              </w:rPr>
              <w:t>17,838</w:t>
            </w: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(9)</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14,000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91"/>
              </w:rPr>
              <w:t>(10)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81"/>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47.55</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3"/>
                <w:szCs w:val="13"/>
                <w:color w:val="0000FF"/>
                <w:w w:val="90"/>
              </w:rPr>
              <w:t>14,000</w:t>
            </w:r>
          </w:p>
        </w:tc>
        <w:tc>
          <w:tcPr>
            <w:tcW w:w="800" w:type="dxa"/>
            <w:vAlign w:val="bottom"/>
            <w:gridSpan w:val="2"/>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03/14/2024</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jc w:val="center"/>
              <w:ind w:left="217"/>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1,541</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91"/>
              </w:rPr>
              <w:t>(10)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1,541</w:t>
            </w: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97"/>
              <w:spacing w:after="0" w:line="145" w:lineRule="exact"/>
              <w:rPr>
                <w:sz w:val="20"/>
                <w:szCs w:val="20"/>
                <w:color w:val="auto"/>
              </w:rPr>
            </w:pPr>
            <w:r>
              <w:rPr>
                <w:rFonts w:ascii="Arial" w:cs="Arial" w:eastAsia="Arial" w:hAnsi="Arial"/>
                <w:sz w:val="13"/>
                <w:szCs w:val="13"/>
                <w:color w:val="0000FF"/>
                <w:w w:val="92"/>
              </w:rPr>
              <w:t>1,541</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w w:val="91"/>
              </w:rPr>
              <w:t>(11)</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12,000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91"/>
              </w:rPr>
              <w:t>(12)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81"/>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41.14</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3"/>
                <w:szCs w:val="13"/>
                <w:color w:val="0000FF"/>
                <w:w w:val="90"/>
              </w:rPr>
              <w:t>12,000</w:t>
            </w:r>
          </w:p>
        </w:tc>
        <w:tc>
          <w:tcPr>
            <w:tcW w:w="800" w:type="dxa"/>
            <w:vAlign w:val="bottom"/>
            <w:gridSpan w:val="2"/>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03/12/2025</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jc w:val="center"/>
              <w:ind w:left="217"/>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33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725" cy="533717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2,073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2,073</w:t>
            </w: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2,073</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13,500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7.1</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3"/>
                <w:szCs w:val="13"/>
                <w:color w:val="0000FF"/>
                <w:w w:val="90"/>
              </w:rPr>
              <w:t>13,500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03/04/2026</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8,941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8,941</w:t>
            </w: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8,941</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48,400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6.16</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3"/>
                <w:szCs w:val="13"/>
                <w:color w:val="0000FF"/>
                <w:w w:val="90"/>
              </w:rPr>
              <w:t>48,400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02/13/2027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34,572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500" w:type="dxa"/>
            <w:vAlign w:val="bottom"/>
          </w:tcPr>
          <w:p>
            <w:pPr>
              <w:jc w:val="center"/>
              <w:spacing w:after="0" w:line="128" w:lineRule="exact"/>
              <w:rPr>
                <w:sz w:val="20"/>
                <w:szCs w:val="20"/>
                <w:color w:val="auto"/>
              </w:rPr>
            </w:pPr>
            <w:r>
              <w:rPr>
                <w:rFonts w:ascii="Arial" w:cs="Arial" w:eastAsia="Arial" w:hAnsi="Arial"/>
                <w:sz w:val="13"/>
                <w:szCs w:val="13"/>
                <w:color w:val="0000FF"/>
                <w:w w:val="90"/>
              </w:rPr>
              <w:t>34,572</w:t>
            </w:r>
          </w:p>
        </w:tc>
        <w:tc>
          <w:tcPr>
            <w:tcW w:w="5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w w:val="90"/>
              </w:rPr>
              <w:t>34,572</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6,750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7.1</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5"/>
                <w:szCs w:val="5"/>
                <w:color w:val="auto"/>
              </w:rPr>
            </w:pP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5"/>
              </w:rPr>
              <w:t>6,750</w:t>
            </w:r>
          </w:p>
        </w:tc>
        <w:tc>
          <w:tcPr>
            <w:tcW w:w="800" w:type="dxa"/>
            <w:vAlign w:val="bottom"/>
            <w:vMerge w:val="continue"/>
          </w:tcPr>
          <w:p>
            <w:pPr>
              <w:spacing w:after="0"/>
              <w:rPr>
                <w:sz w:val="5"/>
                <w:szCs w:val="5"/>
                <w:color w:val="auto"/>
              </w:rPr>
            </w:pPr>
          </w:p>
        </w:tc>
        <w:tc>
          <w:tcPr>
            <w:tcW w:w="7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03/04/2026</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4,471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4,471</w:t>
            </w: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4,471</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5"/>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May 18, 2015.</w:t>
      </w:r>
    </w:p>
    <w:p>
      <w:pPr>
        <w:spacing w:after="0" w:line="48" w:lineRule="exact"/>
        <w:rPr>
          <w:rFonts w:ascii="Arial" w:cs="Arial" w:eastAsia="Arial" w:hAnsi="Arial"/>
          <w:sz w:val="13"/>
          <w:szCs w:val="13"/>
          <w:color w:val="008000"/>
        </w:rPr>
      </w:pPr>
    </w:p>
    <w:p>
      <w:pPr>
        <w:ind w:left="20" w:right="240" w:firstLine="5"/>
        <w:spacing w:after="0" w:line="258" w:lineRule="auto"/>
        <w:tabs>
          <w:tab w:leader="none" w:pos="15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834 shares of FLDM common stock granted to the Reporting Person on May 18, 2011. In exchange, the Reporting Person received a replacement Option, for 242 shares, having an exercise price of $5.13 per share.</w:t>
      </w:r>
    </w:p>
    <w:p>
      <w:pPr>
        <w:spacing w:after="0" w:line="21" w:lineRule="exact"/>
        <w:rPr>
          <w:rFonts w:ascii="Arial" w:cs="Arial" w:eastAsia="Arial" w:hAnsi="Arial"/>
          <w:sz w:val="13"/>
          <w:szCs w:val="13"/>
          <w:color w:val="008000"/>
        </w:rPr>
      </w:pPr>
    </w:p>
    <w:p>
      <w:pPr>
        <w:ind w:left="20" w:right="200" w:firstLine="5"/>
        <w:spacing w:after="0" w:line="258" w:lineRule="auto"/>
        <w:tabs>
          <w:tab w:leader="none" w:pos="15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1/12th of the total number of shares underlying the Option will vest on February 20, 2018, and 1/12th of the total number of shares underlying the Option granted will vest every three months thereafter until fully vested, subject to the Reporting Person's continued status as a Service Provider as defined in the Company's 2011 Equity Incentive Plan through the applicable vest date.</w:t>
      </w:r>
    </w:p>
    <w:p>
      <w:pPr>
        <w:spacing w:after="0" w:line="21" w:lineRule="exact"/>
        <w:rPr>
          <w:rFonts w:ascii="Arial" w:cs="Arial" w:eastAsia="Arial" w:hAnsi="Arial"/>
          <w:sz w:val="13"/>
          <w:szCs w:val="13"/>
          <w:color w:val="008000"/>
        </w:rPr>
      </w:pPr>
    </w:p>
    <w:p>
      <w:pPr>
        <w:ind w:left="160" w:hanging="135"/>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January 1, 2016.</w:t>
      </w:r>
    </w:p>
    <w:p>
      <w:pPr>
        <w:spacing w:after="0" w:line="48" w:lineRule="exact"/>
        <w:rPr>
          <w:rFonts w:ascii="Arial" w:cs="Arial" w:eastAsia="Arial" w:hAnsi="Arial"/>
          <w:sz w:val="13"/>
          <w:szCs w:val="13"/>
          <w:color w:val="008000"/>
        </w:rPr>
      </w:pPr>
    </w:p>
    <w:p>
      <w:pPr>
        <w:ind w:left="20" w:right="400" w:firstLine="5"/>
        <w:spacing w:after="0" w:line="258" w:lineRule="auto"/>
        <w:tabs>
          <w:tab w:leader="none" w:pos="15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17,859 shares of FLDM common stock granted to the Reporting Person on February 17, 2012. In exchange, the Reporting Person received a replacement Option, for 4,920 shares, having an exercise price of $5.13 per share.</w:t>
      </w:r>
    </w:p>
    <w:p>
      <w:pPr>
        <w:spacing w:after="0" w:line="21" w:lineRule="exact"/>
        <w:rPr>
          <w:rFonts w:ascii="Arial" w:cs="Arial" w:eastAsia="Arial" w:hAnsi="Arial"/>
          <w:sz w:val="13"/>
          <w:szCs w:val="13"/>
          <w:color w:val="008000"/>
        </w:rPr>
      </w:pPr>
    </w:p>
    <w:p>
      <w:pPr>
        <w:ind w:left="160" w:hanging="135"/>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expiration date is September 20, 2027.</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January 1, 2017.</w:t>
      </w:r>
    </w:p>
    <w:p>
      <w:pPr>
        <w:spacing w:after="0" w:line="48" w:lineRule="exact"/>
        <w:rPr>
          <w:rFonts w:ascii="Arial" w:cs="Arial" w:eastAsia="Arial" w:hAnsi="Arial"/>
          <w:sz w:val="13"/>
          <w:szCs w:val="13"/>
          <w:color w:val="008000"/>
        </w:rPr>
      </w:pPr>
    </w:p>
    <w:p>
      <w:pPr>
        <w:ind w:left="20" w:right="400" w:firstLine="5"/>
        <w:spacing w:after="0" w:line="258" w:lineRule="auto"/>
        <w:tabs>
          <w:tab w:leader="none" w:pos="15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66,000 shares of FLDM common stock granted to the Reporting Person on February 15, 2013. In exchange, the Reporting Person received a replacement Option, for 17,838 shares, having an exercise price of $5.13 per share.</w:t>
      </w:r>
    </w:p>
    <w:p>
      <w:pPr>
        <w:spacing w:after="0" w:line="21" w:lineRule="exact"/>
        <w:rPr>
          <w:rFonts w:ascii="Arial" w:cs="Arial" w:eastAsia="Arial" w:hAnsi="Arial"/>
          <w:sz w:val="13"/>
          <w:szCs w:val="13"/>
          <w:color w:val="008000"/>
        </w:rPr>
      </w:pPr>
    </w:p>
    <w:p>
      <w:pPr>
        <w:ind w:left="160" w:hanging="135"/>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January 1, 2014.</w:t>
      </w:r>
    </w:p>
    <w:p>
      <w:pPr>
        <w:spacing w:after="0" w:line="48" w:lineRule="exact"/>
        <w:rPr>
          <w:rFonts w:ascii="Arial" w:cs="Arial" w:eastAsia="Arial" w:hAnsi="Arial"/>
          <w:sz w:val="13"/>
          <w:szCs w:val="13"/>
          <w:color w:val="008000"/>
        </w:rPr>
      </w:pPr>
    </w:p>
    <w:p>
      <w:pPr>
        <w:ind w:left="20" w:right="460" w:firstLine="5"/>
        <w:spacing w:after="0" w:line="258" w:lineRule="auto"/>
        <w:tabs>
          <w:tab w:leader="none" w:pos="21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14,000 shares of FLDM common stock granted to the Reporting Person on March 14, 2014. In exchange, the Reporting Person received a replacement Option, for 1,541 shares, having an exercise price of $5.13 per share.</w:t>
      </w:r>
    </w:p>
    <w:p>
      <w:pPr>
        <w:spacing w:after="0" w:line="21" w:lineRule="exact"/>
        <w:rPr>
          <w:rFonts w:ascii="Arial" w:cs="Arial" w:eastAsia="Arial" w:hAnsi="Arial"/>
          <w:sz w:val="13"/>
          <w:szCs w:val="13"/>
          <w:color w:val="008000"/>
        </w:rPr>
      </w:pPr>
    </w:p>
    <w:p>
      <w:pPr>
        <w:ind w:left="220" w:hanging="195"/>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provided for vesting of 2/48th of the total number of shares subject to the Option on March 12, 2015 and forty-six equal monthly installments beginning on April 1, 2015.</w:t>
      </w:r>
    </w:p>
    <w:p>
      <w:pPr>
        <w:spacing w:after="0" w:line="48" w:lineRule="exact"/>
        <w:rPr>
          <w:rFonts w:ascii="Arial" w:cs="Arial" w:eastAsia="Arial" w:hAnsi="Arial"/>
          <w:sz w:val="13"/>
          <w:szCs w:val="13"/>
          <w:color w:val="008000"/>
        </w:rPr>
      </w:pPr>
    </w:p>
    <w:p>
      <w:pPr>
        <w:ind w:left="20" w:right="460" w:firstLine="5"/>
        <w:spacing w:after="0" w:line="258" w:lineRule="auto"/>
        <w:tabs>
          <w:tab w:leader="none" w:pos="21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12,000 shares of FLDM common stock granted to the Reporting Person on March 12, 2015. In exchange, the Reporting Person received a replacement Option, for 2,073 shares, having an exercise price of $5.13 per share.</w:t>
      </w:r>
    </w:p>
    <w:p>
      <w:pPr>
        <w:spacing w:after="0" w:line="21" w:lineRule="exact"/>
        <w:rPr>
          <w:rFonts w:ascii="Arial" w:cs="Arial" w:eastAsia="Arial" w:hAnsi="Arial"/>
          <w:sz w:val="13"/>
          <w:szCs w:val="13"/>
          <w:color w:val="008000"/>
        </w:rPr>
      </w:pPr>
    </w:p>
    <w:p>
      <w:pPr>
        <w:ind w:left="220" w:hanging="195"/>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February 1, 2016.</w:t>
      </w:r>
    </w:p>
    <w:p>
      <w:pPr>
        <w:spacing w:after="0" w:line="48" w:lineRule="exact"/>
        <w:rPr>
          <w:rFonts w:ascii="Arial" w:cs="Arial" w:eastAsia="Arial" w:hAnsi="Arial"/>
          <w:sz w:val="13"/>
          <w:szCs w:val="13"/>
          <w:color w:val="008000"/>
        </w:rPr>
      </w:pPr>
    </w:p>
    <w:p>
      <w:pPr>
        <w:ind w:left="20" w:right="520" w:firstLine="5"/>
        <w:spacing w:after="0" w:line="258" w:lineRule="auto"/>
        <w:tabs>
          <w:tab w:leader="none" w:pos="21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13,500 shares of FLDM common stock granted to the Reporting Person on March 4, 2016. In exchange, the Reporting Person received a replacement Option, for 8,941 shares, having an exercise price of $5.13 per share.</w:t>
      </w:r>
    </w:p>
    <w:p>
      <w:pPr>
        <w:spacing w:after="0" w:line="21" w:lineRule="exact"/>
        <w:rPr>
          <w:rFonts w:ascii="Arial" w:cs="Arial" w:eastAsia="Arial" w:hAnsi="Arial"/>
          <w:sz w:val="13"/>
          <w:szCs w:val="13"/>
          <w:color w:val="008000"/>
        </w:rPr>
      </w:pPr>
    </w:p>
    <w:p>
      <w:pPr>
        <w:ind w:left="220" w:hanging="195"/>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February 1, 2017.</w:t>
      </w:r>
    </w:p>
    <w:p>
      <w:pPr>
        <w:spacing w:after="0" w:line="48" w:lineRule="exact"/>
        <w:rPr>
          <w:rFonts w:ascii="Arial" w:cs="Arial" w:eastAsia="Arial" w:hAnsi="Arial"/>
          <w:sz w:val="13"/>
          <w:szCs w:val="13"/>
          <w:color w:val="008000"/>
        </w:rPr>
      </w:pPr>
    </w:p>
    <w:p>
      <w:pPr>
        <w:ind w:left="20" w:right="340" w:firstLine="5"/>
        <w:spacing w:after="0" w:line="258" w:lineRule="auto"/>
        <w:tabs>
          <w:tab w:leader="none" w:pos="21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48,400 shares of FLDM common stock granted to the Reporting Person on February 13, 2017. In exchange, the Reporting Person received a replacement Option, for 34,572 shares, having an exercise price of $5.13 per share.</w:t>
      </w:r>
    </w:p>
    <w:p>
      <w:pPr>
        <w:spacing w:after="0" w:line="21" w:lineRule="exact"/>
        <w:rPr>
          <w:rFonts w:ascii="Arial" w:cs="Arial" w:eastAsia="Arial" w:hAnsi="Arial"/>
          <w:sz w:val="13"/>
          <w:szCs w:val="13"/>
          <w:color w:val="008000"/>
        </w:rPr>
      </w:pPr>
    </w:p>
    <w:p>
      <w:pPr>
        <w:ind w:left="20" w:right="600" w:firstLine="5"/>
        <w:spacing w:after="0" w:line="258" w:lineRule="auto"/>
        <w:tabs>
          <w:tab w:leader="none" w:pos="21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6,750 shares of FLDM common stock granted to the Reporting Person on March 4, 2016. In exchange, the Reporting Person received a replacement Option, for 4,471 shares, having an exercise price of $5.13 per share.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Executive Vice President, Worldwide Manufacturing of Fluidigm Singapore Pte. Ltd.</w:t>
      </w:r>
    </w:p>
    <w:p>
      <w:pPr>
        <w:spacing w:after="0" w:line="5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Mai Chan Yow by Nicholas</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04/03/2018</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Khadder, 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5" w:lineRule="auto"/>
        <w:tabs>
          <w:tab w:leader="none" w:pos="15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9" w:right="139" w:bottom="7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2019-12-04T00:50:04Z</dcterms:created>
  <dcterms:modified xsi:type="dcterms:W3CDTF">2019-12-04T00:50:04Z</dcterms:modified>
</cp:coreProperties>
</file>