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MAK Capital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26,172,626.00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26,172,626.00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26,172,626.00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00"/>
          </w:cols>
          <w:pgMar w:left="320" w:top="111" w:right="51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calculation is based upon 26,172,626 shares of Common Stock beneficially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owned as of 05/15/2026 and a total of 390,368,119 shares of Common Stock, $0.001 par value per share, outstanding as of May 4, 2026, as reported by the Issuer on its Quarterly Report on Form 10-Q filed with the Securities and Exchange Commission on May 6,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MAK Capital One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26,172,626.00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26,172,626.00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60"/>
          </w:cols>
          <w:pgMar w:left="320" w:top="111" w:right="51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26,172,626.00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calculation is based upon 26,172,626 shares of Common Stock beneficially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owned as of 05/15/2026 and a total of 390,368,119 shares of Common Stock, $0.001 par value per share, outstanding as of May 4, 2026, as reported by the Issuer on its Quarterly Report on Form 10-Q filed with the Securities and Exchange Commission on May 6,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Michael A. Kaufman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60"/>
          </w:cols>
          <w:pgMar w:left="320" w:top="355" w:right="5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26,172,626.00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26,172,626.00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26,172,626.00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00"/>
          </w:cols>
          <w:pgMar w:left="320" w:top="355" w:right="519" w:bottom="0" w:gutter="0" w:footer="0" w:header="0"/>
          <w:type w:val="continuous"/>
        </w:sectPr>
      </w:pP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calculation is based upon 26,172,626 shares of Common Stock beneficially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owned as of 05/15/2026 and a total of 390,368,119 shares of Common Stock, $0.001 par value per share, outstanding as of May</w:t>
      </w:r>
    </w:p>
    <w:p>
      <w:pPr>
        <w:sectPr>
          <w:pgSz w:w="11900" w:h="16838" w:orient="portrait"/>
          <w:cols w:equalWidth="0" w:num="1">
            <w:col w:w="11060"/>
          </w:cols>
          <w:pgMar w:left="320" w:top="355" w:right="519" w:bottom="0" w:gutter="0" w:footer="0" w:header="0"/>
          <w:type w:val="continuous"/>
        </w:sectPr>
      </w:pPr>
    </w:p>
    <w:bookmarkStart w:id="3" w:name="page4"/>
    <w:bookmarkEnd w:id="3"/>
    <w:p>
      <w:pPr>
        <w:ind w:right="140"/>
        <w:spacing w:after="0" w:line="259" w:lineRule="auto"/>
        <w:rPr>
          <w:sz w:val="20"/>
          <w:szCs w:val="20"/>
          <w:color w:val="auto"/>
        </w:rPr>
      </w:pPr>
      <w:r>
        <w:rPr>
          <w:rFonts w:ascii="Times New Roman" w:cs="Times New Roman" w:eastAsia="Times New Roman" w:hAnsi="Times New Roman"/>
          <w:sz w:val="22"/>
          <w:szCs w:val="22"/>
          <w:color w:val="auto"/>
        </w:rPr>
        <w:t>4, 2026, as reported by the Issuer on its Quarterly Report on Form 10-Q filed with the Securities and Exchange Commission on May 6, 2026.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STANDARD BIOTOOLS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50 MILK STREET, 10th Floor, BOSTON, MASSACHUSETTS, 02109.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244"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13G/A is being filed by: i. MAK Capital Fund LP ("MAK Fund") ii. MAK Capital One L.L.C. ("MAK Capital"); and iii. Michael A. Kaufman ("Mr. Kaufman," and collectively with MAK Fund and MAK Capital, the "Reporting Persons")</w:t>
      </w:r>
    </w:p>
    <w:p>
      <w:pPr>
        <w:sectPr>
          <w:pgSz w:w="11900" w:h="16838" w:orient="portrait"/>
          <w:cols w:equalWidth="0" w:num="1">
            <w:col w:w="11160"/>
          </w:cols>
          <w:pgMar w:left="320" w:top="112" w:right="419" w:bottom="0" w:gutter="0" w:footer="0" w:header="0"/>
        </w:sectPr>
      </w:pP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principal business address of (i) MAK Fund is c/o Wakefield Quin, Victoria Place, 31 Victoria Street, Bermuda; and (ii) MAK Capital and Mr. Kaufman is 590 Madison Avenue, 31st Floor, New York, NY 10022.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MAK Capital Fund LP is a Bermuda limited partnership. MAK Capital One L.L.C. is a Delaware limited liability company. Mr. Kaufman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60" w:space="300"/>
            <w:col w:w="10200"/>
          </w:cols>
          <w:pgMar w:left="320" w:top="112" w:right="419" w:bottom="0" w:gutter="0" w:footer="0" w:header="0"/>
          <w:type w:val="continuous"/>
        </w:sectPr>
      </w:pPr>
    </w:p>
    <w:p>
      <w:pPr>
        <w:ind w:left="960" w:right="66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26,172,626</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60" w:right="20" w:hanging="912"/>
        <w:spacing w:after="0" w:line="193" w:lineRule="auto"/>
        <w:tabs>
          <w:tab w:leader="none" w:pos="96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6.7% The calculation is based upon 26,172,626 shares of Common Stock beneficially owned as of 05/15/2026 and a total of 390,368,119 shares of Common Stock, $0.001 par value per share, outstanding as of May 4, 2026, as reported by the Issuer on its Quarterly Report on Form 10-Q filed with the Securities and Exchange Commission on May 6, 2026. %</w:t>
      </w:r>
    </w:p>
    <w:p>
      <w:pPr>
        <w:spacing w:after="0" w:line="18" w:lineRule="exact"/>
        <w:rPr>
          <w:rFonts w:ascii="Times New Roman" w:cs="Times New Roman" w:eastAsia="Times New Roman" w:hAnsi="Times New Roman"/>
          <w:sz w:val="43"/>
          <w:szCs w:val="43"/>
          <w:color w:val="auto"/>
          <w:vertAlign w:val="subscript"/>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60"/>
          </w:cols>
          <w:pgMar w:left="320" w:top="112"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firstLine="6"/>
        <w:spacing w:after="0" w:line="486" w:lineRule="auto"/>
        <w:tabs>
          <w:tab w:leader="none" w:pos="31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26,172,626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26,172,626</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MAK Capital Fund LP</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A. Kaufman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MAK Capital One L.L.C.</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A. Kaufman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Michael A. Kaufman</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A. Kaufman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Michael A. Kaufman</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355" w:right="399"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2119"/>
        <w:spacing w:after="0" w:line="287" w:lineRule="auto"/>
        <w:rPr>
          <w:sz w:val="20"/>
          <w:szCs w:val="20"/>
          <w:color w:val="auto"/>
        </w:rPr>
      </w:pPr>
      <w:r>
        <w:rPr>
          <w:rFonts w:ascii="Courier New" w:cs="Courier New" w:eastAsia="Courier New" w:hAnsi="Courier New"/>
          <w:sz w:val="16"/>
          <w:szCs w:val="16"/>
          <w:color w:val="auto"/>
        </w:rPr>
        <w:t>In accordance with Rule 13d-1(k) under the Securities Exchange Act of 1934, as amended, the persons named below agree to the joint filing on behalf of each of them of a statement on Schedule 13G/A (including amendments thereto) with respect to the Common Stock, $0.001 par value per share, of Standard BioTools Inc. and further agree that this Joint Filing Agreement be included as an Exhibit to such joint filings. It is understood and agreed that the joint filing of the Schedule 13G/A shall not be construed as an admission that the persons named herein constitute a group for purposes of Regulation 13D-G of the Securities Exchange Act of 1934, as amended.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15, 2026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MAK CAPITAL FUND LP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MAK GP LLC, general partner</w:t>
      </w:r>
    </w:p>
    <w:p>
      <w:pPr>
        <w:spacing w:after="0"/>
        <w:rPr>
          <w:sz w:val="20"/>
          <w:szCs w:val="20"/>
          <w:color w:val="auto"/>
        </w:rPr>
      </w:pPr>
      <w:r>
        <w:rPr>
          <w:rFonts w:ascii="Courier New" w:cs="Courier New" w:eastAsia="Courier New" w:hAnsi="Courier New"/>
          <w:sz w:val="18"/>
          <w:szCs w:val="18"/>
          <w:color w:val="auto"/>
        </w:rPr>
        <w:t>By: /s/ Michael A. Kaufman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A. Kaufman, Managing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MAK CAPITAL ONE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Michael A. Kaufman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A. Kaufman, Managing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A. Kaufman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A. KAUFMAN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9"/>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2026-05-15T17:13:51Z</dcterms:created>
  <dcterms:modified xsi:type="dcterms:W3CDTF">2026-05-15T17:13:51Z</dcterms:modified>
</cp:coreProperties>
</file>