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BARTHELEMY NICOLAS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FLUIDIGM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FLDM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6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20" w:type="dxa"/>
            <w:vAlign w:val="bottom"/>
          </w:tcPr>
          <w:p>
            <w:pPr>
              <w:spacing w:after="0"/>
              <w:rPr>
                <w:sz w:val="2"/>
                <w:szCs w:val="2"/>
                <w:color w:val="auto"/>
              </w:rPr>
            </w:pPr>
          </w:p>
        </w:tc>
        <w:tc>
          <w:tcPr>
            <w:tcW w:w="1560" w:type="dxa"/>
            <w:vAlign w:val="bottom"/>
            <w:gridSpan w:val="3"/>
            <w:vMerge w:val="restart"/>
          </w:tcPr>
          <w:p>
            <w:pPr>
              <w:ind w:left="3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5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94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40" w:type="dxa"/>
            <w:vAlign w:val="bottom"/>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15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540" w:type="dxa"/>
            <w:vAlign w:val="bottom"/>
            <w:gridSpan w:val="3"/>
            <w:vMerge w:val="restart"/>
          </w:tcPr>
          <w:p>
            <w:pPr>
              <w:ind w:left="280"/>
              <w:spacing w:after="0" w:line="157" w:lineRule="exact"/>
              <w:rPr>
                <w:sz w:val="20"/>
                <w:szCs w:val="20"/>
                <w:color w:val="auto"/>
              </w:rPr>
            </w:pPr>
            <w:r>
              <w:rPr>
                <w:rFonts w:ascii="Arial" w:cs="Arial" w:eastAsia="Arial" w:hAnsi="Arial"/>
                <w:sz w:val="14"/>
                <w:szCs w:val="14"/>
                <w:color w:val="auto"/>
              </w:rPr>
              <w:t>Officer (give title</w:t>
            </w:r>
          </w:p>
        </w:tc>
        <w:tc>
          <w:tcPr>
            <w:tcW w:w="1560" w:type="dxa"/>
            <w:vAlign w:val="bottom"/>
            <w:gridSpan w:val="3"/>
            <w:vMerge w:val="restart"/>
          </w:tcPr>
          <w:p>
            <w:pPr>
              <w:ind w:left="38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540" w:type="dxa"/>
            <w:vAlign w:val="bottom"/>
            <w:gridSpan w:val="3"/>
            <w:vMerge w:val="continue"/>
          </w:tcPr>
          <w:p>
            <w:pPr>
              <w:spacing w:after="0"/>
              <w:rPr>
                <w:sz w:val="6"/>
                <w:szCs w:val="6"/>
                <w:color w:val="auto"/>
              </w:rPr>
            </w:pPr>
          </w:p>
        </w:tc>
        <w:tc>
          <w:tcPr>
            <w:tcW w:w="15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280"/>
              <w:spacing w:after="0"/>
              <w:rPr>
                <w:sz w:val="20"/>
                <w:szCs w:val="20"/>
                <w:color w:val="auto"/>
              </w:rPr>
            </w:pPr>
            <w:r>
              <w:rPr>
                <w:rFonts w:ascii="Arial" w:cs="Arial" w:eastAsia="Arial" w:hAnsi="Arial"/>
                <w:sz w:val="14"/>
                <w:szCs w:val="14"/>
                <w:color w:val="auto"/>
              </w:rPr>
              <w:t>below)</w:t>
            </w:r>
          </w:p>
        </w:tc>
        <w:tc>
          <w:tcPr>
            <w:tcW w:w="320" w:type="dxa"/>
            <w:vAlign w:val="bottom"/>
          </w:tcPr>
          <w:p>
            <w:pPr>
              <w:spacing w:after="0"/>
              <w:rPr>
                <w:sz w:val="16"/>
                <w:szCs w:val="16"/>
                <w:color w:val="auto"/>
              </w:rPr>
            </w:pPr>
          </w:p>
        </w:tc>
        <w:tc>
          <w:tcPr>
            <w:tcW w:w="1560" w:type="dxa"/>
            <w:vAlign w:val="bottom"/>
            <w:gridSpan w:val="3"/>
          </w:tcPr>
          <w:p>
            <w:pPr>
              <w:ind w:left="3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FLUIDIGM CORPORATION</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02/13/2018</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40" w:type="dxa"/>
            <w:vAlign w:val="bottom"/>
            <w:gridSpan w:val="5"/>
            <w:vMerge w:val="continue"/>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7000 SHORELINE COURT, SUITE 100</w:t>
            </w: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7"/>
          </w:tcPr>
          <w:p>
            <w:pPr>
              <w:spacing w:after="0" w:line="155" w:lineRule="exact"/>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13"/>
                <w:szCs w:val="13"/>
                <w:color w:val="auto"/>
              </w:rPr>
            </w:pPr>
          </w:p>
        </w:tc>
        <w:tc>
          <w:tcPr>
            <w:tcW w:w="3440" w:type="dxa"/>
            <w:vAlign w:val="bottom"/>
            <w:gridSpan w:val="9"/>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gridSpan w:val="4"/>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20" w:type="dxa"/>
            <w:vAlign w:val="bottom"/>
            <w:gridSpan w:val="7"/>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94080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2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100" w:type="dxa"/>
            <w:vAlign w:val="bottom"/>
            <w:gridSpan w:val="6"/>
            <w:vMerge w:val="restart"/>
          </w:tcPr>
          <w:p>
            <w:pPr>
              <w:ind w:left="3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70" w:lineRule="exact"/>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1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30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gridSpan w:val="2"/>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900" w:type="dxa"/>
            <w:vAlign w:val="bottom"/>
            <w:tcBorders>
              <w:top w:val="single" w:sz="8" w:color="2C2C2C"/>
            </w:tcBorders>
            <w:gridSpan w:val="19"/>
          </w:tcPr>
          <w:p>
            <w:pPr>
              <w:jc w:val="center"/>
              <w:ind w:left="1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8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5"/>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5"/>
          </w:tcPr>
          <w:p>
            <w:pPr>
              <w:ind w:left="760"/>
              <w:spacing w:after="0"/>
              <w:rPr>
                <w:sz w:val="20"/>
                <w:szCs w:val="20"/>
                <w:color w:val="auto"/>
              </w:rPr>
            </w:pPr>
            <w:r>
              <w:rPr>
                <w:rFonts w:ascii="Arial" w:cs="Arial" w:eastAsia="Arial" w:hAnsi="Arial"/>
                <w:sz w:val="18"/>
                <w:szCs w:val="18"/>
                <w:color w:val="0000FF"/>
                <w:w w:val="99"/>
              </w:rPr>
              <w:t>02/13/2018</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Pr>
          <w:p>
            <w:pPr>
              <w:ind w:left="180"/>
              <w:spacing w:after="0" w:line="217" w:lineRule="exact"/>
              <w:rPr>
                <w:sz w:val="20"/>
                <w:szCs w:val="20"/>
                <w:color w:val="auto"/>
              </w:rPr>
            </w:pPr>
            <w:r>
              <w:rPr>
                <w:rFonts w:ascii="Arial" w:cs="Arial" w:eastAsia="Arial" w:hAnsi="Arial"/>
                <w:sz w:val="18"/>
                <w:szCs w:val="18"/>
                <w:color w:val="0000FF"/>
                <w:w w:val="88"/>
              </w:rPr>
              <w:t>7,539</w:t>
            </w:r>
            <w:r>
              <w:rPr>
                <w:rFonts w:ascii="Arial" w:cs="Arial" w:eastAsia="Arial" w:hAnsi="Arial"/>
                <w:sz w:val="22"/>
                <w:szCs w:val="22"/>
                <w:color w:val="008000"/>
                <w:w w:val="88"/>
                <w:vertAlign w:val="superscript"/>
              </w:rPr>
              <w:t>(1)</w:t>
            </w:r>
          </w:p>
        </w:tc>
        <w:tc>
          <w:tcPr>
            <w:tcW w:w="500" w:type="dxa"/>
            <w:vAlign w:val="bottom"/>
          </w:tcPr>
          <w:p>
            <w:pPr>
              <w:ind w:left="300"/>
              <w:spacing w:after="0"/>
              <w:rPr>
                <w:sz w:val="20"/>
                <w:szCs w:val="20"/>
                <w:color w:val="auto"/>
              </w:rPr>
            </w:pPr>
            <w:r>
              <w:rPr>
                <w:rFonts w:ascii="Arial" w:cs="Arial" w:eastAsia="Arial" w:hAnsi="Arial"/>
                <w:sz w:val="18"/>
                <w:szCs w:val="18"/>
                <w:color w:val="0000FF"/>
              </w:rPr>
              <w:t>A</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Pr>
          <w:p>
            <w:pPr>
              <w:spacing w:after="0"/>
              <w:rPr>
                <w:sz w:val="18"/>
                <w:szCs w:val="18"/>
                <w:color w:val="auto"/>
              </w:rPr>
            </w:pPr>
          </w:p>
        </w:tc>
        <w:tc>
          <w:tcPr>
            <w:tcW w:w="1340" w:type="dxa"/>
            <w:vAlign w:val="bottom"/>
            <w:gridSpan w:val="3"/>
          </w:tcPr>
          <w:p>
            <w:pPr>
              <w:ind w:left="460"/>
              <w:spacing w:after="0"/>
              <w:rPr>
                <w:sz w:val="20"/>
                <w:szCs w:val="20"/>
                <w:color w:val="auto"/>
              </w:rPr>
            </w:pPr>
            <w:r>
              <w:rPr>
                <w:rFonts w:ascii="Arial" w:cs="Arial" w:eastAsia="Arial" w:hAnsi="Arial"/>
                <w:sz w:val="18"/>
                <w:szCs w:val="18"/>
                <w:color w:val="0000FF"/>
              </w:rPr>
              <w:t>23,862</w:t>
            </w:r>
          </w:p>
        </w:tc>
        <w:tc>
          <w:tcPr>
            <w:tcW w:w="320" w:type="dxa"/>
            <w:vAlign w:val="bottom"/>
          </w:tcPr>
          <w:p>
            <w:pPr>
              <w:spacing w:after="0"/>
              <w:rPr>
                <w:sz w:val="18"/>
                <w:szCs w:val="18"/>
                <w:color w:val="auto"/>
              </w:rPr>
            </w:pPr>
          </w:p>
        </w:tc>
        <w:tc>
          <w:tcPr>
            <w:tcW w:w="660" w:type="dxa"/>
            <w:vAlign w:val="bottom"/>
          </w:tcPr>
          <w:p>
            <w:pPr>
              <w:ind w:left="8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w w:val="96"/>
              </w:rPr>
              <w:t>Barthelemy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2001 Trust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660" w:type="dxa"/>
            <w:vAlign w:val="bottom"/>
            <w:tcBorders>
              <w:bottom w:val="single" w:sz="8" w:color="2C2C2C"/>
            </w:tcBorders>
            <w:gridSpan w:val="4"/>
          </w:tcPr>
          <w:p>
            <w:pPr>
              <w:spacing w:after="0"/>
              <w:rPr>
                <w:sz w:val="8"/>
                <w:szCs w:val="8"/>
                <w:color w:val="auto"/>
              </w:rPr>
            </w:pPr>
          </w:p>
        </w:tc>
        <w:tc>
          <w:tcPr>
            <w:tcW w:w="24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8"/>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40" w:type="dxa"/>
            <w:vAlign w:val="bottom"/>
            <w:gridSpan w:val="14"/>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2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Restricted Stock Unit represents the contingent right to receive one share of FLDM common stock upon vesting of the unit. Subject to the Reporting Person's continued service with the Issuer through each applicable vesting date, twenty-five percent (25%) of the shares underlying the Restricted Stock Units shall vest quarterly on the last day of each quarter during 2018.</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Nicolas Barthelemy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60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607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Nicholas Khadder, Attorney-</w:t>
      </w:r>
      <w:r>
        <w:rPr>
          <w:sz w:val="20"/>
          <w:szCs w:val="20"/>
          <w:color w:val="auto"/>
        </w:rPr>
        <w:tab/>
      </w:r>
      <w:r>
        <w:rPr>
          <w:rFonts w:ascii="Arial" w:cs="Arial" w:eastAsia="Arial" w:hAnsi="Arial"/>
          <w:sz w:val="15"/>
          <w:szCs w:val="15"/>
          <w:color w:val="0000FF"/>
        </w:rPr>
        <w:t>02/15/2018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15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559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83576"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2019-12-04T00:55:08Z</dcterms:created>
  <dcterms:modified xsi:type="dcterms:W3CDTF">2019-12-04T00:55:08Z</dcterms:modified>
</cp:coreProperties>
</file>