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125730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May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103505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300"/>
          </w:cols>
          <w:pgMar w:left="240" w:top="499" w:right="359" w:bottom="1440" w:gutter="0" w:footer="0" w:header="0"/>
        </w:sectPr>
      </w:pPr>
    </w:p>
    <w:p>
      <w:pPr>
        <w:spacing w:after="0" w:line="33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71" w:lineRule="exact"/>
        <w:rPr>
          <w:sz w:val="24"/>
          <w:szCs w:val="24"/>
          <w:color w:val="auto"/>
        </w:rPr>
      </w:pPr>
    </w:p>
    <w:p>
      <w:pPr>
        <w:sectPr>
          <w:pgSz w:w="11900" w:h="16838" w:orient="portrait"/>
          <w:cols w:equalWidth="0" w:num="3">
            <w:col w:w="4580" w:space="720"/>
            <w:col w:w="3040" w:space="720"/>
            <w:col w:w="2240"/>
          </w:cols>
          <w:pgMar w:left="240" w:top="499" w:right="35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 of</w:t>
      </w:r>
    </w:p>
    <w:p>
      <w:pPr>
        <w:spacing w:after="0" w:line="28"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5"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420"/>
          </w:cols>
          <w:pgMar w:left="240" w:top="499" w:right="359" w:bottom="1440" w:gutter="0" w:footer="0" w:header="0"/>
          <w:type w:val="continuous"/>
        </w:sectPr>
      </w:pP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7000 Shoreline Court, Suite 100</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South San Francisco, California 94080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(650) 266-6000</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499" w:right="35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49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held our 2018 annual meeting of stockholders on May 31, 2018. Of the 38,912,978 shares of our common stock outstanding as the record date of April 5, 2018, 35,711,530 shares were represented at the Annual Meeting, either in person or by proxy, constituting approximately 91.77% of the outstanding shares of common stock. The matters voted on at the Annual Meeting and the voting results with respect to each such matter are set forth below:</w:t>
      </w:r>
    </w:p>
    <w:p>
      <w:pPr>
        <w:spacing w:after="0" w:line="143" w:lineRule="exact"/>
        <w:rPr>
          <w:sz w:val="20"/>
          <w:szCs w:val="20"/>
          <w:color w:val="auto"/>
        </w:rPr>
      </w:pPr>
    </w:p>
    <w:p>
      <w:pPr>
        <w:ind w:right="660" w:firstLine="8"/>
        <w:spacing w:after="0" w:line="313" w:lineRule="auto"/>
        <w:tabs>
          <w:tab w:leader="none" w:pos="1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Class II Directors. </w:t>
      </w:r>
      <w:r>
        <w:rPr>
          <w:rFonts w:ascii="Arial" w:cs="Arial" w:eastAsia="Arial" w:hAnsi="Arial"/>
          <w:sz w:val="17"/>
          <w:szCs w:val="17"/>
          <w:color w:val="auto"/>
        </w:rPr>
        <w:t>The following nominees were elected to serve as Class II directors, to hold office until our 2021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or until their respective successor has been duly elected and qualified or their earlier resignation or removal:</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Nominee</w:t>
            </w:r>
          </w:p>
        </w:tc>
        <w:tc>
          <w:tcPr>
            <w:tcW w:w="1040" w:type="dxa"/>
            <w:vAlign w:val="bottom"/>
          </w:tcPr>
          <w:p>
            <w:pPr>
              <w:spacing w:after="0"/>
              <w:rPr>
                <w:sz w:val="17"/>
                <w:szCs w:val="17"/>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Votes For</w:t>
            </w:r>
          </w:p>
        </w:tc>
        <w:tc>
          <w:tcPr>
            <w:tcW w:w="2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Votes Withheld</w:t>
            </w:r>
          </w:p>
        </w:tc>
        <w:tc>
          <w:tcPr>
            <w:tcW w:w="2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Gerhard F. Burbach</w:t>
            </w:r>
          </w:p>
        </w:tc>
        <w:tc>
          <w:tcPr>
            <w:tcW w:w="228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88"/>
              </w:rPr>
              <w:t>30,255,954</w:t>
            </w:r>
          </w:p>
        </w:tc>
        <w:tc>
          <w:tcPr>
            <w:tcW w:w="16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1,042,445</w:t>
            </w:r>
          </w:p>
        </w:tc>
        <w:tc>
          <w:tcPr>
            <w:tcW w:w="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9"/>
              </w:rPr>
              <w:t>4,413,131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Carlos Paya</w:t>
            </w:r>
          </w:p>
        </w:tc>
        <w:tc>
          <w:tcPr>
            <w:tcW w:w="228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29,374,306</w:t>
            </w:r>
          </w:p>
        </w:tc>
        <w:tc>
          <w:tcPr>
            <w:tcW w:w="16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1,924,093</w:t>
            </w:r>
          </w:p>
        </w:tc>
        <w:tc>
          <w:tcPr>
            <w:tcW w:w="460" w:type="dxa"/>
            <w:vAlign w:val="bottom"/>
          </w:tcPr>
          <w:p>
            <w:pPr>
              <w:spacing w:after="0"/>
              <w:rPr>
                <w:sz w:val="20"/>
                <w:szCs w:val="20"/>
                <w:color w:val="auto"/>
              </w:rPr>
            </w:pPr>
          </w:p>
        </w:tc>
        <w:tc>
          <w:tcPr>
            <w:tcW w:w="182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4,413,131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360" w:firstLine="8"/>
        <w:spacing w:after="0" w:line="28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Advisory Vote on Approval of Executive Compensation. </w:t>
      </w:r>
      <w:r>
        <w:rPr>
          <w:rFonts w:ascii="Arial" w:cs="Arial" w:eastAsia="Arial" w:hAnsi="Arial"/>
          <w:sz w:val="18"/>
          <w:szCs w:val="18"/>
          <w:color w:val="auto"/>
        </w:rPr>
        <w:t>On an advisory basis, the compensation of our named executive officers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as disclosed in our 2018 Proxy, was approved by our stockholders: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Votes For</w:t>
            </w:r>
          </w:p>
        </w:tc>
        <w:tc>
          <w:tcPr>
            <w:tcW w:w="2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21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Abstentions</w:t>
            </w:r>
          </w:p>
        </w:tc>
        <w:tc>
          <w:tcPr>
            <w:tcW w:w="24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Broker Non-Votes</w:t>
            </w:r>
          </w:p>
        </w:tc>
      </w:tr>
      <w:tr>
        <w:trPr>
          <w:trHeight w:val="21"/>
        </w:trPr>
        <w:tc>
          <w:tcPr>
            <w:tcW w:w="7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15,370,953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15,887,229</w:t>
            </w:r>
          </w:p>
        </w:tc>
        <w:tc>
          <w:tcPr>
            <w:tcW w:w="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40,217</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4,413,131</w:t>
            </w: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900" w:firstLine="8"/>
        <w:spacing w:after="0" w:line="347"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Ratification of Appointment of Independent Registered Public Accounting Firm. </w:t>
      </w:r>
      <w:r>
        <w:rPr>
          <w:rFonts w:ascii="Arial" w:cs="Arial" w:eastAsia="Arial" w:hAnsi="Arial"/>
          <w:sz w:val="16"/>
          <w:szCs w:val="16"/>
          <w:color w:val="auto"/>
        </w:rPr>
        <w:t>The appointment of PricewaterhouseCoopers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the fiscal year ending December 31, 2018 was ratified based on the following results of voting:</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Votes For</w:t>
            </w:r>
          </w:p>
        </w:tc>
        <w:tc>
          <w:tcPr>
            <w:tcW w:w="2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21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Abstentions</w:t>
            </w:r>
          </w:p>
        </w:tc>
        <w:tc>
          <w:tcPr>
            <w:tcW w:w="24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Broker Non-Votes</w:t>
            </w:r>
          </w:p>
        </w:tc>
      </w:tr>
      <w:tr>
        <w:trPr>
          <w:trHeight w:val="21"/>
        </w:trPr>
        <w:tc>
          <w:tcPr>
            <w:tcW w:w="7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35,685,008</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25,145</w:t>
            </w:r>
          </w:p>
        </w:tc>
        <w:tc>
          <w:tcPr>
            <w:tcW w:w="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1,377</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Statement Regarding Advisory Vote on Executive Compensation</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We acknowledge that a majority of our stockholders voted on an advisory (non-binding) basis against the 2017 compensation of our named executive officers as disclosed in our 2018 proxy statement. We believe the compensation of our named executive officers is aligned with our performance as a company. We remain focused on value creation for our stockholders, and will continue to take steps to further align our executive compensation with company performance, including through ongoing, active engagement with our stockholders.</w:t>
      </w:r>
    </w:p>
    <w:p>
      <w:pPr>
        <w:spacing w:after="0" w:line="18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compensation of our named executive officers includes, and has historically included, stock option grants that, by their nature, generate value for recipients based only on stock price appreciation over time. In addition, the following are examples of some recent steps we have taken since the compensation period discussed in our proxy statement:</w:t>
      </w:r>
    </w:p>
    <w:p>
      <w:pPr>
        <w:spacing w:after="0" w:line="181" w:lineRule="exact"/>
        <w:rPr>
          <w:sz w:val="20"/>
          <w:szCs w:val="20"/>
          <w:color w:val="auto"/>
        </w:rPr>
      </w:pPr>
    </w:p>
    <w:p>
      <w:pPr>
        <w:ind w:left="580" w:right="740" w:hanging="34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Instituted Stock Ownership Guidelines that require non-employee directors and senior executives to own stock to ensure alignment with our stockholders.</w:t>
      </w:r>
    </w:p>
    <w:p>
      <w:pPr>
        <w:spacing w:after="0" w:line="170" w:lineRule="exact"/>
        <w:rPr>
          <w:rFonts w:ascii="Arial" w:cs="Arial" w:eastAsia="Arial" w:hAnsi="Arial"/>
          <w:sz w:val="18"/>
          <w:szCs w:val="18"/>
          <w:color w:val="auto"/>
        </w:rPr>
      </w:pPr>
    </w:p>
    <w:p>
      <w:pPr>
        <w:ind w:left="580" w:hanging="34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performance-based restricted stock units (“PRSUs”) that account for 25% of the target value of the awards granted in 2018. These PRSU awards are earned only upon the achievement of pre-established performance criteria set by the Compensation Committee, which directly relate to our financial success.</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intend to continue exploring ways of enhancing our performance-based compensation programs, and to provide additional details on these and other considerations in our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FLUIDIGM CORPORATION</w:t>
            </w:r>
          </w:p>
        </w:tc>
      </w:tr>
      <w:tr>
        <w:trPr>
          <w:trHeight w:val="864"/>
        </w:trPr>
        <w:tc>
          <w:tcPr>
            <w:tcW w:w="3560" w:type="dxa"/>
            <w:vAlign w:val="bottom"/>
          </w:tcPr>
          <w:p>
            <w:pPr>
              <w:spacing w:after="0"/>
              <w:rPr>
                <w:sz w:val="20"/>
                <w:szCs w:val="20"/>
                <w:color w:val="auto"/>
              </w:rPr>
            </w:pPr>
            <w:r>
              <w:rPr>
                <w:rFonts w:ascii="Arial" w:cs="Arial" w:eastAsia="Arial" w:hAnsi="Arial"/>
                <w:sz w:val="18"/>
                <w:szCs w:val="18"/>
                <w:color w:val="auto"/>
              </w:rPr>
              <w:t>Date: June 1, 2018</w:t>
            </w:r>
          </w:p>
        </w:tc>
        <w:tc>
          <w:tcPr>
            <w:tcW w:w="6440" w:type="dxa"/>
            <w:vAlign w:val="bottom"/>
            <w:gridSpan w:val="3"/>
          </w:tcPr>
          <w:p>
            <w:pPr>
              <w:ind w:left="2160"/>
              <w:spacing w:after="0"/>
              <w:rPr>
                <w:sz w:val="20"/>
                <w:szCs w:val="20"/>
                <w:color w:val="auto"/>
              </w:rPr>
            </w:pPr>
            <w:r>
              <w:rPr>
                <w:rFonts w:ascii="Arial" w:cs="Arial" w:eastAsia="Arial" w:hAnsi="Arial"/>
                <w:sz w:val="18"/>
                <w:szCs w:val="18"/>
                <w:color w:val="auto"/>
              </w:rPr>
              <w:t>By: /s/ Nicholas Khadder</w:t>
            </w:r>
          </w:p>
        </w:tc>
      </w:tr>
      <w:tr>
        <w:trPr>
          <w:trHeight w:val="195"/>
        </w:trPr>
        <w:tc>
          <w:tcPr>
            <w:tcW w:w="3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c>
          <w:tcPr>
            <w:tcW w:w="142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2019-12-06T19:22:25Z</dcterms:created>
  <dcterms:modified xsi:type="dcterms:W3CDTF">2019-12-06T19:22:25Z</dcterms:modified>
</cp:coreProperties>
</file>