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 xml:space="preserve">WASHINGTON, </w:t>
      </w:r>
      <w:r>
        <w:rPr>
          <w:rFonts w:ascii="Arial" w:cs="Arial" w:eastAsia="Arial" w:hAnsi="Arial"/>
          <w:sz w:val="17"/>
          <w:szCs w:val="17"/>
          <w:b w:val="1"/>
          <w:bCs w:val="1"/>
          <w:color w:val="auto"/>
        </w:rPr>
        <w:t>D.C.</w:t>
      </w:r>
      <w:r>
        <w:rPr>
          <w:rFonts w:ascii="Arial" w:cs="Arial" w:eastAsia="Arial" w:hAnsi="Arial"/>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3" w:lineRule="auto"/>
        <w:rPr>
          <w:sz w:val="20"/>
          <w:szCs w:val="20"/>
          <w:color w:val="auto"/>
        </w:rPr>
      </w:pPr>
      <w:r>
        <w:rPr>
          <w:rFonts w:ascii="Arial" w:cs="Arial" w:eastAsia="Arial" w:hAnsi="Arial"/>
          <w:sz w:val="18"/>
          <w:szCs w:val="18"/>
          <w:color w:val="auto"/>
        </w:rPr>
        <w:t>Pursuant to Section 13 or 15(d) of the</w:t>
      </w: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r>
        <w:rPr>
          <w:rFonts w:ascii="Arial" w:cs="Arial" w:eastAsia="Arial" w:hAnsi="Arial"/>
          <w:sz w:val="21"/>
          <w:szCs w:val="21"/>
          <w:b w:val="1"/>
          <w:bCs w:val="1"/>
          <w:color w:val="auto"/>
        </w:rPr>
        <w:t>:</w:t>
      </w:r>
      <w:r>
        <w:rPr>
          <w:rFonts w:ascii="Arial" w:cs="Arial" w:eastAsia="Arial" w:hAnsi="Arial"/>
          <w:sz w:val="18"/>
          <w:szCs w:val="18"/>
          <w:b w:val="1"/>
          <w:bCs w:val="1"/>
          <w:color w:val="auto"/>
        </w:rPr>
        <w:t xml:space="preserve"> 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Standard BioTools Inc.</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80" w:type="dxa"/>
        <w:tblCellMar>
          <w:top w:w="0" w:type="dxa"/>
          <w:left w:w="0" w:type="dxa"/>
          <w:bottom w:w="0" w:type="dxa"/>
          <w:right w:w="0" w:type="dxa"/>
        </w:tblCellMar>
      </w:tblPr>
      <w:tr>
        <w:trPr>
          <w:trHeight w:val="229"/>
        </w:trPr>
        <w:tc>
          <w:tcPr>
            <w:tcW w:w="1980" w:type="dxa"/>
            <w:vAlign w:val="bottom"/>
          </w:tcPr>
          <w:p>
            <w:pPr>
              <w:jc w:val="center"/>
              <w:ind w:right="342"/>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001-34180</w:t>
            </w:r>
          </w:p>
        </w:tc>
        <w:tc>
          <w:tcPr>
            <w:tcW w:w="1640" w:type="dxa"/>
            <w:vAlign w:val="bottom"/>
          </w:tcPr>
          <w:p>
            <w:pPr>
              <w:jc w:val="center"/>
              <w:ind w:left="502"/>
              <w:spacing w:after="0"/>
              <w:rPr>
                <w:sz w:val="20"/>
                <w:szCs w:val="20"/>
                <w:color w:val="auto"/>
              </w:rPr>
            </w:pPr>
            <w:r>
              <w:rPr>
                <w:rFonts w:ascii="Arial" w:cs="Arial" w:eastAsia="Arial" w:hAnsi="Arial"/>
                <w:sz w:val="18"/>
                <w:szCs w:val="18"/>
                <w:b w:val="1"/>
                <w:bCs w:val="1"/>
                <w:color w:val="auto"/>
                <w:w w:val="89"/>
              </w:rPr>
              <w:t>77-0513190</w:t>
            </w:r>
          </w:p>
        </w:tc>
      </w:tr>
      <w:tr>
        <w:trPr>
          <w:trHeight w:val="148"/>
        </w:trPr>
        <w:tc>
          <w:tcPr>
            <w:tcW w:w="1980" w:type="dxa"/>
            <w:vAlign w:val="bottom"/>
          </w:tcPr>
          <w:p>
            <w:pPr>
              <w:jc w:val="center"/>
              <w:ind w:right="342"/>
              <w:spacing w:after="0" w:line="149" w:lineRule="exact"/>
              <w:rPr>
                <w:sz w:val="20"/>
                <w:szCs w:val="20"/>
                <w:color w:val="auto"/>
              </w:rPr>
            </w:pPr>
            <w:r>
              <w:rPr>
                <w:rFonts w:ascii="Arial" w:cs="Arial" w:eastAsia="Arial" w:hAnsi="Arial"/>
                <w:sz w:val="14"/>
                <w:szCs w:val="14"/>
                <w:color w:val="auto"/>
                <w:w w:val="93"/>
              </w:rPr>
              <w:t>(State or Other Jurisdiction</w:t>
            </w:r>
          </w:p>
        </w:tc>
        <w:tc>
          <w:tcPr>
            <w:tcW w:w="480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3"/>
              </w:rPr>
              <w:t>(Commission</w:t>
            </w:r>
          </w:p>
        </w:tc>
        <w:tc>
          <w:tcPr>
            <w:tcW w:w="1640" w:type="dxa"/>
            <w:vAlign w:val="bottom"/>
          </w:tcPr>
          <w:p>
            <w:pPr>
              <w:jc w:val="center"/>
              <w:ind w:left="502"/>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980" w:type="dxa"/>
            <w:vAlign w:val="bottom"/>
          </w:tcPr>
          <w:p>
            <w:pPr>
              <w:jc w:val="center"/>
              <w:ind w:right="362"/>
              <w:spacing w:after="0"/>
              <w:rPr>
                <w:sz w:val="20"/>
                <w:szCs w:val="20"/>
                <w:color w:val="auto"/>
              </w:rPr>
            </w:pPr>
            <w:r>
              <w:rPr>
                <w:rFonts w:ascii="Arial" w:cs="Arial" w:eastAsia="Arial" w:hAnsi="Arial"/>
                <w:sz w:val="14"/>
                <w:szCs w:val="14"/>
                <w:color w:val="auto"/>
                <w:w w:val="96"/>
              </w:rPr>
              <w:t>of Incorporation)</w:t>
            </w:r>
          </w:p>
        </w:tc>
        <w:tc>
          <w:tcPr>
            <w:tcW w:w="4800" w:type="dxa"/>
            <w:vAlign w:val="bottom"/>
          </w:tcPr>
          <w:p>
            <w:pPr>
              <w:jc w:val="center"/>
              <w:ind w:right="100"/>
              <w:spacing w:after="0"/>
              <w:rPr>
                <w:sz w:val="20"/>
                <w:szCs w:val="20"/>
                <w:color w:val="auto"/>
              </w:rPr>
            </w:pPr>
            <w:r>
              <w:rPr>
                <w:rFonts w:ascii="Arial" w:cs="Arial" w:eastAsia="Arial" w:hAnsi="Arial"/>
                <w:sz w:val="14"/>
                <w:szCs w:val="14"/>
                <w:color w:val="auto"/>
                <w:w w:val="96"/>
              </w:rPr>
              <w:t>File Number)</w:t>
            </w:r>
          </w:p>
        </w:tc>
        <w:tc>
          <w:tcPr>
            <w:tcW w:w="1640" w:type="dxa"/>
            <w:vAlign w:val="bottom"/>
          </w:tcPr>
          <w:p>
            <w:pPr>
              <w:jc w:val="center"/>
              <w:ind w:left="502"/>
              <w:spacing w:after="0"/>
              <w:rPr>
                <w:sz w:val="20"/>
                <w:szCs w:val="20"/>
                <w:color w:val="auto"/>
              </w:rPr>
            </w:pPr>
            <w:r>
              <w:rPr>
                <w:rFonts w:ascii="Arial" w:cs="Arial" w:eastAsia="Arial" w:hAnsi="Arial"/>
                <w:sz w:val="14"/>
                <w:szCs w:val="14"/>
                <w:color w:val="auto"/>
                <w:w w:val="97"/>
              </w:rPr>
              <w:t>Identification No.)</w:t>
            </w:r>
          </w:p>
        </w:tc>
      </w:tr>
      <w:tr>
        <w:trPr>
          <w:trHeight w:val="520"/>
        </w:trPr>
        <w:tc>
          <w:tcPr>
            <w:tcW w:w="198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9"/>
              </w:rPr>
              <w:t>2 Tower Place, Suite 2000</w:t>
            </w:r>
          </w:p>
        </w:tc>
        <w:tc>
          <w:tcPr>
            <w:tcW w:w="1640" w:type="dxa"/>
            <w:vAlign w:val="bottom"/>
          </w:tcPr>
          <w:p>
            <w:pPr>
              <w:spacing w:after="0"/>
              <w:rPr>
                <w:sz w:val="24"/>
                <w:szCs w:val="24"/>
                <w:color w:val="auto"/>
              </w:rPr>
            </w:pPr>
          </w:p>
        </w:tc>
      </w:tr>
      <w:tr>
        <w:trPr>
          <w:trHeight w:val="180"/>
        </w:trPr>
        <w:tc>
          <w:tcPr>
            <w:tcW w:w="1980" w:type="dxa"/>
            <w:vAlign w:val="bottom"/>
          </w:tcPr>
          <w:p>
            <w:pPr>
              <w:spacing w:after="0"/>
              <w:rPr>
                <w:sz w:val="15"/>
                <w:szCs w:val="15"/>
                <w:color w:val="auto"/>
              </w:rPr>
            </w:pPr>
          </w:p>
        </w:tc>
        <w:tc>
          <w:tcPr>
            <w:tcW w:w="48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South San Francisco, California 94080</w:t>
            </w:r>
          </w:p>
        </w:tc>
        <w:tc>
          <w:tcPr>
            <w:tcW w:w="1640" w:type="dxa"/>
            <w:vAlign w:val="bottom"/>
          </w:tcPr>
          <w:p>
            <w:pPr>
              <w:spacing w:after="0"/>
              <w:rPr>
                <w:sz w:val="15"/>
                <w:szCs w:val="15"/>
                <w:color w:val="auto"/>
              </w:rPr>
            </w:pPr>
          </w:p>
        </w:tc>
      </w:tr>
      <w:tr>
        <w:trPr>
          <w:trHeight w:val="182"/>
        </w:trPr>
        <w:tc>
          <w:tcPr>
            <w:tcW w:w="1980" w:type="dxa"/>
            <w:vAlign w:val="bottom"/>
          </w:tcPr>
          <w:p>
            <w:pPr>
              <w:spacing w:after="0"/>
              <w:rPr>
                <w:sz w:val="15"/>
                <w:szCs w:val="15"/>
                <w:color w:val="auto"/>
              </w:rPr>
            </w:pPr>
          </w:p>
        </w:tc>
        <w:tc>
          <w:tcPr>
            <w:tcW w:w="480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 (Zip Code)</w:t>
            </w:r>
          </w:p>
        </w:tc>
        <w:tc>
          <w:tcPr>
            <w:tcW w:w="1640" w:type="dxa"/>
            <w:vAlign w:val="bottom"/>
          </w:tcPr>
          <w:p>
            <w:pPr>
              <w:spacing w:after="0"/>
              <w:rPr>
                <w:sz w:val="15"/>
                <w:szCs w:val="15"/>
                <w:color w:val="auto"/>
              </w:rPr>
            </w:pPr>
          </w:p>
        </w:tc>
      </w:tr>
      <w:tr>
        <w:trPr>
          <w:trHeight w:val="385"/>
        </w:trPr>
        <w:tc>
          <w:tcPr>
            <w:tcW w:w="198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(650) 266-6000</w:t>
            </w:r>
          </w:p>
        </w:tc>
        <w:tc>
          <w:tcPr>
            <w:tcW w:w="1640" w:type="dxa"/>
            <w:vAlign w:val="bottom"/>
          </w:tcPr>
          <w:p>
            <w:pPr>
              <w:spacing w:after="0"/>
              <w:rPr>
                <w:sz w:val="24"/>
                <w:szCs w:val="24"/>
                <w:color w:val="auto"/>
              </w:rPr>
            </w:pPr>
          </w:p>
        </w:tc>
      </w:tr>
      <w:tr>
        <w:trPr>
          <w:trHeight w:val="182"/>
        </w:trPr>
        <w:tc>
          <w:tcPr>
            <w:tcW w:w="1980" w:type="dxa"/>
            <w:vAlign w:val="bottom"/>
          </w:tcPr>
          <w:p>
            <w:pPr>
              <w:spacing w:after="0"/>
              <w:rPr>
                <w:sz w:val="15"/>
                <w:szCs w:val="15"/>
                <w:color w:val="auto"/>
              </w:rPr>
            </w:pPr>
          </w:p>
        </w:tc>
        <w:tc>
          <w:tcPr>
            <w:tcW w:w="4800" w:type="dxa"/>
            <w:vAlign w:val="bottom"/>
          </w:tcPr>
          <w:p>
            <w:pPr>
              <w:jc w:val="center"/>
              <w:spacing w:after="0"/>
              <w:rPr>
                <w:sz w:val="20"/>
                <w:szCs w:val="20"/>
                <w:color w:val="auto"/>
              </w:rPr>
            </w:pPr>
            <w:r>
              <w:rPr>
                <w:rFonts w:ascii="Arial" w:cs="Arial" w:eastAsia="Arial" w:hAnsi="Arial"/>
                <w:sz w:val="14"/>
                <w:szCs w:val="14"/>
                <w:color w:val="auto"/>
                <w:w w:val="93"/>
              </w:rPr>
              <w:t>(Registrant’s Telephone Number, Including Area Code)</w:t>
            </w:r>
          </w:p>
        </w:tc>
        <w:tc>
          <w:tcPr>
            <w:tcW w:w="1640" w:type="dxa"/>
            <w:vAlign w:val="bottom"/>
          </w:tcPr>
          <w:p>
            <w:pPr>
              <w:spacing w:after="0"/>
              <w:rPr>
                <w:sz w:val="15"/>
                <w:szCs w:val="15"/>
                <w:color w:val="auto"/>
              </w:rPr>
            </w:pPr>
          </w:p>
        </w:tc>
      </w:tr>
      <w:tr>
        <w:trPr>
          <w:trHeight w:val="454"/>
        </w:trPr>
        <w:tc>
          <w:tcPr>
            <w:tcW w:w="1980" w:type="dxa"/>
            <w:vAlign w:val="bottom"/>
          </w:tcPr>
          <w:p>
            <w:pPr>
              <w:spacing w:after="0"/>
              <w:rPr>
                <w:sz w:val="24"/>
                <w:szCs w:val="24"/>
                <w:color w:val="auto"/>
              </w:rPr>
            </w:pPr>
          </w:p>
        </w:tc>
        <w:tc>
          <w:tcPr>
            <w:tcW w:w="4800" w:type="dxa"/>
            <w:vAlign w:val="bottom"/>
          </w:tcPr>
          <w:p>
            <w:pPr>
              <w:jc w:val="center"/>
              <w:ind w:right="40"/>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640" w:type="dxa"/>
            <w:vAlign w:val="bottom"/>
          </w:tcPr>
          <w:p>
            <w:pPr>
              <w:spacing w:after="0"/>
              <w:rPr>
                <w:sz w:val="24"/>
                <w:szCs w:val="24"/>
                <w:color w:val="auto"/>
              </w:rPr>
            </w:pPr>
          </w:p>
        </w:tc>
      </w:tr>
    </w:tbl>
    <w:p>
      <w:pPr>
        <w:spacing w:after="0" w:line="21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4"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5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26"/>
        </w:trPr>
        <w:tc>
          <w:tcPr>
            <w:tcW w:w="5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LAB</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ind w:right="16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August 8, 2023, Standard BioTools Inc. issued a press release which included information with respect to certain financial results for the three months ended June 30, 2023. The press release is attached hereto as Exhibit 99.1.</w:t>
      </w:r>
    </w:p>
    <w:p>
      <w:pPr>
        <w:spacing w:after="0" w:line="62"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information set forth in the press release, except for the information set forth under the heading “Second Quarter and First Half 2023 Financial Highlights Compared to 2022” and under the heading “About Standard BioTools Inc.,” together with the forward-looking statement disclaimer, is incorporated by reference into this Item 2.02 of this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information set forth under the heading “Second Quarter and First Half 2023 Financial Highlights Compared to 2022” and under the heading “About Standard BioTools Inc.,” together with the forward-looking statement disclaimer, is incorporated by reference into this Item 7.01 of this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No.</w:t>
      </w:r>
      <w:r>
        <w:rPr>
          <w:rFonts w:ascii="Arial" w:cs="Arial" w:eastAsia="Arial" w:hAnsi="Arial"/>
          <w:sz w:val="16"/>
          <w:szCs w:val="16"/>
          <w:b w:val="1"/>
          <w:bCs w:val="1"/>
          <w:color w:val="auto"/>
        </w:rPr>
        <w:t>Description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99.1</w:t>
            </w: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9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8"/>
              </w:rPr>
              <w:t>Press release issued by Standard BioTools Inc., dated August 8, 2023</w:t>
            </w:r>
          </w:p>
        </w:tc>
        <w:tc>
          <w:tcPr>
            <w:tcW w:w="4700" w:type="dxa"/>
            <w:vAlign w:val="bottom"/>
            <w:tcBorders>
              <w:top w:val="single" w:sz="8" w:color="auto"/>
            </w:tcBorders>
          </w:tcPr>
          <w:p>
            <w:pPr>
              <w:spacing w:after="0"/>
              <w:rPr>
                <w:sz w:val="17"/>
                <w:szCs w:val="17"/>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ind w:right="640" w:firstLine="324"/>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August 8, 2023</w:t>
            </w:r>
          </w:p>
        </w:tc>
        <w:tc>
          <w:tcPr>
            <w:tcW w:w="7980" w:type="dxa"/>
            <w:vAlign w:val="bottom"/>
            <w:gridSpan w:val="2"/>
          </w:tcPr>
          <w:p>
            <w:pPr>
              <w:ind w:left="1680"/>
              <w:spacing w:after="0"/>
              <w:rPr>
                <w:sz w:val="20"/>
                <w:szCs w:val="20"/>
                <w:color w:val="auto"/>
              </w:rPr>
            </w:pPr>
            <w:r>
              <w:rPr>
                <w:rFonts w:ascii="Arial" w:cs="Arial" w:eastAsia="Arial" w:hAnsi="Arial"/>
                <w:sz w:val="18"/>
                <w:szCs w:val="18"/>
                <w:color w:val="auto"/>
              </w:rPr>
              <w:t>STANDARD BIOTOOLS INC.</w:t>
            </w:r>
          </w:p>
        </w:tc>
      </w:tr>
      <w:tr>
        <w:trPr>
          <w:trHeight w:val="453"/>
        </w:trPr>
        <w:tc>
          <w:tcPr>
            <w:tcW w:w="3240" w:type="dxa"/>
            <w:vAlign w:val="bottom"/>
          </w:tcPr>
          <w:p>
            <w:pPr>
              <w:spacing w:after="0"/>
              <w:rPr>
                <w:sz w:val="24"/>
                <w:szCs w:val="24"/>
                <w:color w:val="auto"/>
              </w:rPr>
            </w:pPr>
          </w:p>
        </w:tc>
        <w:tc>
          <w:tcPr>
            <w:tcW w:w="2600" w:type="dxa"/>
            <w:vAlign w:val="bottom"/>
          </w:tcPr>
          <w:p>
            <w:pPr>
              <w:ind w:left="168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Jeffrey Black</w:t>
            </w:r>
          </w:p>
        </w:tc>
      </w:tr>
      <w:tr>
        <w:trPr>
          <w:trHeight w:val="229"/>
        </w:trPr>
        <w:tc>
          <w:tcPr>
            <w:tcW w:w="3240" w:type="dxa"/>
            <w:vAlign w:val="bottom"/>
          </w:tcPr>
          <w:p>
            <w:pPr>
              <w:spacing w:after="0"/>
              <w:rPr>
                <w:sz w:val="19"/>
                <w:szCs w:val="19"/>
                <w:color w:val="auto"/>
              </w:rPr>
            </w:pPr>
          </w:p>
        </w:tc>
        <w:tc>
          <w:tcPr>
            <w:tcW w:w="2600" w:type="dxa"/>
            <w:vAlign w:val="bottom"/>
          </w:tcPr>
          <w:p>
            <w:pPr>
              <w:ind w:left="1680"/>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Jeffrey Black</w:t>
            </w:r>
          </w:p>
        </w:tc>
      </w:tr>
      <w:tr>
        <w:trPr>
          <w:trHeight w:val="230"/>
        </w:trPr>
        <w:tc>
          <w:tcPr>
            <w:tcW w:w="3240" w:type="dxa"/>
            <w:vAlign w:val="bottom"/>
          </w:tcPr>
          <w:p>
            <w:pPr>
              <w:spacing w:after="0"/>
              <w:rPr>
                <w:sz w:val="20"/>
                <w:szCs w:val="20"/>
                <w:color w:val="auto"/>
              </w:rPr>
            </w:pPr>
          </w:p>
        </w:tc>
        <w:tc>
          <w:tcPr>
            <w:tcW w:w="2600" w:type="dxa"/>
            <w:vAlign w:val="bottom"/>
          </w:tcPr>
          <w:p>
            <w:pPr>
              <w:ind w:left="1680"/>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2720"/>
        <w:spacing w:after="0"/>
        <w:rPr>
          <w:sz w:val="20"/>
          <w:szCs w:val="20"/>
          <w:color w:val="auto"/>
        </w:rPr>
      </w:pPr>
      <w:r>
        <w:rPr>
          <w:rFonts w:ascii="Arial" w:cs="Arial" w:eastAsia="Arial" w:hAnsi="Arial"/>
          <w:sz w:val="22"/>
          <w:szCs w:val="22"/>
          <w:b w:val="1"/>
          <w:bCs w:val="1"/>
          <w:color w:val="auto"/>
        </w:rPr>
        <w:t>Standard BioTools Reports Second Quarter 2023 Financial Results</w:t>
      </w:r>
    </w:p>
    <w:p>
      <w:pPr>
        <w:spacing w:after="0" w:line="139" w:lineRule="exact"/>
        <w:rPr>
          <w:sz w:val="20"/>
          <w:szCs w:val="20"/>
          <w:color w:val="auto"/>
        </w:rPr>
      </w:pPr>
    </w:p>
    <w:p>
      <w:pPr>
        <w:ind w:left="2120"/>
        <w:spacing w:after="0"/>
        <w:rPr>
          <w:sz w:val="20"/>
          <w:szCs w:val="20"/>
          <w:color w:val="auto"/>
        </w:rPr>
      </w:pPr>
      <w:r>
        <w:rPr>
          <w:rFonts w:ascii="Arial" w:cs="Arial" w:eastAsia="Arial" w:hAnsi="Arial"/>
          <w:sz w:val="22"/>
          <w:szCs w:val="22"/>
          <w:b w:val="1"/>
          <w:bCs w:val="1"/>
          <w:i w:val="1"/>
          <w:iCs w:val="1"/>
          <w:color w:val="auto"/>
        </w:rPr>
        <w:t>Contnued operatonal executon improves revenue growth, margin expansion,</w:t>
      </w:r>
    </w:p>
    <w:p>
      <w:pPr>
        <w:jc w:val="center"/>
        <w:ind w:right="-59"/>
        <w:spacing w:after="0" w:line="228" w:lineRule="auto"/>
        <w:rPr>
          <w:sz w:val="20"/>
          <w:szCs w:val="20"/>
          <w:color w:val="auto"/>
        </w:rPr>
      </w:pPr>
      <w:r>
        <w:rPr>
          <w:rFonts w:ascii="Arial" w:cs="Arial" w:eastAsia="Arial" w:hAnsi="Arial"/>
          <w:sz w:val="22"/>
          <w:szCs w:val="22"/>
          <w:b w:val="1"/>
          <w:bCs w:val="1"/>
          <w:i w:val="1"/>
          <w:iCs w:val="1"/>
          <w:color w:val="auto"/>
        </w:rPr>
        <w:t>and expense reducton</w:t>
      </w:r>
    </w:p>
    <w:p>
      <w:pPr>
        <w:spacing w:after="0" w:line="184" w:lineRule="exact"/>
        <w:rPr>
          <w:sz w:val="20"/>
          <w:szCs w:val="20"/>
          <w:color w:val="auto"/>
        </w:rPr>
      </w:pPr>
    </w:p>
    <w:p>
      <w:pPr>
        <w:jc w:val="both"/>
        <w:ind w:right="60"/>
        <w:spacing w:after="0" w:line="222" w:lineRule="auto"/>
        <w:rPr>
          <w:sz w:val="20"/>
          <w:szCs w:val="20"/>
          <w:color w:val="auto"/>
        </w:rPr>
      </w:pPr>
      <w:r>
        <w:rPr>
          <w:rFonts w:ascii="Arial" w:cs="Arial" w:eastAsia="Arial" w:hAnsi="Arial"/>
          <w:sz w:val="22"/>
          <w:szCs w:val="22"/>
          <w:color w:val="auto"/>
        </w:rPr>
        <w:t xml:space="preserve">SOUTH SAN FRANCISCO, Calif., August 8, 2023 — Standard BioTools Inc. (Nasdaq:LAB) (“Standard BioTools”, or the “Company”), driven by a bold purpose – </w:t>
      </w:r>
      <w:r>
        <w:rPr>
          <w:rFonts w:ascii="Arial" w:cs="Arial" w:eastAsia="Arial" w:hAnsi="Arial"/>
          <w:sz w:val="22"/>
          <w:szCs w:val="22"/>
          <w:i w:val="1"/>
          <w:iCs w:val="1"/>
          <w:color w:val="auto"/>
        </w:rPr>
        <w:t>Unleashing tools to accelerate breakthroughs in human health</w:t>
      </w:r>
      <w:r>
        <w:rPr>
          <w:rFonts w:ascii="Arial" w:cs="Arial" w:eastAsia="Arial" w:hAnsi="Arial"/>
          <w:sz w:val="22"/>
          <w:szCs w:val="22"/>
          <w:color w:val="auto"/>
        </w:rPr>
        <w:t xml:space="preserve"> – today reported fnancial results for the second quarter ended June 30, 2023.</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Financial Results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312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Quarter Ended June 30,</w:t>
            </w:r>
          </w:p>
        </w:tc>
        <w:tc>
          <w:tcPr>
            <w:tcW w:w="2020" w:type="dxa"/>
            <w:vAlign w:val="bottom"/>
          </w:tcPr>
          <w:p>
            <w:pPr>
              <w:jc w:val="right"/>
              <w:ind w:right="492"/>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51"/>
        </w:trPr>
        <w:tc>
          <w:tcPr>
            <w:tcW w:w="57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202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05"/>
        </w:trPr>
        <w:tc>
          <w:tcPr>
            <w:tcW w:w="5780" w:type="dxa"/>
            <w:vAlign w:val="bottom"/>
          </w:tcPr>
          <w:p>
            <w:pPr>
              <w:ind w:left="20"/>
              <w:spacing w:after="0"/>
              <w:rPr>
                <w:sz w:val="20"/>
                <w:szCs w:val="20"/>
                <w:color w:val="auto"/>
              </w:rPr>
            </w:pPr>
            <w:r>
              <w:rPr>
                <w:rFonts w:ascii="Arial" w:cs="Arial" w:eastAsia="Arial" w:hAnsi="Arial"/>
                <w:sz w:val="16"/>
                <w:szCs w:val="16"/>
                <w:i w:val="1"/>
                <w:iCs w:val="1"/>
                <w:color w:val="auto"/>
              </w:rPr>
              <w:t>(Numbers in millions, except percentages)</w:t>
            </w:r>
          </w:p>
        </w:tc>
        <w:tc>
          <w:tcPr>
            <w:tcW w:w="3120" w:type="dxa"/>
            <w:vAlign w:val="bottom"/>
          </w:tcPr>
          <w:p>
            <w:pPr>
              <w:jc w:val="right"/>
              <w:ind w:right="1152"/>
              <w:spacing w:after="0"/>
              <w:rPr>
                <w:sz w:val="20"/>
                <w:szCs w:val="20"/>
                <w:color w:val="auto"/>
              </w:rPr>
            </w:pPr>
            <w:r>
              <w:rPr>
                <w:rFonts w:ascii="Arial" w:cs="Arial" w:eastAsia="Arial" w:hAnsi="Arial"/>
                <w:sz w:val="16"/>
                <w:szCs w:val="16"/>
                <w:b w:val="1"/>
                <w:bCs w:val="1"/>
                <w:color w:val="auto"/>
              </w:rPr>
              <w:t>2023</w:t>
            </w: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7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12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$27.7</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120" w:type="dxa"/>
            <w:vAlign w:val="bottom"/>
          </w:tcPr>
          <w:p>
            <w:pPr>
              <w:jc w:val="right"/>
              <w:ind w:right="352"/>
              <w:spacing w:after="0"/>
              <w:rPr>
                <w:sz w:val="20"/>
                <w:szCs w:val="20"/>
                <w:color w:val="auto"/>
              </w:rPr>
            </w:pPr>
            <w:r>
              <w:rPr>
                <w:rFonts w:ascii="Arial" w:cs="Arial" w:eastAsia="Arial" w:hAnsi="Arial"/>
                <w:sz w:val="18"/>
                <w:szCs w:val="18"/>
                <w:color w:val="auto"/>
              </w:rPr>
              <w:t>49.2%</w:t>
            </w:r>
          </w:p>
        </w:tc>
        <w:tc>
          <w:tcPr>
            <w:tcW w:w="20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43"/>
        </w:trPr>
        <w:tc>
          <w:tcPr>
            <w:tcW w:w="57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margin</w:t>
            </w:r>
          </w:p>
        </w:tc>
        <w:tc>
          <w:tcPr>
            <w:tcW w:w="312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60.9%</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8"/>
                <w:szCs w:val="18"/>
                <w:color w:val="auto"/>
              </w:rPr>
              <w:t>Operatng expenses</w:t>
            </w:r>
          </w:p>
        </w:tc>
        <w:tc>
          <w:tcPr>
            <w:tcW w:w="312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202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57"/>
        </w:trPr>
        <w:tc>
          <w:tcPr>
            <w:tcW w:w="57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DEEFF"/>
            </w:tcBorders>
            <w:shd w:val="clear" w:color="auto" w:fill="CDEEFF"/>
          </w:tcPr>
          <w:p>
            <w:pPr>
              <w:ind w:left="20"/>
              <w:spacing w:after="0"/>
              <w:rPr>
                <w:sz w:val="20"/>
                <w:szCs w:val="20"/>
                <w:color w:val="auto"/>
              </w:rPr>
            </w:pPr>
            <w:r>
              <w:rPr>
                <w:rFonts w:ascii="Arial" w:cs="Arial" w:eastAsia="Arial" w:hAnsi="Arial"/>
                <w:sz w:val="18"/>
                <w:szCs w:val="18"/>
                <w:color w:val="auto"/>
              </w:rPr>
              <w:t>Non-GAAP operatng expenses</w:t>
            </w:r>
          </w:p>
        </w:tc>
        <w:tc>
          <w:tcPr>
            <w:tcW w:w="3120" w:type="dxa"/>
            <w:vAlign w:val="bottom"/>
            <w:tcBorders>
              <w:bottom w:val="single" w:sz="8" w:color="CDEEFF"/>
            </w:tcBorders>
            <w:shd w:val="clear" w:color="auto" w:fill="CDEEFF"/>
          </w:tcPr>
          <w:p>
            <w:pPr>
              <w:jc w:val="right"/>
              <w:ind w:right="352"/>
              <w:spacing w:after="0"/>
              <w:rPr>
                <w:sz w:val="20"/>
                <w:szCs w:val="20"/>
                <w:color w:val="auto"/>
              </w:rPr>
            </w:pPr>
            <w:r>
              <w:rPr>
                <w:rFonts w:ascii="Arial" w:cs="Arial" w:eastAsia="Arial" w:hAnsi="Arial"/>
                <w:sz w:val="18"/>
                <w:szCs w:val="18"/>
                <w:color w:val="auto"/>
              </w:rPr>
              <w:t>$25.2</w:t>
            </w:r>
          </w:p>
        </w:tc>
        <w:tc>
          <w:tcPr>
            <w:tcW w:w="2020" w:type="dxa"/>
            <w:vAlign w:val="bottom"/>
            <w:tcBorders>
              <w:bottom w:val="single" w:sz="8" w:color="CDEEFF"/>
            </w:tcBorders>
            <w:shd w:val="clear" w:color="auto" w:fill="CD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8"/>
                <w:szCs w:val="18"/>
                <w:color w:val="auto"/>
              </w:rPr>
              <w:t>Operatng loss</w:t>
            </w:r>
          </w:p>
        </w:tc>
        <w:tc>
          <w:tcPr>
            <w:tcW w:w="3120" w:type="dxa"/>
            <w:vAlign w:val="bottom"/>
          </w:tcPr>
          <w:p>
            <w:pPr>
              <w:jc w:val="right"/>
              <w:ind w:right="352"/>
              <w:spacing w:after="0"/>
              <w:rPr>
                <w:sz w:val="20"/>
                <w:szCs w:val="20"/>
                <w:color w:val="auto"/>
              </w:rPr>
            </w:pPr>
            <w:r>
              <w:rPr>
                <w:rFonts w:ascii="Arial" w:cs="Arial" w:eastAsia="Arial" w:hAnsi="Arial"/>
                <w:sz w:val="18"/>
                <w:szCs w:val="18"/>
                <w:color w:val="auto"/>
              </w:rPr>
              <w:t>($17.4)</w:t>
            </w:r>
          </w:p>
        </w:tc>
        <w:tc>
          <w:tcPr>
            <w:tcW w:w="202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57"/>
        </w:trPr>
        <w:tc>
          <w:tcPr>
            <w:tcW w:w="57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DEEFF"/>
            </w:tcBorders>
            <w:shd w:val="clear" w:color="auto" w:fill="CDEEFF"/>
          </w:tcPr>
          <w:p>
            <w:pPr>
              <w:ind w:left="20"/>
              <w:spacing w:after="0"/>
              <w:rPr>
                <w:sz w:val="20"/>
                <w:szCs w:val="20"/>
                <w:color w:val="auto"/>
              </w:rPr>
            </w:pPr>
            <w:r>
              <w:rPr>
                <w:rFonts w:ascii="Arial" w:cs="Arial" w:eastAsia="Arial" w:hAnsi="Arial"/>
                <w:sz w:val="18"/>
                <w:szCs w:val="18"/>
                <w:color w:val="auto"/>
              </w:rPr>
              <w:t>Net loss</w:t>
            </w:r>
          </w:p>
        </w:tc>
        <w:tc>
          <w:tcPr>
            <w:tcW w:w="3120" w:type="dxa"/>
            <w:vAlign w:val="bottom"/>
            <w:tcBorders>
              <w:bottom w:val="single" w:sz="8" w:color="CDEEFF"/>
            </w:tcBorders>
            <w:shd w:val="clear" w:color="auto" w:fill="CDEEFF"/>
          </w:tcPr>
          <w:p>
            <w:pPr>
              <w:jc w:val="right"/>
              <w:ind w:right="352"/>
              <w:spacing w:after="0"/>
              <w:rPr>
                <w:sz w:val="20"/>
                <w:szCs w:val="20"/>
                <w:color w:val="auto"/>
              </w:rPr>
            </w:pPr>
            <w:r>
              <w:rPr>
                <w:rFonts w:ascii="Arial" w:cs="Arial" w:eastAsia="Arial" w:hAnsi="Arial"/>
                <w:sz w:val="18"/>
                <w:szCs w:val="18"/>
                <w:color w:val="auto"/>
              </w:rPr>
              <w:t>($17.0)</w:t>
            </w:r>
          </w:p>
        </w:tc>
        <w:tc>
          <w:tcPr>
            <w:tcW w:w="2020" w:type="dxa"/>
            <w:vAlign w:val="bottom"/>
            <w:tcBorders>
              <w:bottom w:val="single" w:sz="8" w:color="CDEEFF"/>
            </w:tcBorders>
            <w:shd w:val="clear" w:color="auto" w:fill="CD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8"/>
                <w:szCs w:val="18"/>
                <w:color w:val="auto"/>
              </w:rPr>
              <w:t>Non-GAAP adjusted EBITDA</w:t>
            </w:r>
          </w:p>
        </w:tc>
        <w:tc>
          <w:tcPr>
            <w:tcW w:w="3120" w:type="dxa"/>
            <w:vAlign w:val="bottom"/>
          </w:tcPr>
          <w:p>
            <w:pPr>
              <w:jc w:val="right"/>
              <w:ind w:right="352"/>
              <w:spacing w:after="0"/>
              <w:rPr>
                <w:sz w:val="20"/>
                <w:szCs w:val="20"/>
                <w:color w:val="auto"/>
              </w:rPr>
            </w:pPr>
            <w:r>
              <w:rPr>
                <w:rFonts w:ascii="Arial" w:cs="Arial" w:eastAsia="Arial" w:hAnsi="Arial"/>
                <w:sz w:val="18"/>
                <w:szCs w:val="18"/>
                <w:color w:val="auto"/>
              </w:rPr>
              <w:t>($8.4)</w:t>
            </w:r>
          </w:p>
        </w:tc>
        <w:tc>
          <w:tcPr>
            <w:tcW w:w="20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43"/>
        </w:trPr>
        <w:tc>
          <w:tcPr>
            <w:tcW w:w="57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780" w:type="dxa"/>
            <w:vAlign w:val="bottom"/>
            <w:shd w:val="clear" w:color="auto" w:fill="CDEEFF"/>
          </w:tcPr>
          <w:p>
            <w:pPr>
              <w:ind w:left="20"/>
              <w:spacing w:after="0"/>
              <w:rPr>
                <w:sz w:val="20"/>
                <w:szCs w:val="20"/>
                <w:color w:val="auto"/>
              </w:rPr>
            </w:pPr>
            <w:r>
              <w:rPr>
                <w:rFonts w:ascii="Arial" w:cs="Arial" w:eastAsia="Arial" w:hAnsi="Arial"/>
                <w:sz w:val="18"/>
                <w:szCs w:val="18"/>
                <w:color w:val="auto"/>
              </w:rPr>
              <w:t>Cash and equivalents, restricted cash, and short-term investments</w:t>
            </w:r>
          </w:p>
        </w:tc>
        <w:tc>
          <w:tcPr>
            <w:tcW w:w="3120" w:type="dxa"/>
            <w:vAlign w:val="bottom"/>
            <w:shd w:val="clear" w:color="auto" w:fill="CDEEFF"/>
          </w:tcPr>
          <w:p>
            <w:pPr>
              <w:jc w:val="right"/>
              <w:ind w:right="352"/>
              <w:spacing w:after="0"/>
              <w:rPr>
                <w:sz w:val="20"/>
                <w:szCs w:val="20"/>
                <w:color w:val="auto"/>
              </w:rPr>
            </w:pPr>
            <w:r>
              <w:rPr>
                <w:rFonts w:ascii="Arial" w:cs="Arial" w:eastAsia="Arial" w:hAnsi="Arial"/>
                <w:sz w:val="18"/>
                <w:szCs w:val="18"/>
                <w:color w:val="auto"/>
              </w:rPr>
              <w:t>$143.1</w:t>
            </w:r>
          </w:p>
        </w:tc>
        <w:tc>
          <w:tcPr>
            <w:tcW w:w="2020" w:type="dxa"/>
            <w:vAlign w:val="bottom"/>
            <w:shd w:val="clear" w:color="auto" w:fill="CD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57"/>
        </w:trPr>
        <w:tc>
          <w:tcPr>
            <w:tcW w:w="5780" w:type="dxa"/>
            <w:vAlign w:val="bottom"/>
            <w:shd w:val="clear" w:color="auto" w:fill="CDEEFF"/>
          </w:tcPr>
          <w:p>
            <w:pPr>
              <w:spacing w:after="0"/>
              <w:rPr>
                <w:sz w:val="4"/>
                <w:szCs w:val="4"/>
                <w:color w:val="auto"/>
              </w:rPr>
            </w:pPr>
          </w:p>
        </w:tc>
        <w:tc>
          <w:tcPr>
            <w:tcW w:w="3120" w:type="dxa"/>
            <w:vAlign w:val="bottom"/>
            <w:shd w:val="clear" w:color="auto" w:fill="CDEEFF"/>
          </w:tcPr>
          <w:p>
            <w:pPr>
              <w:spacing w:after="0"/>
              <w:rPr>
                <w:sz w:val="4"/>
                <w:szCs w:val="4"/>
                <w:color w:val="auto"/>
              </w:rPr>
            </w:pPr>
          </w:p>
        </w:tc>
        <w:tc>
          <w:tcPr>
            <w:tcW w:w="2020" w:type="dxa"/>
            <w:vAlign w:val="bottom"/>
            <w:shd w:val="clear" w:color="auto" w:fill="CDEEFF"/>
          </w:tcPr>
          <w:p>
            <w:pPr>
              <w:spacing w:after="0"/>
              <w:rPr>
                <w:sz w:val="4"/>
                <w:szCs w:val="4"/>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Quarter ended June 30, 2022 includes $1.6 million revenue ofset to establish return reserve for discontnued product line.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and First Half 2023 Financial Highlights Compared to 2022</w:t>
      </w:r>
    </w:p>
    <w:p>
      <w:pPr>
        <w:spacing w:after="0" w:line="24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Total revenue grew 47% in the second quarter of 2023 and 17% in the frst half of 2023.</w:t>
      </w:r>
    </w:p>
    <w:p>
      <w:pPr>
        <w:spacing w:after="0" w:line="273" w:lineRule="exact"/>
        <w:rPr>
          <w:rFonts w:ascii="Arial" w:cs="Arial" w:eastAsia="Arial" w:hAnsi="Arial"/>
          <w:sz w:val="22"/>
          <w:szCs w:val="22"/>
          <w:color w:val="auto"/>
        </w:rPr>
      </w:pPr>
    </w:p>
    <w:p>
      <w:pPr>
        <w:ind w:left="660" w:right="140" w:hanging="328"/>
        <w:spacing w:after="0" w:line="274"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Non-GAAP gross margin expanded by over 2,000 basis points in the second quarter of 2023 and over 1,000 basis points in the frst half of 2023.</w:t>
      </w:r>
    </w:p>
    <w:p>
      <w:pPr>
        <w:spacing w:after="0" w:line="218"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Non-GAAP operatng expenses declined over $8 million, or 25%, in the second quarter of 2023 and nearly $18 million, or 26%, in the frst half of 2023.</w:t>
      </w:r>
    </w:p>
    <w:p>
      <w:pPr>
        <w:spacing w:after="0" w:line="218" w:lineRule="exact"/>
        <w:rPr>
          <w:rFonts w:ascii="Arial" w:cs="Arial" w:eastAsia="Arial" w:hAnsi="Arial"/>
          <w:sz w:val="22"/>
          <w:szCs w:val="22"/>
          <w:color w:val="auto"/>
        </w:rPr>
      </w:pPr>
    </w:p>
    <w:p>
      <w:pPr>
        <w:jc w:val="both"/>
        <w:ind w:left="660" w:right="140" w:hanging="328"/>
        <w:spacing w:after="0" w:line="26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Non-GAAP adjusted EBITDA loss improved over $17 million in the quarter and over $27 million in the frst half of 2023. Operatng cash use decreased over 70% to $8.5 million in the second quarter of 2023 and decreased over 60% to $17.7 million in the frst half of 2023.</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Cash, cash equivalents, and short-term investments (including restricted cash) on June 30, 2023, totaled $143 million.</w:t>
      </w:r>
    </w:p>
    <w:p>
      <w:pPr>
        <w:spacing w:after="0" w:line="268" w:lineRule="exact"/>
        <w:rPr>
          <w:sz w:val="20"/>
          <w:szCs w:val="20"/>
          <w:color w:val="auto"/>
        </w:rPr>
      </w:pPr>
    </w:p>
    <w:p>
      <w:pPr>
        <w:ind w:left="340" w:right="20"/>
        <w:spacing w:after="0" w:line="251" w:lineRule="auto"/>
        <w:rPr>
          <w:sz w:val="20"/>
          <w:szCs w:val="20"/>
          <w:color w:val="auto"/>
        </w:rPr>
      </w:pPr>
      <w:r>
        <w:rPr>
          <w:rFonts w:ascii="Arial" w:cs="Arial" w:eastAsia="Arial" w:hAnsi="Arial"/>
          <w:sz w:val="19"/>
          <w:szCs w:val="19"/>
          <w:color w:val="auto"/>
        </w:rPr>
        <w:t>“I am pleased to report our second quarter results and the visible improvement to many of our key performance metrics, especially in light of an uncertain macroeconomic environment,” said Michael Egholm, PhD, President and Chief Executve Ofcer of Standard BioTools™. “The growth of our top line comes directly from disciplined sales executon and beter overall operatng efciency across the organizaton,” Egholm said. “This has also allowed us to design and successfully launch the Hyperion XTi™ Imaging System, and we are encouraged by early customer tracton.</w:t>
      </w:r>
    </w:p>
    <w:p>
      <w:pPr>
        <w:spacing w:after="0" w:line="180" w:lineRule="exact"/>
        <w:rPr>
          <w:sz w:val="20"/>
          <w:szCs w:val="20"/>
          <w:color w:val="auto"/>
        </w:rPr>
      </w:pPr>
    </w:p>
    <w:p>
      <w:pPr>
        <w:ind w:left="340" w:right="40"/>
        <w:spacing w:after="0" w:line="228" w:lineRule="auto"/>
        <w:rPr>
          <w:sz w:val="20"/>
          <w:szCs w:val="20"/>
          <w:color w:val="auto"/>
        </w:rPr>
      </w:pPr>
      <w:r>
        <w:rPr>
          <w:rFonts w:ascii="Arial" w:cs="Arial" w:eastAsia="Arial" w:hAnsi="Arial"/>
          <w:sz w:val="21"/>
          <w:szCs w:val="21"/>
          <w:color w:val="auto"/>
        </w:rPr>
        <w:t>“Contnued success will come from building out our operatonal systems that deliver a portolio of high value, high margin tools and solutons to researchers at a proft, while atractng personnel that fully embrace a lean culture and can execute at the highest level. In the last year we have completely transformed our senior management team to this standard and are now seeing in this quarter the early signs and beneft of having done so.”</w:t>
      </w:r>
    </w:p>
    <w:p>
      <w:pPr>
        <w:spacing w:after="0" w:line="189" w:lineRule="exact"/>
        <w:rPr>
          <w:sz w:val="20"/>
          <w:szCs w:val="20"/>
          <w:color w:val="auto"/>
        </w:rPr>
      </w:pPr>
    </w:p>
    <w:p>
      <w:pPr>
        <w:ind w:right="200"/>
        <w:spacing w:after="0" w:line="222" w:lineRule="auto"/>
        <w:rPr>
          <w:sz w:val="20"/>
          <w:szCs w:val="20"/>
          <w:color w:val="auto"/>
        </w:rPr>
      </w:pPr>
      <w:r>
        <w:rPr>
          <w:rFonts w:ascii="Arial" w:cs="Arial" w:eastAsia="Arial" w:hAnsi="Arial"/>
          <w:sz w:val="22"/>
          <w:szCs w:val="22"/>
          <w:color w:val="auto"/>
        </w:rPr>
        <w:t>A reconciliaton of non-GAAP gross margins, non-GAAP operatng expenses, and non-GAAP adjusted EBITDA is provided in the fnancial schedules that are part of this press release. An explanaton of these non-GAAP fnancial measures is also included below under the heading "Use of Non-GAAP Financial Informaton."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Update</w:t>
      </w:r>
    </w:p>
    <w:p>
      <w:pPr>
        <w:spacing w:after="0" w:line="206" w:lineRule="exact"/>
        <w:rPr>
          <w:sz w:val="20"/>
          <w:szCs w:val="20"/>
          <w:color w:val="auto"/>
        </w:rPr>
      </w:pPr>
    </w:p>
    <w:p>
      <w:pPr>
        <w:ind w:left="340" w:right="60"/>
        <w:spacing w:after="0" w:line="223" w:lineRule="auto"/>
        <w:rPr>
          <w:sz w:val="20"/>
          <w:szCs w:val="20"/>
          <w:color w:val="auto"/>
        </w:rPr>
      </w:pPr>
      <w:r>
        <w:rPr>
          <w:rFonts w:ascii="Arial" w:cs="Arial" w:eastAsia="Arial" w:hAnsi="Arial"/>
          <w:sz w:val="22"/>
          <w:szCs w:val="22"/>
          <w:b w:val="1"/>
          <w:bCs w:val="1"/>
          <w:color w:val="auto"/>
        </w:rPr>
        <w:t xml:space="preserve">Proteomics: </w:t>
      </w:r>
      <w:r>
        <w:rPr>
          <w:rFonts w:ascii="Arial" w:cs="Arial" w:eastAsia="Arial" w:hAnsi="Arial"/>
          <w:sz w:val="22"/>
          <w:szCs w:val="22"/>
          <w:color w:val="auto"/>
        </w:rPr>
        <w:t>Following the launch of the Hyperion™ XTi Imaging System in April, the company shipped its frst revenue units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quarter with a growing order backlog. This system provides a market-leading performance with the highest data quality available in spatal proteomics and industry-leading shortest tme to results.</w:t>
      </w:r>
    </w:p>
    <w:p>
      <w:pPr>
        <w:sectPr>
          <w:pgSz w:w="11900" w:h="16838" w:orient="portrait"/>
          <w:cols w:equalWidth="0" w:num="1">
            <w:col w:w="11200"/>
          </w:cols>
          <w:pgMar w:left="320" w:top="1391" w:right="379" w:bottom="0" w:gutter="0" w:footer="0" w:header="0"/>
        </w:sectPr>
      </w:pPr>
    </w:p>
    <w:bookmarkStart w:id="4" w:name="page5"/>
    <w:bookmarkEnd w:id="4"/>
    <w:p>
      <w:pPr>
        <w:spacing w:after="0" w:line="223"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340"/>
        <w:spacing w:after="0" w:line="229" w:lineRule="auto"/>
        <w:rPr>
          <w:sz w:val="20"/>
          <w:szCs w:val="20"/>
          <w:color w:val="auto"/>
        </w:rPr>
      </w:pPr>
      <w:r>
        <w:rPr>
          <w:rFonts w:ascii="Arial" w:cs="Arial" w:eastAsia="Arial" w:hAnsi="Arial"/>
          <w:sz w:val="21"/>
          <w:szCs w:val="21"/>
          <w:b w:val="1"/>
          <w:bCs w:val="1"/>
          <w:color w:val="auto"/>
        </w:rPr>
        <w:t xml:space="preserve">Genomics: </w:t>
      </w:r>
      <w:r>
        <w:rPr>
          <w:rFonts w:ascii="Arial" w:cs="Arial" w:eastAsia="Arial" w:hAnsi="Arial"/>
          <w:sz w:val="21"/>
          <w:szCs w:val="21"/>
          <w:color w:val="auto"/>
        </w:rPr>
        <w:t>The company launched an upgrade to its X9™ High-Throughput Genomics System to enable next-generaton</w:t>
      </w:r>
      <w:r>
        <w:rPr>
          <w:rFonts w:ascii="Arial" w:cs="Arial" w:eastAsia="Arial" w:hAnsi="Arial"/>
          <w:sz w:val="21"/>
          <w:szCs w:val="21"/>
          <w:b w:val="1"/>
          <w:bCs w:val="1"/>
          <w:color w:val="auto"/>
        </w:rPr>
        <w:t xml:space="preserve"> </w:t>
      </w:r>
      <w:r>
        <w:rPr>
          <w:rFonts w:ascii="Arial" w:cs="Arial" w:eastAsia="Arial" w:hAnsi="Arial"/>
          <w:sz w:val="21"/>
          <w:szCs w:val="21"/>
          <w:color w:val="auto"/>
        </w:rPr>
        <w:t>sequencing (NGS) library preparaton on the system to support discovery through screening. Customers can create NGS libraries and assess the quality and quantty in a single workfow ahead of expensive NGS runs. This unifed approach has the potental to catch any errors earlier and ensure that samples will not go to waste.</w:t>
      </w:r>
    </w:p>
    <w:p>
      <w:pPr>
        <w:spacing w:after="0" w:line="185" w:lineRule="exact"/>
        <w:rPr>
          <w:sz w:val="20"/>
          <w:szCs w:val="20"/>
          <w:color w:val="auto"/>
        </w:rPr>
      </w:pPr>
    </w:p>
    <w:p>
      <w:pPr>
        <w:ind w:left="340" w:right="260"/>
        <w:spacing w:after="0" w:line="232" w:lineRule="auto"/>
        <w:rPr>
          <w:sz w:val="20"/>
          <w:szCs w:val="20"/>
          <w:color w:val="auto"/>
        </w:rPr>
      </w:pPr>
      <w:r>
        <w:rPr>
          <w:rFonts w:ascii="Arial" w:cs="Arial" w:eastAsia="Arial" w:hAnsi="Arial"/>
          <w:sz w:val="22"/>
          <w:szCs w:val="22"/>
          <w:b w:val="1"/>
          <w:bCs w:val="1"/>
          <w:color w:val="auto"/>
        </w:rPr>
        <w:t xml:space="preserve">Corporate: </w:t>
      </w:r>
      <w:r>
        <w:rPr>
          <w:rFonts w:ascii="Arial" w:cs="Arial" w:eastAsia="Arial" w:hAnsi="Arial"/>
          <w:sz w:val="22"/>
          <w:szCs w:val="22"/>
          <w:color w:val="auto"/>
        </w:rPr>
        <w:t>The company announced Jef Black as its new Chief Financial Ofcer and Agnieszka (Aggie) Gallagher as Senior</w:t>
      </w:r>
      <w:r>
        <w:rPr>
          <w:rFonts w:ascii="Arial" w:cs="Arial" w:eastAsia="Arial" w:hAnsi="Arial"/>
          <w:sz w:val="22"/>
          <w:szCs w:val="22"/>
          <w:b w:val="1"/>
          <w:bCs w:val="1"/>
          <w:color w:val="auto"/>
        </w:rPr>
        <w:t xml:space="preserve"> </w:t>
      </w:r>
      <w:r>
        <w:rPr>
          <w:rFonts w:ascii="Arial" w:cs="Arial" w:eastAsia="Arial" w:hAnsi="Arial"/>
          <w:sz w:val="22"/>
          <w:szCs w:val="22"/>
          <w:color w:val="auto"/>
        </w:rPr>
        <w:t>Vice President and Chief Legal Ofcer.</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0A0A0A"/>
        </w:rPr>
        <w:t>Conference Call Informaton</w:t>
      </w:r>
    </w:p>
    <w:p>
      <w:pPr>
        <w:spacing w:after="0" w:line="208" w:lineRule="exact"/>
        <w:rPr>
          <w:sz w:val="20"/>
          <w:szCs w:val="20"/>
          <w:color w:val="auto"/>
        </w:rPr>
      </w:pPr>
    </w:p>
    <w:p>
      <w:pPr>
        <w:ind w:right="580"/>
        <w:spacing w:after="0" w:line="296" w:lineRule="auto"/>
        <w:rPr>
          <w:sz w:val="20"/>
          <w:szCs w:val="20"/>
          <w:color w:val="auto"/>
        </w:rPr>
      </w:pPr>
      <w:r>
        <w:rPr>
          <w:rFonts w:ascii="Arial" w:cs="Arial" w:eastAsia="Arial" w:hAnsi="Arial"/>
          <w:sz w:val="19"/>
          <w:szCs w:val="19"/>
          <w:color w:val="0A0A0A"/>
        </w:rPr>
        <w:t>The company’s management will host a conference call and webcast today at 2:00 p.m. PT, 5:00 p.m. ET, to discuss second quarter 2023 fnancial results and operatonal progress as well as to provide additonal color on its strategic actons.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0A0A0A"/>
        </w:rPr>
        <w:t>Individuals interested in listening to the conference call may do so by dialing:</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color w:val="0A0A0A"/>
        </w:rPr>
        <w:t>US domestc callers: (888) 346-3970</w:t>
      </w:r>
    </w:p>
    <w:p>
      <w:pPr>
        <w:ind w:left="4080"/>
        <w:spacing w:after="0" w:line="222" w:lineRule="auto"/>
        <w:rPr>
          <w:sz w:val="20"/>
          <w:szCs w:val="20"/>
          <w:color w:val="auto"/>
        </w:rPr>
      </w:pPr>
      <w:r>
        <w:rPr>
          <w:rFonts w:ascii="Arial" w:cs="Arial" w:eastAsia="Arial" w:hAnsi="Arial"/>
          <w:sz w:val="22"/>
          <w:szCs w:val="22"/>
          <w:color w:val="0A0A0A"/>
        </w:rPr>
        <w:t>Outside US callers: (412) 902-4297</w:t>
      </w:r>
    </w:p>
    <w:p>
      <w:pPr>
        <w:spacing w:after="0" w:line="188" w:lineRule="exact"/>
        <w:rPr>
          <w:sz w:val="20"/>
          <w:szCs w:val="20"/>
          <w:color w:val="auto"/>
        </w:rPr>
      </w:pPr>
    </w:p>
    <w:p>
      <w:pPr>
        <w:ind w:right="740"/>
        <w:spacing w:after="0" w:line="222" w:lineRule="auto"/>
        <w:rPr>
          <w:sz w:val="20"/>
          <w:szCs w:val="20"/>
          <w:color w:val="auto"/>
        </w:rPr>
      </w:pPr>
      <w:r>
        <w:rPr>
          <w:rFonts w:ascii="Arial" w:cs="Arial" w:eastAsia="Arial" w:hAnsi="Arial"/>
          <w:sz w:val="22"/>
          <w:szCs w:val="22"/>
          <w:color w:val="0A0A0A"/>
        </w:rPr>
        <w:t>Live audio of the webcast will be available online from the Investor Relatons page of the company’s website at </w:t>
      </w:r>
      <w:r>
        <w:rPr>
          <w:rFonts w:ascii="Arial" w:cs="Arial" w:eastAsia="Arial" w:hAnsi="Arial"/>
          <w:sz w:val="22"/>
          <w:szCs w:val="22"/>
          <w:u w:val="single" w:color="auto"/>
          <w:color w:val="530080"/>
        </w:rPr>
        <w:t>Events &amp;</w:t>
      </w:r>
      <w:r>
        <w:rPr>
          <w:rFonts w:ascii="Arial" w:cs="Arial" w:eastAsia="Arial" w:hAnsi="Arial"/>
          <w:sz w:val="22"/>
          <w:szCs w:val="22"/>
          <w:color w:val="0A0A0A"/>
        </w:rPr>
        <w:t xml:space="preserve"> </w:t>
      </w:r>
      <w:r>
        <w:rPr>
          <w:rFonts w:ascii="Arial" w:cs="Arial" w:eastAsia="Arial" w:hAnsi="Arial"/>
          <w:sz w:val="22"/>
          <w:szCs w:val="22"/>
          <w:u w:val="single" w:color="auto"/>
          <w:color w:val="530080"/>
        </w:rPr>
        <w:t>Presentatons</w:t>
      </w:r>
      <w:r>
        <w:rPr>
          <w:rFonts w:ascii="Arial" w:cs="Arial" w:eastAsia="Arial" w:hAnsi="Arial"/>
          <w:sz w:val="22"/>
          <w:szCs w:val="22"/>
          <w:color w:val="0A0A0A"/>
        </w:rPr>
        <w:t>. The webcast will be archived and available on the Standard BioTools Investor Relatons page</w:t>
      </w:r>
      <w:r>
        <w:rPr>
          <w:rFonts w:ascii="Arial" w:cs="Arial" w:eastAsia="Arial" w:hAnsi="Arial"/>
          <w:sz w:val="22"/>
          <w:szCs w:val="22"/>
          <w:color w:val="530080"/>
        </w:rPr>
        <w:t xml:space="preserve"> </w:t>
      </w:r>
      <w:r>
        <w:rPr>
          <w:rFonts w:ascii="Arial" w:cs="Arial" w:eastAsia="Arial" w:hAnsi="Arial"/>
          <w:sz w:val="22"/>
          <w:szCs w:val="22"/>
          <w:color w:val="0A0A0A"/>
        </w:rPr>
        <w:t>at </w:t>
      </w:r>
      <w:r>
        <w:rPr>
          <w:rFonts w:ascii="Arial" w:cs="Arial" w:eastAsia="Arial" w:hAnsi="Arial"/>
          <w:sz w:val="22"/>
          <w:szCs w:val="22"/>
          <w:u w:val="single" w:color="auto"/>
          <w:color w:val="59B103"/>
        </w:rPr>
        <w:t>investors.standardbio.com</w:t>
      </w:r>
      <w:r>
        <w:rPr>
          <w:rFonts w:ascii="Arial" w:cs="Arial" w:eastAsia="Arial" w:hAnsi="Arial"/>
          <w:sz w:val="22"/>
          <w:szCs w:val="22"/>
          <w:color w:val="0A0A0A"/>
          <w:highlight w:val="white"/>
        </w:rPr>
        <w:t>.</w:t>
      </w:r>
    </w:p>
    <w:p>
      <w:pPr>
        <w:spacing w:after="0" w:line="162"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color w:val="auto"/>
        </w:rPr>
        <w:t>Our investor presentaton including Supplemental Financial Informaton has been posted on the investor relatons secton of our website concurrent with this news release.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Non-GAAP Financial Informaton</w:t>
      </w:r>
    </w:p>
    <w:p>
      <w:pPr>
        <w:spacing w:after="0" w:line="181"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Standard BioTools has presented certain fnancial informaton in accordance with U.S. GAAP and also on a non-GAAP basis. The non-GAAP fnancial measures included in this press release are non-GAAP gross margin, non-GAAP operatng expenses, and adjusted EBITDA. Management uses these non-GAAP fnancial measures, in additon to GAAP fnancial measures, as a measure of operatng performance because the non-GAAP fnancial measures do not include the impact of items that management does not consider indicatve of the Company’s core operatng performance. Management believes that non-GAAP fnancial measures, taken in conjuncton with GAAP fnancial measures, provide useful informaton for both management and investors by excluding certain non-cash and other expenses that are not indicatve of the company’s core operatng results. Management uses non-GAAP measures to compare the company’s performance relatve to forecasts and strategic plans and to benchmark the company’s performance externally against compettors. Non-GAAP informaton is not prepared under a comprehensive set of accountng rules and should only be used to supplement an understanding of the company’s operatng results as reported under U.S. GAAP. Standard BioTools encourages investors to carefully consider its results under GAAP, as well as its supplemental non-GAAP informaton and the reconciliatons between these presentatons, to more fully understand its business. Reconciliatons between GAAP and non-GAAP operatng results are presented in the accompanying tables of this release.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This press release contains forward-looking statements within the meaning of the Private Securites Litgaton Reform Act of 1995, including, among others, guidance, including related to revenues, margin, and operatng expenses, and statements regarding future fnancial performance and expectatons, operatonal and strategic plans, deployment of capital, our cash runway and sufciency of cash resources, potental M&amp;A actvity, and expectatons with respect to our restructuring plans (including expense reducton actvites). Forward-looking statements are subject to numerous risks and uncertaintes that could cause actual results to difer materially from currently antcipated results, including but not limited to risks that we may not realize expected cost savings from the restructuring, including the antcipated decrease in operatonal expenses, at the levels we expect; possible restructuring and transiton-related disrupton, including through the loss of customers, suppliers, and employees and adverse impacts on our development actvites and results of operaton; restructuring actvites, including our subleasing plans, customer and employee relatons, management distracton, and reduced operatng performance; risks that internal and external costs required for ongoing and planned actvites may be higher than expected, which may cause us to use cash more quickly than we expect or change or curtail some of our plans, or both; risks that our expectatons as to expenses, cash usage, and cash needs may prove not to be correct for other reasons such as changes in plans or actual events being diferent than our assumptons; changes in Standard BioTools’ business or external market conditons; challenges inherent in developing, manufacturing, launching, marketng, and selling new products; interruptons or delays in the supply of components or materials for, or manufacturing of, Standard BioTools products; reliance on sales of capital equipment for a signifcant proporton of revenues in each quarter; seasonal variatons in customer operatons; unantcipated increases in costs or expenses; uncertaintes in contractual relatonships; reductons in research and development spending or changes in budget priorites by customers; uncertaintes relatng to Standard BioTools’ research and development actvites, and distributon plans and capabilites; potental product performance and quality issues; risks associated with internatonal operatons; intellectual property risks; and competton. Informaton on these and additonal risks and uncertaintes and other informaton afectng Standard BioTools’ business and operatng results is contained in its Annual Report on Form 10-K for the year ended</w:t>
      </w:r>
    </w:p>
    <w:p>
      <w:pPr>
        <w:sectPr>
          <w:pgSz w:w="11900" w:h="16838" w:orient="portrait"/>
          <w:cols w:equalWidth="0" w:num="1">
            <w:col w:w="11240"/>
          </w:cols>
          <w:pgMar w:left="320" w:top="1215" w:right="339" w:bottom="910" w:gutter="0" w:footer="0" w:header="0"/>
        </w:sectPr>
      </w:pPr>
    </w:p>
    <w:bookmarkStart w:id="6" w:name="page7"/>
    <w:bookmarkEnd w:id="6"/>
    <w:p>
      <w:pPr>
        <w:ind w:right="80"/>
        <w:spacing w:after="0" w:line="222" w:lineRule="auto"/>
        <w:rPr>
          <w:sz w:val="20"/>
          <w:szCs w:val="20"/>
          <w:color w:val="auto"/>
        </w:rPr>
      </w:pPr>
      <w:r>
        <w:rPr>
          <w:rFonts w:ascii="Arial" w:cs="Arial" w:eastAsia="Arial" w:hAnsi="Arial"/>
          <w:sz w:val="22"/>
          <w:szCs w:val="22"/>
          <w:color w:val="auto"/>
        </w:rPr>
        <w:t>December 31, 2022, and in its other flings with the Securites and Exchange Commission. These forward-looking statements speak only as of the date hereof. Standard BioTools disclaims any obligaton to update these forward-looking statements except as may be required by law.</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A0A0A"/>
        </w:rPr>
        <w:t>About Standard BioTools Inc.</w:t>
      </w:r>
    </w:p>
    <w:p>
      <w:pPr>
        <w:spacing w:after="0" w:line="21" w:lineRule="exact"/>
        <w:rPr>
          <w:sz w:val="20"/>
          <w:szCs w:val="20"/>
          <w:color w:val="auto"/>
        </w:rPr>
      </w:pPr>
    </w:p>
    <w:p>
      <w:pPr>
        <w:spacing w:after="0" w:line="214" w:lineRule="auto"/>
        <w:rPr>
          <w:sz w:val="20"/>
          <w:szCs w:val="20"/>
          <w:color w:val="auto"/>
        </w:rPr>
      </w:pPr>
      <w:r>
        <w:rPr>
          <w:rFonts w:ascii="Arial" w:cs="Arial" w:eastAsia="Arial" w:hAnsi="Arial"/>
          <w:sz w:val="21"/>
          <w:szCs w:val="21"/>
          <w:color w:val="0A0A0A"/>
        </w:rPr>
        <w:t xml:space="preserve">Standard BioTools Inc. (Nasdaq:LAB), previously known as Fluidigm Corporaton, is driven by a bold purpose – </w:t>
      </w:r>
      <w:r>
        <w:rPr>
          <w:rFonts w:ascii="Arial" w:cs="Arial" w:eastAsia="Arial" w:hAnsi="Arial"/>
          <w:sz w:val="21"/>
          <w:szCs w:val="21"/>
          <w:i w:val="1"/>
          <w:iCs w:val="1"/>
          <w:color w:val="0A0A0A"/>
        </w:rPr>
        <w:t>Unleashing tools</w:t>
      </w:r>
      <w:r>
        <w:rPr>
          <w:rFonts w:ascii="Arial" w:cs="Arial" w:eastAsia="Arial" w:hAnsi="Arial"/>
          <w:sz w:val="21"/>
          <w:szCs w:val="21"/>
          <w:color w:val="0A0A0A"/>
        </w:rPr>
        <w:t xml:space="preserve"> </w:t>
      </w:r>
      <w:r>
        <w:rPr>
          <w:rFonts w:ascii="Arial" w:cs="Arial" w:eastAsia="Arial" w:hAnsi="Arial"/>
          <w:sz w:val="21"/>
          <w:szCs w:val="21"/>
          <w:i w:val="1"/>
          <w:iCs w:val="1"/>
          <w:color w:val="0A0A0A"/>
        </w:rPr>
        <w:t>to accelerate breakthroughs in human health</w:t>
      </w:r>
      <w:r>
        <w:rPr>
          <w:rFonts w:ascii="Arial" w:cs="Arial" w:eastAsia="Arial" w:hAnsi="Arial"/>
          <w:sz w:val="21"/>
          <w:szCs w:val="21"/>
          <w:color w:val="0A0A0A"/>
        </w:rPr>
        <w:t xml:space="preserve">. Standard BioTools has an established portolio of essental, standardized next-generaton technologies that help biomedical researchers develop medicines faster and beter. As a leading solutons provider, the company provides reliable and repeatable insights in health and disease using its proprietary mass cytometry and microfuidics technologies, which help transform scientfc discoveries into beter patent outcomes. Standard BioTools works with leading academic, government, pharmaceutcal, biotechnology, plant and animal research, and clinical laboratories worldwide, focusing on the most pressing needs in translatonal and clinical research, including oncology, immunology, and immunotherapy. Learn more at www.standardbio.com or connect with us on </w:t>
      </w:r>
      <w:r>
        <w:rPr>
          <w:rFonts w:ascii="Arial" w:cs="Arial" w:eastAsia="Arial" w:hAnsi="Arial"/>
          <w:sz w:val="21"/>
          <w:szCs w:val="21"/>
          <w:u w:val="single" w:color="auto"/>
          <w:color w:val="0563C1"/>
        </w:rPr>
        <w:t>Twiter®</w:t>
      </w:r>
      <w:r>
        <w:rPr>
          <w:rFonts w:ascii="Arial" w:cs="Arial" w:eastAsia="Arial" w:hAnsi="Arial"/>
          <w:sz w:val="21"/>
          <w:szCs w:val="21"/>
          <w:color w:val="0A0A0A"/>
        </w:rPr>
        <w:t xml:space="preserve">, </w:t>
      </w:r>
      <w:r>
        <w:rPr>
          <w:rFonts w:ascii="Arial" w:cs="Arial" w:eastAsia="Arial" w:hAnsi="Arial"/>
          <w:sz w:val="21"/>
          <w:szCs w:val="21"/>
          <w:u w:val="single" w:color="auto"/>
          <w:color w:val="0563C1"/>
        </w:rPr>
        <w:t>Facebook®</w:t>
      </w:r>
      <w:r>
        <w:rPr>
          <w:rFonts w:ascii="Arial" w:cs="Arial" w:eastAsia="Arial" w:hAnsi="Arial"/>
          <w:sz w:val="21"/>
          <w:szCs w:val="21"/>
          <w:color w:val="0A0A0A"/>
          <w:highlight w:val="white"/>
        </w:rPr>
        <w:t>,</w:t>
      </w:r>
      <w:r>
        <w:rPr>
          <w:rFonts w:ascii="Arial" w:cs="Arial" w:eastAsia="Arial" w:hAnsi="Arial"/>
          <w:sz w:val="21"/>
          <w:szCs w:val="21"/>
          <w:color w:val="0A0A0A"/>
        </w:rPr>
        <w:t xml:space="preserve"> </w:t>
      </w:r>
      <w:r>
        <w:rPr>
          <w:rFonts w:ascii="Arial" w:cs="Arial" w:eastAsia="Arial" w:hAnsi="Arial"/>
          <w:sz w:val="21"/>
          <w:szCs w:val="21"/>
          <w:u w:val="single" w:color="auto"/>
          <w:color w:val="0563C1"/>
          <w:highlight w:val="white"/>
        </w:rPr>
        <w:t>LinkedIn</w:t>
      </w:r>
      <w:r>
        <w:rPr>
          <w:rFonts w:ascii="Arial" w:cs="Arial" w:eastAsia="Arial" w:hAnsi="Arial"/>
          <w:sz w:val="21"/>
          <w:szCs w:val="21"/>
          <w:color w:val="0A0A0A"/>
          <w:highlight w:val="white"/>
        </w:rPr>
        <w:t>, and</w:t>
      </w:r>
      <w:r>
        <w:rPr>
          <w:rFonts w:ascii="Arial" w:cs="Arial" w:eastAsia="Arial" w:hAnsi="Arial"/>
          <w:sz w:val="21"/>
          <w:szCs w:val="21"/>
          <w:color w:val="0A0A0A"/>
        </w:rPr>
        <w:t xml:space="preserve"> </w:t>
      </w:r>
      <w:r>
        <w:rPr>
          <w:rFonts w:ascii="Arial" w:cs="Arial" w:eastAsia="Arial" w:hAnsi="Arial"/>
          <w:sz w:val="21"/>
          <w:szCs w:val="21"/>
          <w:u w:val="single" w:color="auto"/>
          <w:color w:val="0563C1"/>
          <w:highlight w:val="white"/>
        </w:rPr>
        <w:t>YouTube™</w:t>
      </w:r>
      <w:r>
        <w:rPr>
          <w:rFonts w:ascii="Arial" w:cs="Arial" w:eastAsia="Arial" w:hAnsi="Arial"/>
          <w:sz w:val="21"/>
          <w:szCs w:val="21"/>
          <w:color w:val="0A0A0A"/>
          <w:highlight w:val="white"/>
        </w:rPr>
        <w:t>.</w:t>
      </w:r>
      <w:r>
        <w:rPr>
          <w:rFonts w:ascii="Arial" w:cs="Arial" w:eastAsia="Arial" w:hAnsi="Arial"/>
          <w:sz w:val="21"/>
          <w:szCs w:val="21"/>
          <w:color w:val="0A0A0A"/>
        </w:rPr>
        <w:t xml:space="preserve"> Standard BioTools, the Standard BioTools logo, Fluidigm, the Fluidigm logo, “Unleashing tools to accelerate breakthroughs in human health,” Hyperion, Hyperion XTi, XTi, and X9 are trademarks and/or registered trademarks of Standard BioTools Inc. or its afliates in the United States and/or other countries. Standard BioTools products are provided for </w:t>
      </w:r>
      <w:r>
        <w:rPr>
          <w:rFonts w:ascii="Arial" w:cs="Arial" w:eastAsia="Arial" w:hAnsi="Arial"/>
          <w:sz w:val="21"/>
          <w:szCs w:val="21"/>
          <w:b w:val="1"/>
          <w:bCs w:val="1"/>
          <w:color w:val="0A0A0A"/>
        </w:rPr>
        <w:t>Research Use Only</w:t>
      </w:r>
      <w:r>
        <w:rPr>
          <w:rFonts w:ascii="Arial" w:cs="Arial" w:eastAsia="Arial" w:hAnsi="Arial"/>
          <w:sz w:val="21"/>
          <w:szCs w:val="21"/>
          <w:color w:val="0A0A0A"/>
        </w:rPr>
        <w:t>. Not for use in diagnostc procedures.</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0A0A0A"/>
        </w:rPr>
        <w:t>Available Informaton</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0A0A0A"/>
        </w:rPr>
        <w:t>Standard BioTools uses its website (</w:t>
      </w:r>
      <w:r>
        <w:rPr>
          <w:rFonts w:ascii="Arial" w:cs="Arial" w:eastAsia="Arial" w:hAnsi="Arial"/>
          <w:sz w:val="19"/>
          <w:szCs w:val="19"/>
          <w:u w:val="single" w:color="auto"/>
          <w:color w:val="0563C1"/>
        </w:rPr>
        <w:t>standardbio.com</w:t>
      </w:r>
      <w:r>
        <w:rPr>
          <w:rFonts w:ascii="Arial" w:cs="Arial" w:eastAsia="Arial" w:hAnsi="Arial"/>
          <w:sz w:val="19"/>
          <w:szCs w:val="19"/>
          <w:color w:val="0A0A0A"/>
        </w:rPr>
        <w:t>), investor site (</w:t>
      </w:r>
      <w:r>
        <w:rPr>
          <w:rFonts w:ascii="Arial" w:cs="Arial" w:eastAsia="Arial" w:hAnsi="Arial"/>
          <w:sz w:val="19"/>
          <w:szCs w:val="19"/>
          <w:u w:val="single" w:color="auto"/>
          <w:color w:val="0563C1"/>
        </w:rPr>
        <w:t>investors.standardbio.com</w:t>
      </w:r>
      <w:r>
        <w:rPr>
          <w:rFonts w:ascii="Arial" w:cs="Arial" w:eastAsia="Arial" w:hAnsi="Arial"/>
          <w:sz w:val="19"/>
          <w:szCs w:val="19"/>
          <w:color w:val="0A0A0A"/>
          <w:highlight w:val="white"/>
        </w:rPr>
        <w:t>), corporate Twiter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342011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110" cy="137160"/>
                    </a:xfrm>
                    <a:prstGeom prst="rect">
                      <a:avLst/>
                    </a:prstGeom>
                    <a:noFill/>
                  </pic:spPr>
                </pic:pic>
              </a:graphicData>
            </a:graphic>
          </wp:anchor>
        </w:drawing>
      </w:r>
    </w:p>
    <w:p>
      <w:pPr>
        <w:ind w:right="20"/>
        <w:spacing w:after="0" w:line="237" w:lineRule="auto"/>
        <w:rPr>
          <w:sz w:val="20"/>
          <w:szCs w:val="20"/>
          <w:color w:val="auto"/>
        </w:rPr>
      </w:pPr>
      <w:r>
        <w:rPr>
          <w:rFonts w:ascii="Arial" w:cs="Arial" w:eastAsia="Arial" w:hAnsi="Arial"/>
          <w:sz w:val="19"/>
          <w:szCs w:val="19"/>
          <w:color w:val="0A0A0A"/>
        </w:rPr>
        <w:t>(</w:t>
      </w:r>
      <w:r>
        <w:rPr>
          <w:rFonts w:ascii="Arial" w:cs="Arial" w:eastAsia="Arial" w:hAnsi="Arial"/>
          <w:sz w:val="19"/>
          <w:szCs w:val="19"/>
          <w:u w:val="single" w:color="auto"/>
          <w:color w:val="0563C1"/>
        </w:rPr>
        <w:t>@Standard_BioT</w:t>
      </w:r>
      <w:r>
        <w:rPr>
          <w:rFonts w:ascii="Arial" w:cs="Arial" w:eastAsia="Arial" w:hAnsi="Arial"/>
          <w:sz w:val="19"/>
          <w:szCs w:val="19"/>
          <w:color w:val="0A0A0A"/>
          <w:highlight w:val="white"/>
        </w:rPr>
        <w:t>), Facebook page (</w:t>
      </w:r>
      <w:r>
        <w:rPr>
          <w:rFonts w:ascii="Arial" w:cs="Arial" w:eastAsia="Arial" w:hAnsi="Arial"/>
          <w:sz w:val="19"/>
          <w:szCs w:val="19"/>
          <w:u w:val="single" w:color="auto"/>
          <w:color w:val="0563C1"/>
          <w:highlight w:val="white"/>
        </w:rPr>
        <w:t>facebook.com/StandardBioT),</w:t>
      </w:r>
      <w:r>
        <w:rPr>
          <w:rFonts w:ascii="Arial" w:cs="Arial" w:eastAsia="Arial" w:hAnsi="Arial"/>
          <w:sz w:val="19"/>
          <w:szCs w:val="19"/>
          <w:color w:val="0A0A0A"/>
        </w:rPr>
        <w:t xml:space="preserve"> and LinkedIn page (</w:t>
      </w:r>
      <w:r>
        <w:rPr>
          <w:rFonts w:ascii="Arial" w:cs="Arial" w:eastAsia="Arial" w:hAnsi="Arial"/>
          <w:sz w:val="19"/>
          <w:szCs w:val="19"/>
          <w:u w:val="single" w:color="auto"/>
          <w:color w:val="0563C1"/>
        </w:rPr>
        <w:t>linkedin.com/company/standard-biotools</w:t>
      </w:r>
      <w:r>
        <w:rPr>
          <w:rFonts w:ascii="Arial" w:cs="Arial" w:eastAsia="Arial" w:hAnsi="Arial"/>
          <w:sz w:val="19"/>
          <w:szCs w:val="19"/>
          <w:color w:val="0A0A0A"/>
        </w:rPr>
        <w:t>) as channels of distributon of informaton about its products, its planned fnancial and other announcements, its atendance at upcoming investor and industry conferences, and other maters. Such informaton may be deemed material informaton,</w:t>
      </w:r>
    </w:p>
    <w:p>
      <w:pPr>
        <w:spacing w:after="0" w:line="1" w:lineRule="exact"/>
        <w:rPr>
          <w:sz w:val="20"/>
          <w:szCs w:val="20"/>
          <w:color w:val="auto"/>
        </w:rPr>
      </w:pPr>
    </w:p>
    <w:p>
      <w:pPr>
        <w:ind w:right="740"/>
        <w:spacing w:after="0" w:line="204" w:lineRule="auto"/>
        <w:rPr>
          <w:sz w:val="20"/>
          <w:szCs w:val="20"/>
          <w:color w:val="auto"/>
        </w:rPr>
      </w:pPr>
      <w:r>
        <w:rPr>
          <w:rFonts w:ascii="Arial" w:cs="Arial" w:eastAsia="Arial" w:hAnsi="Arial"/>
          <w:sz w:val="22"/>
          <w:szCs w:val="22"/>
          <w:color w:val="0A0A0A"/>
        </w:rPr>
        <w:t>and Standard BioTools may use these channels to comply with its disclosure obligatons under Regulaton FD. Therefore, investors should monitor Standard BioTools’ website and its social media accounts in additon to following its press releases, SEC flings, public conference calls, and webcasts.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Scot R. Greenstone, CFA</w:t>
      </w:r>
    </w:p>
    <w:p>
      <w:pPr>
        <w:spacing w:after="0" w:line="222" w:lineRule="auto"/>
        <w:rPr>
          <w:sz w:val="20"/>
          <w:szCs w:val="20"/>
          <w:color w:val="auto"/>
        </w:rPr>
      </w:pPr>
      <w:r>
        <w:rPr>
          <w:rFonts w:ascii="Arial" w:cs="Arial" w:eastAsia="Arial" w:hAnsi="Arial"/>
          <w:sz w:val="22"/>
          <w:szCs w:val="22"/>
          <w:u w:val="single" w:color="auto"/>
          <w:color w:val="0000FF"/>
        </w:rPr>
        <w:t>ir@standardbio.com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Peter DeNardo</w:t>
      </w:r>
    </w:p>
    <w:p>
      <w:pPr>
        <w:spacing w:after="0" w:line="222" w:lineRule="auto"/>
        <w:rPr>
          <w:sz w:val="20"/>
          <w:szCs w:val="20"/>
          <w:color w:val="auto"/>
        </w:rPr>
      </w:pPr>
      <w:r>
        <w:rPr>
          <w:rFonts w:ascii="Arial" w:cs="Arial" w:eastAsia="Arial" w:hAnsi="Arial"/>
          <w:sz w:val="22"/>
          <w:szCs w:val="22"/>
          <w:color w:val="auto"/>
        </w:rPr>
        <w:t>415 389 6400</w:t>
      </w:r>
    </w:p>
    <w:p>
      <w:pPr>
        <w:spacing w:after="0" w:line="205" w:lineRule="auto"/>
        <w:rPr>
          <w:sz w:val="20"/>
          <w:szCs w:val="20"/>
          <w:color w:val="auto"/>
        </w:rPr>
      </w:pPr>
      <w:r>
        <w:rPr>
          <w:rFonts w:ascii="Arial" w:cs="Arial" w:eastAsia="Arial" w:hAnsi="Arial"/>
          <w:sz w:val="22"/>
          <w:szCs w:val="22"/>
          <w:u w:val="single" w:color="auto"/>
          <w:color w:val="0000FF"/>
        </w:rPr>
        <w:t>ir@standardbio.com</w:t>
      </w:r>
    </w:p>
    <w:p>
      <w:pPr>
        <w:sectPr>
          <w:pgSz w:w="11900" w:h="16838" w:orient="portrait"/>
          <w:cols w:equalWidth="0" w:num="1">
            <w:col w:w="11220"/>
          </w:cols>
          <w:pgMar w:left="320" w:top="974"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STANDARD BIOTOOLS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292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23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500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000" w:type="dxa"/>
            <w:vAlign w:val="bottom"/>
          </w:tcPr>
          <w:p>
            <w:pPr>
              <w:spacing w:after="0"/>
              <w:rPr>
                <w:sz w:val="15"/>
                <w:szCs w:val="15"/>
                <w:color w:val="auto"/>
              </w:rPr>
            </w:pPr>
          </w:p>
        </w:tc>
        <w:tc>
          <w:tcPr>
            <w:tcW w:w="13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150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2023</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50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0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000" w:type="dxa"/>
            <w:vAlign w:val="bottom"/>
          </w:tcPr>
          <w:p>
            <w:pPr>
              <w:ind w:left="340"/>
              <w:spacing w:after="0"/>
              <w:rPr>
                <w:sz w:val="20"/>
                <w:szCs w:val="20"/>
                <w:color w:val="auto"/>
              </w:rPr>
            </w:pPr>
            <w:r>
              <w:rPr>
                <w:rFonts w:ascii="Arial" w:cs="Arial" w:eastAsia="Arial" w:hAnsi="Arial"/>
                <w:sz w:val="18"/>
                <w:szCs w:val="18"/>
                <w:color w:val="auto"/>
              </w:rPr>
              <w:t>Product 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21,665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39,103</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32,223</w:t>
            </w: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8"/>
                <w:szCs w:val="18"/>
                <w:color w:val="auto"/>
              </w:rPr>
              <w:t>Service revenue</w:t>
            </w: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5,821</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12,702</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11,950</w:t>
            </w:r>
          </w:p>
        </w:tc>
        <w:tc>
          <w:tcPr>
            <w:tcW w:w="0" w:type="dxa"/>
            <w:vAlign w:val="bottom"/>
          </w:tcPr>
          <w:p>
            <w:pPr>
              <w:spacing w:after="0"/>
              <w:rPr>
                <w:sz w:val="1"/>
                <w:szCs w:val="1"/>
                <w:color w:val="auto"/>
              </w:rPr>
            </w:pPr>
          </w:p>
        </w:tc>
      </w:tr>
      <w:tr>
        <w:trPr>
          <w:trHeight w:val="283"/>
        </w:trPr>
        <w:tc>
          <w:tcPr>
            <w:tcW w:w="500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62"/>
        </w:trPr>
        <w:tc>
          <w:tcPr>
            <w:tcW w:w="50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27,666</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18,777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52,785</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45,281</w:t>
            </w:r>
          </w:p>
        </w:tc>
        <w:tc>
          <w:tcPr>
            <w:tcW w:w="0" w:type="dxa"/>
            <w:vAlign w:val="bottom"/>
          </w:tcPr>
          <w:p>
            <w:pPr>
              <w:spacing w:after="0"/>
              <w:rPr>
                <w:sz w:val="1"/>
                <w:szCs w:val="1"/>
                <w:color w:val="auto"/>
              </w:rPr>
            </w:pPr>
          </w:p>
        </w:tc>
      </w:tr>
      <w:tr>
        <w:trPr>
          <w:trHeight w:val="43"/>
        </w:trPr>
        <w:tc>
          <w:tcPr>
            <w:tcW w:w="5000" w:type="dxa"/>
            <w:vAlign w:val="bottom"/>
            <w:vMerge w:val="restart"/>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8"/>
                <w:szCs w:val="18"/>
                <w:color w:val="auto"/>
              </w:rPr>
              <w:t>Cost of product revenue</w:t>
            </w: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11,883</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12,738</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21,873</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25,077</w:t>
            </w:r>
          </w:p>
        </w:tc>
        <w:tc>
          <w:tcPr>
            <w:tcW w:w="0" w:type="dxa"/>
            <w:vAlign w:val="bottom"/>
          </w:tcPr>
          <w:p>
            <w:pPr>
              <w:spacing w:after="0"/>
              <w:rPr>
                <w:sz w:val="1"/>
                <w:szCs w:val="1"/>
                <w:color w:val="auto"/>
              </w:rPr>
            </w:pPr>
          </w:p>
        </w:tc>
      </w:tr>
      <w:tr>
        <w:trPr>
          <w:trHeight w:val="283"/>
        </w:trPr>
        <w:tc>
          <w:tcPr>
            <w:tcW w:w="5000" w:type="dxa"/>
            <w:vAlign w:val="bottom"/>
          </w:tcPr>
          <w:p>
            <w:pPr>
              <w:ind w:left="340"/>
              <w:spacing w:after="0"/>
              <w:rPr>
                <w:sz w:val="20"/>
                <w:szCs w:val="20"/>
                <w:color w:val="auto"/>
              </w:rPr>
            </w:pPr>
            <w:r>
              <w:rPr>
                <w:rFonts w:ascii="Arial" w:cs="Arial" w:eastAsia="Arial" w:hAnsi="Arial"/>
                <w:sz w:val="18"/>
                <w:szCs w:val="18"/>
                <w:color w:val="auto"/>
              </w:rPr>
              <w:t>Cost of service revenue</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4,973</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62"/>
        </w:trPr>
        <w:tc>
          <w:tcPr>
            <w:tcW w:w="500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14,064</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14,350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26,846</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28,617</w:t>
            </w:r>
          </w:p>
        </w:tc>
        <w:tc>
          <w:tcPr>
            <w:tcW w:w="0" w:type="dxa"/>
            <w:vAlign w:val="bottom"/>
          </w:tcPr>
          <w:p>
            <w:pPr>
              <w:spacing w:after="0"/>
              <w:rPr>
                <w:sz w:val="1"/>
                <w:szCs w:val="1"/>
                <w:color w:val="auto"/>
              </w:rPr>
            </w:pPr>
          </w:p>
        </w:tc>
      </w:tr>
      <w:tr>
        <w:trPr>
          <w:trHeight w:val="43"/>
        </w:trPr>
        <w:tc>
          <w:tcPr>
            <w:tcW w:w="5000" w:type="dxa"/>
            <w:vAlign w:val="bottom"/>
            <w:vMerge w:val="restart"/>
          </w:tcPr>
          <w:p>
            <w:pPr>
              <w:spacing w:after="0"/>
              <w:rPr>
                <w:sz w:val="20"/>
                <w:szCs w:val="20"/>
                <w:color w:val="auto"/>
              </w:rPr>
            </w:pPr>
            <w:r>
              <w:rPr>
                <w:rFonts w:ascii="Arial" w:cs="Arial" w:eastAsia="Arial" w:hAnsi="Arial"/>
                <w:sz w:val="18"/>
                <w:szCs w:val="18"/>
                <w:color w:val="auto"/>
              </w:rPr>
              <w:t>Gross proft</w:t>
            </w: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13,602</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25,939</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16,664</w:t>
            </w:r>
          </w:p>
        </w:tc>
        <w:tc>
          <w:tcPr>
            <w:tcW w:w="0" w:type="dxa"/>
            <w:vAlign w:val="bottom"/>
          </w:tcPr>
          <w:p>
            <w:pPr>
              <w:spacing w:after="0"/>
              <w:rPr>
                <w:sz w:val="1"/>
                <w:szCs w:val="1"/>
                <w:color w:val="auto"/>
              </w:rPr>
            </w:pPr>
          </w:p>
        </w:tc>
      </w:tr>
      <w:tr>
        <w:trPr>
          <w:trHeight w:val="57"/>
        </w:trPr>
        <w:tc>
          <w:tcPr>
            <w:tcW w:w="5000" w:type="dxa"/>
            <w:vAlign w:val="bottom"/>
            <w:vMerge w:val="restart"/>
          </w:tcPr>
          <w:p>
            <w:pPr>
              <w:spacing w:after="0"/>
              <w:rPr>
                <w:sz w:val="20"/>
                <w:szCs w:val="20"/>
                <w:color w:val="auto"/>
              </w:rPr>
            </w:pPr>
            <w:r>
              <w:rPr>
                <w:rFonts w:ascii="Arial" w:cs="Arial" w:eastAsia="Arial" w:hAnsi="Arial"/>
                <w:sz w:val="18"/>
                <w:szCs w:val="18"/>
                <w:color w:val="auto"/>
              </w:rPr>
              <w:t>Operatng expenses:</w:t>
            </w: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50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6,184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12,606</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12,669</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21,471</w:t>
            </w:r>
          </w:p>
        </w:tc>
        <w:tc>
          <w:tcPr>
            <w:tcW w:w="0" w:type="dxa"/>
            <w:vAlign w:val="bottom"/>
          </w:tcPr>
          <w:p>
            <w:pPr>
              <w:spacing w:after="0"/>
              <w:rPr>
                <w:sz w:val="1"/>
                <w:szCs w:val="1"/>
                <w:color w:val="auto"/>
              </w:rPr>
            </w:pPr>
          </w:p>
        </w:tc>
      </w:tr>
      <w:tr>
        <w:trPr>
          <w:trHeight w:val="284"/>
        </w:trPr>
        <w:tc>
          <w:tcPr>
            <w:tcW w:w="5000" w:type="dxa"/>
            <w:vAlign w:val="bottom"/>
          </w:tcPr>
          <w:p>
            <w:pPr>
              <w:ind w:left="340"/>
              <w:spacing w:after="0"/>
              <w:rPr>
                <w:sz w:val="20"/>
                <w:szCs w:val="20"/>
                <w:color w:val="auto"/>
              </w:rPr>
            </w:pPr>
            <w:r>
              <w:rPr>
                <w:rFonts w:ascii="Arial" w:cs="Arial" w:eastAsia="Arial" w:hAnsi="Arial"/>
                <w:sz w:val="18"/>
                <w:szCs w:val="18"/>
                <w:color w:val="auto"/>
              </w:rPr>
              <w:t>Selling, general and administratve</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22,600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30,084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43,895</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59,569</w:t>
            </w:r>
          </w:p>
        </w:tc>
        <w:tc>
          <w:tcPr>
            <w:tcW w:w="0" w:type="dxa"/>
            <w:vAlign w:val="bottom"/>
          </w:tcPr>
          <w:p>
            <w:pPr>
              <w:spacing w:after="0"/>
              <w:rPr>
                <w:sz w:val="1"/>
                <w:szCs w:val="1"/>
                <w:color w:val="auto"/>
              </w:rPr>
            </w:pPr>
          </w:p>
        </w:tc>
      </w:tr>
      <w:tr>
        <w:trPr>
          <w:trHeight w:val="283"/>
        </w:trPr>
        <w:tc>
          <w:tcPr>
            <w:tcW w:w="5000" w:type="dxa"/>
            <w:vAlign w:val="bottom"/>
          </w:tcPr>
          <w:p>
            <w:pPr>
              <w:ind w:left="340"/>
              <w:spacing w:after="0"/>
              <w:rPr>
                <w:sz w:val="20"/>
                <w:szCs w:val="20"/>
                <w:color w:val="auto"/>
              </w:rPr>
            </w:pPr>
            <w:r>
              <w:rPr>
                <w:rFonts w:ascii="Arial" w:cs="Arial" w:eastAsia="Arial" w:hAnsi="Arial"/>
                <w:sz w:val="18"/>
                <w:szCs w:val="18"/>
                <w:color w:val="auto"/>
              </w:rPr>
              <w:t>Restructuring and related charges</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2,267</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48"/>
        </w:trPr>
        <w:tc>
          <w:tcPr>
            <w:tcW w:w="5000" w:type="dxa"/>
            <w:vAlign w:val="bottom"/>
            <w:vMerge w:val="restart"/>
          </w:tcPr>
          <w:p>
            <w:pPr>
              <w:spacing w:after="0"/>
              <w:rPr>
                <w:sz w:val="20"/>
                <w:szCs w:val="20"/>
                <w:color w:val="auto"/>
              </w:rPr>
            </w:pPr>
            <w:r>
              <w:rPr>
                <w:rFonts w:ascii="Arial" w:cs="Arial" w:eastAsia="Arial" w:hAnsi="Arial"/>
                <w:sz w:val="18"/>
                <w:szCs w:val="18"/>
                <w:color w:val="auto"/>
              </w:rPr>
              <w:t>Total operatng expenses</w:t>
            </w: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31,051</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42,990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59,981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82,730</w:t>
            </w:r>
          </w:p>
        </w:tc>
        <w:tc>
          <w:tcPr>
            <w:tcW w:w="0" w:type="dxa"/>
            <w:vAlign w:val="bottom"/>
          </w:tcPr>
          <w:p>
            <w:pPr>
              <w:spacing w:after="0"/>
              <w:rPr>
                <w:sz w:val="1"/>
                <w:szCs w:val="1"/>
                <w:color w:val="auto"/>
              </w:rPr>
            </w:pPr>
          </w:p>
        </w:tc>
      </w:tr>
      <w:tr>
        <w:trPr>
          <w:trHeight w:val="57"/>
        </w:trPr>
        <w:tc>
          <w:tcPr>
            <w:tcW w:w="5000" w:type="dxa"/>
            <w:vAlign w:val="bottom"/>
            <w:vMerge w:val="restart"/>
          </w:tcPr>
          <w:p>
            <w:pPr>
              <w:spacing w:after="0"/>
              <w:rPr>
                <w:sz w:val="20"/>
                <w:szCs w:val="20"/>
                <w:color w:val="auto"/>
              </w:rPr>
            </w:pPr>
            <w:r>
              <w:rPr>
                <w:rFonts w:ascii="Arial" w:cs="Arial" w:eastAsia="Arial" w:hAnsi="Arial"/>
                <w:sz w:val="18"/>
                <w:szCs w:val="18"/>
                <w:color w:val="auto"/>
              </w:rPr>
              <w:t>Loss from operatons</w:t>
            </w: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(17,449)</w:t>
            </w: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(38,563)</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(34,042)</w:t>
            </w:r>
          </w:p>
        </w:tc>
        <w:tc>
          <w:tcPr>
            <w:tcW w:w="16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(66,066)</w:t>
            </w:r>
          </w:p>
        </w:tc>
        <w:tc>
          <w:tcPr>
            <w:tcW w:w="0" w:type="dxa"/>
            <w:vAlign w:val="bottom"/>
          </w:tcPr>
          <w:p>
            <w:pPr>
              <w:spacing w:after="0"/>
              <w:rPr>
                <w:sz w:val="1"/>
                <w:szCs w:val="1"/>
                <w:color w:val="auto"/>
              </w:rPr>
            </w:pPr>
          </w:p>
        </w:tc>
      </w:tr>
      <w:tr>
        <w:trPr>
          <w:trHeight w:val="278"/>
        </w:trPr>
        <w:tc>
          <w:tcPr>
            <w:tcW w:w="500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(2,246)</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(2,092)</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Loss on forward sale of Series B Preferred Stock</w:t>
            </w: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(22,289)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(60,081)</w:t>
            </w:r>
          </w:p>
        </w:tc>
        <w:tc>
          <w:tcPr>
            <w:tcW w:w="0" w:type="dxa"/>
            <w:vAlign w:val="bottom"/>
          </w:tcPr>
          <w:p>
            <w:pPr>
              <w:spacing w:after="0"/>
              <w:rPr>
                <w:sz w:val="1"/>
                <w:szCs w:val="1"/>
                <w:color w:val="auto"/>
              </w:rPr>
            </w:pPr>
          </w:p>
        </w:tc>
      </w:tr>
      <w:tr>
        <w:trPr>
          <w:trHeight w:val="283"/>
        </w:trPr>
        <w:tc>
          <w:tcPr>
            <w:tcW w:w="5000" w:type="dxa"/>
            <w:vAlign w:val="bottom"/>
          </w:tcPr>
          <w:p>
            <w:pPr>
              <w:spacing w:after="0"/>
              <w:rPr>
                <w:sz w:val="20"/>
                <w:szCs w:val="20"/>
                <w:color w:val="auto"/>
              </w:rPr>
            </w:pPr>
            <w:r>
              <w:rPr>
                <w:rFonts w:ascii="Arial" w:cs="Arial" w:eastAsia="Arial" w:hAnsi="Arial"/>
                <w:sz w:val="18"/>
                <w:szCs w:val="18"/>
                <w:color w:val="auto"/>
              </w:rPr>
              <w:t>Loss on Bridge Loans</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(13,719)</w:t>
            </w:r>
          </w:p>
        </w:tc>
        <w:tc>
          <w:tcPr>
            <w:tcW w:w="0" w:type="dxa"/>
            <w:vAlign w:val="bottom"/>
          </w:tcPr>
          <w:p>
            <w:pPr>
              <w:spacing w:after="0"/>
              <w:rPr>
                <w:sz w:val="1"/>
                <w:szCs w:val="1"/>
                <w:color w:val="auto"/>
              </w:rPr>
            </w:pPr>
          </w:p>
        </w:tc>
      </w:tr>
      <w:tr>
        <w:trPr>
          <w:trHeight w:val="284"/>
        </w:trPr>
        <w:tc>
          <w:tcPr>
            <w:tcW w:w="5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9"/>
        </w:trPr>
        <w:tc>
          <w:tcPr>
            <w:tcW w:w="500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(16,739)</w:t>
            </w: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(65,152)</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(33,319)</w:t>
            </w:r>
          </w:p>
        </w:tc>
        <w:tc>
          <w:tcPr>
            <w:tcW w:w="16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278"/>
        </w:trPr>
        <w:tc>
          <w:tcPr>
            <w:tcW w:w="5000" w:type="dxa"/>
            <w:vAlign w:val="bottom"/>
          </w:tcPr>
          <w:p>
            <w:pPr>
              <w:spacing w:after="0"/>
              <w:rPr>
                <w:sz w:val="20"/>
                <w:szCs w:val="20"/>
                <w:color w:val="auto"/>
              </w:rPr>
            </w:pPr>
            <w:r>
              <w:rPr>
                <w:rFonts w:ascii="Arial" w:cs="Arial" w:eastAsia="Arial" w:hAnsi="Arial"/>
                <w:sz w:val="18"/>
                <w:szCs w:val="18"/>
                <w:color w:val="auto"/>
              </w:rPr>
              <w:t>Income tax beneft (expense)</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48"/>
        </w:trPr>
        <w:tc>
          <w:tcPr>
            <w:tcW w:w="5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15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(17,040)</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(63,539)</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(33,883)</w:t>
            </w:r>
          </w:p>
        </w:tc>
        <w:tc>
          <w:tcPr>
            <w:tcW w:w="16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(139,827)</w:t>
            </w:r>
          </w:p>
        </w:tc>
        <w:tc>
          <w:tcPr>
            <w:tcW w:w="0" w:type="dxa"/>
            <w:vAlign w:val="bottom"/>
          </w:tcPr>
          <w:p>
            <w:pPr>
              <w:spacing w:after="0"/>
              <w:rPr>
                <w:sz w:val="1"/>
                <w:szCs w:val="1"/>
                <w:color w:val="auto"/>
              </w:rPr>
            </w:pPr>
          </w:p>
        </w:tc>
      </w:tr>
      <w:tr>
        <w:trPr>
          <w:trHeight w:val="49"/>
        </w:trPr>
        <w:tc>
          <w:tcPr>
            <w:tcW w:w="50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38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(0.22)</w:t>
            </w:r>
          </w:p>
        </w:tc>
        <w:tc>
          <w:tcPr>
            <w:tcW w:w="16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(0.82)</w:t>
            </w:r>
          </w:p>
        </w:tc>
        <w:tc>
          <w:tcPr>
            <w:tcW w:w="12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(0.43)</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57"/>
        </w:trPr>
        <w:tc>
          <w:tcPr>
            <w:tcW w:w="5000" w:type="dxa"/>
            <w:vAlign w:val="bottom"/>
            <w:vMerge w:val="restart"/>
          </w:tcPr>
          <w:p>
            <w:pPr>
              <w:spacing w:after="0"/>
              <w:rPr>
                <w:sz w:val="20"/>
                <w:szCs w:val="20"/>
                <w:color w:val="auto"/>
              </w:rPr>
            </w:pPr>
            <w:r>
              <w:rPr>
                <w:rFonts w:ascii="Arial" w:cs="Arial" w:eastAsia="Arial" w:hAnsi="Arial"/>
                <w:sz w:val="18"/>
                <w:szCs w:val="18"/>
                <w:color w:val="auto"/>
              </w:rPr>
              <w:t>Shares used in computng net loss per share, basic and diluted</w:t>
            </w: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0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78,669</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77,821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78,873</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77,430</w:t>
            </w:r>
          </w:p>
        </w:tc>
        <w:tc>
          <w:tcPr>
            <w:tcW w:w="0" w:type="dxa"/>
            <w:vAlign w:val="bottom"/>
          </w:tcPr>
          <w:p>
            <w:pPr>
              <w:spacing w:after="0"/>
              <w:rPr>
                <w:sz w:val="1"/>
                <w:szCs w:val="1"/>
                <w:color w:val="auto"/>
              </w:rPr>
            </w:pPr>
          </w:p>
        </w:tc>
      </w:tr>
      <w:tr>
        <w:trPr>
          <w:trHeight w:val="43"/>
        </w:trPr>
        <w:tc>
          <w:tcPr>
            <w:tcW w:w="50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40" w:top="1050" w:right="5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STANDARD BIOTOOLS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5"/>
                <w:szCs w:val="15"/>
                <w:color w:val="auto"/>
              </w:rPr>
            </w:pPr>
          </w:p>
        </w:tc>
        <w:tc>
          <w:tcPr>
            <w:tcW w:w="13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54"/>
        </w:trPr>
        <w:tc>
          <w:tcPr>
            <w:tcW w:w="8380" w:type="dxa"/>
            <w:vAlign w:val="bottom"/>
          </w:tcPr>
          <w:p>
            <w:pPr>
              <w:spacing w:after="0"/>
              <w:rPr>
                <w:sz w:val="4"/>
                <w:szCs w:val="4"/>
                <w:color w:val="auto"/>
              </w:rPr>
            </w:pPr>
          </w:p>
        </w:tc>
        <w:tc>
          <w:tcPr>
            <w:tcW w:w="136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3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tcPr>
          <w:p>
            <w:pPr>
              <w:ind w:left="72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43"/>
        </w:trPr>
        <w:tc>
          <w:tcPr>
            <w:tcW w:w="8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83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3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142,304</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81,309</w:t>
            </w:r>
          </w:p>
        </w:tc>
        <w:tc>
          <w:tcPr>
            <w:tcW w:w="0" w:type="dxa"/>
            <w:vAlign w:val="bottom"/>
          </w:tcPr>
          <w:p>
            <w:pPr>
              <w:spacing w:after="0"/>
              <w:rPr>
                <w:sz w:val="1"/>
                <w:szCs w:val="1"/>
                <w:color w:val="auto"/>
              </w:rPr>
            </w:pPr>
          </w:p>
        </w:tc>
      </w:tr>
      <w:tr>
        <w:trPr>
          <w:trHeight w:val="270"/>
        </w:trPr>
        <w:tc>
          <w:tcPr>
            <w:tcW w:w="83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84,475</w:t>
            </w:r>
          </w:p>
        </w:tc>
        <w:tc>
          <w:tcPr>
            <w:tcW w:w="0" w:type="dxa"/>
            <w:vAlign w:val="bottom"/>
          </w:tcPr>
          <w:p>
            <w:pPr>
              <w:spacing w:after="0"/>
              <w:rPr>
                <w:sz w:val="1"/>
                <w:szCs w:val="1"/>
                <w:color w:val="auto"/>
              </w:rPr>
            </w:pPr>
          </w:p>
        </w:tc>
      </w:tr>
      <w:tr>
        <w:trPr>
          <w:trHeight w:val="284"/>
        </w:trPr>
        <w:tc>
          <w:tcPr>
            <w:tcW w:w="83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15,119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83"/>
        </w:trPr>
        <w:tc>
          <w:tcPr>
            <w:tcW w:w="838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21,473</w:t>
            </w:r>
          </w:p>
        </w:tc>
        <w:tc>
          <w:tcPr>
            <w:tcW w:w="0" w:type="dxa"/>
            <w:vAlign w:val="bottom"/>
          </w:tcPr>
          <w:p>
            <w:pPr>
              <w:spacing w:after="0"/>
              <w:rPr>
                <w:sz w:val="1"/>
                <w:szCs w:val="1"/>
                <w:color w:val="auto"/>
              </w:rPr>
            </w:pPr>
          </w:p>
        </w:tc>
      </w:tr>
      <w:tr>
        <w:trPr>
          <w:trHeight w:val="283"/>
        </w:trPr>
        <w:tc>
          <w:tcPr>
            <w:tcW w:w="83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48"/>
        </w:trPr>
        <w:tc>
          <w:tcPr>
            <w:tcW w:w="8380" w:type="dxa"/>
            <w:vAlign w:val="bottom"/>
            <w:vMerge w:val="restart"/>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3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183,070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208,815</w:t>
            </w:r>
          </w:p>
        </w:tc>
        <w:tc>
          <w:tcPr>
            <w:tcW w:w="0" w:type="dxa"/>
            <w:vAlign w:val="bottom"/>
          </w:tcPr>
          <w:p>
            <w:pPr>
              <w:spacing w:after="0"/>
              <w:rPr>
                <w:sz w:val="1"/>
                <w:szCs w:val="1"/>
                <w:color w:val="auto"/>
              </w:rPr>
            </w:pPr>
          </w:p>
        </w:tc>
      </w:tr>
      <w:tr>
        <w:trPr>
          <w:trHeight w:val="278"/>
        </w:trPr>
        <w:tc>
          <w:tcPr>
            <w:tcW w:w="8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24,522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25,652</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18"/>
                <w:szCs w:val="18"/>
                <w:color w:val="auto"/>
              </w:rPr>
              <w:t>Operatng lease right-of-use asset, net</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32,194</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33,883</w:t>
            </w:r>
          </w:p>
        </w:tc>
        <w:tc>
          <w:tcPr>
            <w:tcW w:w="0" w:type="dxa"/>
            <w:vAlign w:val="bottom"/>
          </w:tcPr>
          <w:p>
            <w:pPr>
              <w:spacing w:after="0"/>
              <w:rPr>
                <w:sz w:val="1"/>
                <w:szCs w:val="1"/>
                <w:color w:val="auto"/>
              </w:rPr>
            </w:pPr>
          </w:p>
        </w:tc>
      </w:tr>
      <w:tr>
        <w:trPr>
          <w:trHeight w:val="283"/>
        </w:trPr>
        <w:tc>
          <w:tcPr>
            <w:tcW w:w="8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84"/>
        </w:trPr>
        <w:tc>
          <w:tcPr>
            <w:tcW w:w="8380" w:type="dxa"/>
            <w:vAlign w:val="bottom"/>
          </w:tcPr>
          <w:p>
            <w:pPr>
              <w:spacing w:after="0"/>
              <w:rPr>
                <w:sz w:val="20"/>
                <w:szCs w:val="20"/>
                <w:color w:val="auto"/>
              </w:rPr>
            </w:pPr>
            <w:r>
              <w:rPr>
                <w:rFonts w:ascii="Arial" w:cs="Arial" w:eastAsia="Arial" w:hAnsi="Arial"/>
                <w:sz w:val="18"/>
                <w:szCs w:val="18"/>
                <w:color w:val="auto"/>
              </w:rPr>
              <w:t>Developed technology, net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83"/>
        </w:trPr>
        <w:tc>
          <w:tcPr>
            <w:tcW w:w="8380" w:type="dxa"/>
            <w:vAlign w:val="bottom"/>
          </w:tcPr>
          <w:p>
            <w:pPr>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106,287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106,251</w:t>
            </w:r>
          </w:p>
        </w:tc>
        <w:tc>
          <w:tcPr>
            <w:tcW w:w="0" w:type="dxa"/>
            <w:vAlign w:val="bottom"/>
          </w:tcPr>
          <w:p>
            <w:pPr>
              <w:spacing w:after="0"/>
              <w:rPr>
                <w:sz w:val="1"/>
                <w:szCs w:val="1"/>
                <w:color w:val="auto"/>
              </w:rPr>
            </w:pPr>
          </w:p>
        </w:tc>
      </w:tr>
      <w:tr>
        <w:trPr>
          <w:trHeight w:val="48"/>
        </w:trPr>
        <w:tc>
          <w:tcPr>
            <w:tcW w:w="8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38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355,827</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390,310</w:t>
            </w:r>
          </w:p>
        </w:tc>
        <w:tc>
          <w:tcPr>
            <w:tcW w:w="0" w:type="dxa"/>
            <w:vAlign w:val="bottom"/>
          </w:tcPr>
          <w:p>
            <w:pPr>
              <w:spacing w:after="0"/>
              <w:rPr>
                <w:sz w:val="1"/>
                <w:szCs w:val="1"/>
                <w:color w:val="auto"/>
              </w:rPr>
            </w:pPr>
          </w:p>
        </w:tc>
      </w:tr>
      <w:tr>
        <w:trPr>
          <w:trHeight w:val="49"/>
        </w:trPr>
        <w:tc>
          <w:tcPr>
            <w:tcW w:w="8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6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38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8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380" w:type="dxa"/>
            <w:vAlign w:val="bottom"/>
          </w:tcPr>
          <w:p>
            <w:pPr>
              <w:spacing w:after="0"/>
              <w:rPr>
                <w:sz w:val="20"/>
                <w:szCs w:val="20"/>
                <w:color w:val="auto"/>
              </w:rPr>
            </w:pPr>
            <w:r>
              <w:rPr>
                <w:rFonts w:ascii="Arial" w:cs="Arial" w:eastAsia="Arial" w:hAnsi="Arial"/>
                <w:sz w:val="18"/>
                <w:szCs w:val="18"/>
                <w:color w:val="auto"/>
              </w:rPr>
              <w:t>Current liabilites:</w:t>
            </w: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6,089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  7,914</w:t>
            </w:r>
          </w:p>
        </w:tc>
        <w:tc>
          <w:tcPr>
            <w:tcW w:w="0" w:type="dxa"/>
            <w:vAlign w:val="bottom"/>
          </w:tcPr>
          <w:p>
            <w:pPr>
              <w:spacing w:after="0"/>
              <w:rPr>
                <w:sz w:val="1"/>
                <w:szCs w:val="1"/>
                <w:color w:val="auto"/>
              </w:rPr>
            </w:pPr>
          </w:p>
        </w:tc>
      </w:tr>
      <w:tr>
        <w:trPr>
          <w:trHeight w:val="284"/>
        </w:trPr>
        <w:tc>
          <w:tcPr>
            <w:tcW w:w="8380" w:type="dxa"/>
            <w:vAlign w:val="bottom"/>
          </w:tcPr>
          <w:p>
            <w:pPr>
              <w:ind w:left="340"/>
              <w:spacing w:after="0"/>
              <w:rPr>
                <w:sz w:val="20"/>
                <w:szCs w:val="20"/>
                <w:color w:val="auto"/>
              </w:rPr>
            </w:pPr>
            <w:r>
              <w:rPr>
                <w:rFonts w:ascii="Arial" w:cs="Arial" w:eastAsia="Arial" w:hAnsi="Arial"/>
                <w:sz w:val="18"/>
                <w:szCs w:val="18"/>
                <w:color w:val="auto"/>
              </w:rPr>
              <w:t>Accrued compensaton and related benefts</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70"/>
        </w:trPr>
        <w:tc>
          <w:tcPr>
            <w:tcW w:w="8380" w:type="dxa"/>
            <w:vAlign w:val="bottom"/>
          </w:tcPr>
          <w:p>
            <w:pPr>
              <w:ind w:left="340"/>
              <w:spacing w:after="0"/>
              <w:rPr>
                <w:sz w:val="20"/>
                <w:szCs w:val="20"/>
                <w:color w:val="auto"/>
              </w:rPr>
            </w:pPr>
            <w:r>
              <w:rPr>
                <w:rFonts w:ascii="Arial" w:cs="Arial" w:eastAsia="Arial" w:hAnsi="Arial"/>
                <w:sz w:val="18"/>
                <w:szCs w:val="18"/>
                <w:color w:val="auto"/>
              </w:rPr>
              <w:t>Operatng lease liabilites, current</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83"/>
        </w:trPr>
        <w:tc>
          <w:tcPr>
            <w:tcW w:w="8380" w:type="dxa"/>
            <w:vAlign w:val="bottom"/>
          </w:tcPr>
          <w:p>
            <w:pPr>
              <w:ind w:left="340"/>
              <w:spacing w:after="0"/>
              <w:rPr>
                <w:sz w:val="20"/>
                <w:szCs w:val="20"/>
                <w:color w:val="auto"/>
              </w:rPr>
            </w:pPr>
            <w:r>
              <w:rPr>
                <w:rFonts w:ascii="Arial" w:cs="Arial" w:eastAsia="Arial" w:hAnsi="Arial"/>
                <w:sz w:val="18"/>
                <w:szCs w:val="18"/>
                <w:color w:val="auto"/>
              </w:rPr>
              <w:t>Deferred revenue, current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83"/>
        </w:trPr>
        <w:tc>
          <w:tcPr>
            <w:tcW w:w="8380" w:type="dxa"/>
            <w:vAlign w:val="bottom"/>
          </w:tcPr>
          <w:p>
            <w:pPr>
              <w:ind w:left="340"/>
              <w:spacing w:after="0"/>
              <w:rPr>
                <w:sz w:val="20"/>
                <w:szCs w:val="20"/>
                <w:color w:val="auto"/>
              </w:rPr>
            </w:pPr>
            <w:r>
              <w:rPr>
                <w:rFonts w:ascii="Arial" w:cs="Arial" w:eastAsia="Arial" w:hAnsi="Arial"/>
                <w:sz w:val="18"/>
                <w:szCs w:val="18"/>
                <w:color w:val="auto"/>
              </w:rPr>
              <w:t>Deferred grant income, current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70"/>
        </w:trPr>
        <w:tc>
          <w:tcPr>
            <w:tcW w:w="8380" w:type="dxa"/>
            <w:vAlign w:val="bottom"/>
          </w:tcPr>
          <w:p>
            <w:pPr>
              <w:ind w:left="340"/>
              <w:spacing w:after="0"/>
              <w:rPr>
                <w:sz w:val="20"/>
                <w:szCs w:val="20"/>
                <w:color w:val="auto"/>
              </w:rPr>
            </w:pPr>
            <w:r>
              <w:rPr>
                <w:rFonts w:ascii="Arial" w:cs="Arial" w:eastAsia="Arial" w:hAnsi="Arial"/>
                <w:sz w:val="18"/>
                <w:szCs w:val="18"/>
                <w:color w:val="auto"/>
              </w:rPr>
              <w:t>Other accrued liabilites</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84"/>
        </w:trPr>
        <w:tc>
          <w:tcPr>
            <w:tcW w:w="8380" w:type="dxa"/>
            <w:vAlign w:val="bottom"/>
          </w:tcPr>
          <w:p>
            <w:pPr>
              <w:ind w:left="340"/>
              <w:spacing w:after="0"/>
              <w:rPr>
                <w:sz w:val="20"/>
                <w:szCs w:val="20"/>
                <w:color w:val="auto"/>
              </w:rPr>
            </w:pPr>
            <w:r>
              <w:rPr>
                <w:rFonts w:ascii="Arial" w:cs="Arial" w:eastAsia="Arial" w:hAnsi="Arial"/>
                <w:sz w:val="18"/>
                <w:szCs w:val="18"/>
                <w:color w:val="auto"/>
              </w:rPr>
              <w:t>Term loan, current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62"/>
        </w:trPr>
        <w:tc>
          <w:tcPr>
            <w:tcW w:w="8380" w:type="dxa"/>
            <w:vAlign w:val="bottom"/>
            <w:vMerge w:val="restart"/>
          </w:tcPr>
          <w:p>
            <w:pPr>
              <w:spacing w:after="0"/>
              <w:rPr>
                <w:sz w:val="20"/>
                <w:szCs w:val="20"/>
                <w:color w:val="auto"/>
              </w:rPr>
            </w:pPr>
            <w:r>
              <w:rPr>
                <w:rFonts w:ascii="Arial" w:cs="Arial" w:eastAsia="Arial" w:hAnsi="Arial"/>
                <w:sz w:val="18"/>
                <w:szCs w:val="18"/>
                <w:color w:val="auto"/>
              </w:rPr>
              <w:t>Total current liabilites</w:t>
            </w:r>
          </w:p>
        </w:tc>
        <w:tc>
          <w:tcPr>
            <w:tcW w:w="6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3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46,840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43,443</w:t>
            </w:r>
          </w:p>
        </w:tc>
        <w:tc>
          <w:tcPr>
            <w:tcW w:w="0" w:type="dxa"/>
            <w:vAlign w:val="bottom"/>
          </w:tcPr>
          <w:p>
            <w:pPr>
              <w:spacing w:after="0"/>
              <w:rPr>
                <w:sz w:val="1"/>
                <w:szCs w:val="1"/>
                <w:color w:val="auto"/>
              </w:rPr>
            </w:pPr>
          </w:p>
        </w:tc>
      </w:tr>
      <w:tr>
        <w:trPr>
          <w:trHeight w:val="265"/>
        </w:trPr>
        <w:tc>
          <w:tcPr>
            <w:tcW w:w="8380" w:type="dxa"/>
            <w:vAlign w:val="bottom"/>
          </w:tcPr>
          <w:p>
            <w:pPr>
              <w:spacing w:after="0"/>
              <w:rPr>
                <w:sz w:val="20"/>
                <w:szCs w:val="20"/>
                <w:color w:val="auto"/>
              </w:rPr>
            </w:pPr>
            <w:r>
              <w:rPr>
                <w:rFonts w:ascii="Arial" w:cs="Arial" w:eastAsia="Arial" w:hAnsi="Arial"/>
                <w:sz w:val="18"/>
                <w:szCs w:val="18"/>
                <w:color w:val="auto"/>
              </w:rPr>
              <w:t>Convertble notes, net</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54,853</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54,615</w:t>
            </w:r>
          </w:p>
        </w:tc>
        <w:tc>
          <w:tcPr>
            <w:tcW w:w="0" w:type="dxa"/>
            <w:vAlign w:val="bottom"/>
          </w:tcPr>
          <w:p>
            <w:pPr>
              <w:spacing w:after="0"/>
              <w:rPr>
                <w:sz w:val="1"/>
                <w:szCs w:val="1"/>
                <w:color w:val="auto"/>
              </w:rPr>
            </w:pPr>
          </w:p>
        </w:tc>
      </w:tr>
      <w:tr>
        <w:trPr>
          <w:trHeight w:val="283"/>
        </w:trPr>
        <w:tc>
          <w:tcPr>
            <w:tcW w:w="8380" w:type="dxa"/>
            <w:vAlign w:val="bottom"/>
          </w:tcPr>
          <w:p>
            <w:pPr>
              <w:spacing w:after="0"/>
              <w:rPr>
                <w:sz w:val="20"/>
                <w:szCs w:val="20"/>
                <w:color w:val="auto"/>
              </w:rPr>
            </w:pPr>
            <w:r>
              <w:rPr>
                <w:rFonts w:ascii="Arial" w:cs="Arial" w:eastAsia="Arial" w:hAnsi="Arial"/>
                <w:sz w:val="18"/>
                <w:szCs w:val="18"/>
                <w:color w:val="auto"/>
              </w:rPr>
              <w:t>Term loan, non-current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83"/>
        </w:trPr>
        <w:tc>
          <w:tcPr>
            <w:tcW w:w="8380" w:type="dxa"/>
            <w:vAlign w:val="bottom"/>
          </w:tcPr>
          <w:p>
            <w:pPr>
              <w:spacing w:after="0"/>
              <w:rPr>
                <w:sz w:val="20"/>
                <w:szCs w:val="20"/>
                <w:color w:val="auto"/>
              </w:rPr>
            </w:pPr>
            <w:r>
              <w:rPr>
                <w:rFonts w:ascii="Arial" w:cs="Arial" w:eastAsia="Arial" w:hAnsi="Arial"/>
                <w:sz w:val="18"/>
                <w:szCs w:val="18"/>
                <w:color w:val="auto"/>
              </w:rPr>
              <w:t>Operatng lease liabilites, non-current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32,231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34,081</w:t>
            </w:r>
          </w:p>
        </w:tc>
        <w:tc>
          <w:tcPr>
            <w:tcW w:w="0" w:type="dxa"/>
            <w:vAlign w:val="bottom"/>
          </w:tcPr>
          <w:p>
            <w:pPr>
              <w:spacing w:after="0"/>
              <w:rPr>
                <w:sz w:val="1"/>
                <w:szCs w:val="1"/>
                <w:color w:val="auto"/>
              </w:rPr>
            </w:pPr>
          </w:p>
        </w:tc>
      </w:tr>
      <w:tr>
        <w:trPr>
          <w:trHeight w:val="284"/>
        </w:trPr>
        <w:tc>
          <w:tcPr>
            <w:tcW w:w="83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18"/>
                <w:szCs w:val="18"/>
                <w:color w:val="auto"/>
              </w:rPr>
              <w:t>Deferred grant income, non-current</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12,546</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14,359</w:t>
            </w:r>
          </w:p>
        </w:tc>
        <w:tc>
          <w:tcPr>
            <w:tcW w:w="0" w:type="dxa"/>
            <w:vAlign w:val="bottom"/>
          </w:tcPr>
          <w:p>
            <w:pPr>
              <w:spacing w:after="0"/>
              <w:rPr>
                <w:sz w:val="1"/>
                <w:szCs w:val="1"/>
                <w:color w:val="auto"/>
              </w:rPr>
            </w:pPr>
          </w:p>
        </w:tc>
      </w:tr>
      <w:tr>
        <w:trPr>
          <w:trHeight w:val="283"/>
        </w:trPr>
        <w:tc>
          <w:tcPr>
            <w:tcW w:w="8380" w:type="dxa"/>
            <w:vAlign w:val="bottom"/>
          </w:tcPr>
          <w:p>
            <w:pPr>
              <w:spacing w:after="0"/>
              <w:rPr>
                <w:sz w:val="20"/>
                <w:szCs w:val="20"/>
                <w:color w:val="auto"/>
              </w:rPr>
            </w:pPr>
            <w:r>
              <w:rPr>
                <w:rFonts w:ascii="Arial" w:cs="Arial" w:eastAsia="Arial" w:hAnsi="Arial"/>
                <w:sz w:val="18"/>
                <w:szCs w:val="18"/>
                <w:color w:val="auto"/>
              </w:rPr>
              <w:t>Other non-current liabilites</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62"/>
        </w:trPr>
        <w:tc>
          <w:tcPr>
            <w:tcW w:w="8380" w:type="dxa"/>
            <w:vAlign w:val="bottom"/>
            <w:vMerge w:val="restart"/>
          </w:tcPr>
          <w:p>
            <w:pPr>
              <w:spacing w:after="0"/>
              <w:rPr>
                <w:sz w:val="20"/>
                <w:szCs w:val="20"/>
                <w:color w:val="auto"/>
              </w:rPr>
            </w:pPr>
            <w:r>
              <w:rPr>
                <w:rFonts w:ascii="Arial" w:cs="Arial" w:eastAsia="Arial" w:hAnsi="Arial"/>
                <w:sz w:val="18"/>
                <w:szCs w:val="18"/>
                <w:color w:val="auto"/>
              </w:rPr>
              <w:t>Total liabilites</w:t>
            </w:r>
          </w:p>
        </w:tc>
        <w:tc>
          <w:tcPr>
            <w:tcW w:w="6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3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157,961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160,524</w:t>
            </w:r>
          </w:p>
        </w:tc>
        <w:tc>
          <w:tcPr>
            <w:tcW w:w="0" w:type="dxa"/>
            <w:vAlign w:val="bottom"/>
          </w:tcPr>
          <w:p>
            <w:pPr>
              <w:spacing w:after="0"/>
              <w:rPr>
                <w:sz w:val="1"/>
                <w:szCs w:val="1"/>
                <w:color w:val="auto"/>
              </w:rPr>
            </w:pPr>
          </w:p>
        </w:tc>
      </w:tr>
      <w:tr>
        <w:trPr>
          <w:trHeight w:val="265"/>
        </w:trPr>
        <w:tc>
          <w:tcPr>
            <w:tcW w:w="8380" w:type="dxa"/>
            <w:vAlign w:val="bottom"/>
          </w:tcPr>
          <w:p>
            <w:pPr>
              <w:spacing w:after="0"/>
              <w:rPr>
                <w:sz w:val="20"/>
                <w:szCs w:val="20"/>
                <w:color w:val="auto"/>
              </w:rPr>
            </w:pPr>
            <w:r>
              <w:rPr>
                <w:rFonts w:ascii="Arial" w:cs="Arial" w:eastAsia="Arial" w:hAnsi="Arial"/>
                <w:sz w:val="18"/>
                <w:szCs w:val="18"/>
                <w:color w:val="auto"/>
              </w:rPr>
              <w:t>Mezzanine equity:</w:t>
            </w: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380" w:type="dxa"/>
            <w:vAlign w:val="bottom"/>
          </w:tcPr>
          <w:p>
            <w:pPr>
              <w:ind w:left="340"/>
              <w:spacing w:after="0"/>
              <w:rPr>
                <w:sz w:val="20"/>
                <w:szCs w:val="20"/>
                <w:color w:val="auto"/>
              </w:rPr>
            </w:pPr>
            <w:r>
              <w:rPr>
                <w:rFonts w:ascii="Arial" w:cs="Arial" w:eastAsia="Arial" w:hAnsi="Arial"/>
                <w:sz w:val="18"/>
                <w:szCs w:val="18"/>
                <w:color w:val="auto"/>
              </w:rPr>
              <w:t>Redeemable preferred stock</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311,253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311,253</w:t>
            </w:r>
          </w:p>
        </w:tc>
        <w:tc>
          <w:tcPr>
            <w:tcW w:w="0" w:type="dxa"/>
            <w:vAlign w:val="bottom"/>
          </w:tcPr>
          <w:p>
            <w:pPr>
              <w:spacing w:after="0"/>
              <w:rPr>
                <w:sz w:val="1"/>
                <w:szCs w:val="1"/>
                <w:color w:val="auto"/>
              </w:rPr>
            </w:pPr>
          </w:p>
        </w:tc>
      </w:tr>
      <w:tr>
        <w:trPr>
          <w:trHeight w:val="284"/>
        </w:trPr>
        <w:tc>
          <w:tcPr>
            <w:tcW w:w="8380" w:type="dxa"/>
            <w:vAlign w:val="bottom"/>
          </w:tcPr>
          <w:p>
            <w:pPr>
              <w:spacing w:after="0"/>
              <w:rPr>
                <w:sz w:val="20"/>
                <w:szCs w:val="20"/>
                <w:color w:val="auto"/>
              </w:rPr>
            </w:pPr>
            <w:r>
              <w:rPr>
                <w:rFonts w:ascii="Arial" w:cs="Arial" w:eastAsia="Arial" w:hAnsi="Arial"/>
                <w:sz w:val="18"/>
                <w:szCs w:val="18"/>
                <w:color w:val="auto"/>
              </w:rPr>
              <w:t>Total stockholders’ defcit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(113,387)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(81,467)</w:t>
            </w:r>
          </w:p>
        </w:tc>
        <w:tc>
          <w:tcPr>
            <w:tcW w:w="0" w:type="dxa"/>
            <w:vAlign w:val="bottom"/>
          </w:tcPr>
          <w:p>
            <w:pPr>
              <w:spacing w:after="0"/>
              <w:rPr>
                <w:sz w:val="1"/>
                <w:szCs w:val="1"/>
                <w:color w:val="auto"/>
              </w:rPr>
            </w:pPr>
          </w:p>
        </w:tc>
      </w:tr>
      <w:tr>
        <w:trPr>
          <w:trHeight w:val="49"/>
        </w:trPr>
        <w:tc>
          <w:tcPr>
            <w:tcW w:w="8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Total liabilites, mezzanine equity and stockholders’ defcit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355,827</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390,310</w:t>
            </w:r>
          </w:p>
        </w:tc>
        <w:tc>
          <w:tcPr>
            <w:tcW w:w="0" w:type="dxa"/>
            <w:vAlign w:val="bottom"/>
          </w:tcPr>
          <w:p>
            <w:pPr>
              <w:spacing w:after="0"/>
              <w:rPr>
                <w:sz w:val="1"/>
                <w:szCs w:val="1"/>
                <w:color w:val="auto"/>
              </w:rPr>
            </w:pPr>
          </w:p>
        </w:tc>
      </w:tr>
      <w:tr>
        <w:trPr>
          <w:trHeight w:val="48"/>
        </w:trPr>
        <w:tc>
          <w:tcPr>
            <w:tcW w:w="83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our Audited Consolidated Financial Statements</w:t>
      </w:r>
    </w:p>
    <w:p>
      <w:pPr>
        <w:sectPr>
          <w:pgSz w:w="11900" w:h="16838" w:orient="portrait"/>
          <w:cols w:equalWidth="0" w:num="1">
            <w:col w:w="11220"/>
          </w:cols>
          <w:pgMar w:left="340" w:top="605"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STANDARD BIOTOOLS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Six Months Ended June 30,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8160" w:type="dxa"/>
            <w:vAlign w:val="bottom"/>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160" w:type="dxa"/>
            <w:vAlign w:val="bottom"/>
          </w:tcPr>
          <w:p>
            <w:pPr>
              <w:spacing w:after="0"/>
              <w:rPr>
                <w:sz w:val="15"/>
                <w:szCs w:val="15"/>
                <w:color w:val="auto"/>
              </w:rPr>
            </w:pPr>
          </w:p>
        </w:tc>
        <w:tc>
          <w:tcPr>
            <w:tcW w:w="1440" w:type="dxa"/>
            <w:vAlign w:val="bottom"/>
            <w:gridSpan w:val="2"/>
          </w:tcPr>
          <w:p>
            <w:pPr>
              <w:ind w:left="580"/>
              <w:spacing w:after="0"/>
              <w:rPr>
                <w:sz w:val="20"/>
                <w:szCs w:val="20"/>
                <w:color w:val="auto"/>
              </w:rPr>
            </w:pPr>
            <w:r>
              <w:rPr>
                <w:rFonts w:ascii="Arial" w:cs="Arial" w:eastAsia="Arial" w:hAnsi="Arial"/>
                <w:sz w:val="14"/>
                <w:szCs w:val="14"/>
                <w:b w:val="1"/>
                <w:bCs w:val="1"/>
                <w:color w:val="auto"/>
              </w:rPr>
              <w:t>2023</w:t>
            </w:r>
          </w:p>
        </w:tc>
        <w:tc>
          <w:tcPr>
            <w:tcW w:w="162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43"/>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Operatng actvites</w:t>
            </w: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81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816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(33,883)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  (139,827)</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Loss on forward sale of Series B Preferred Stock</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60,081</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18"/>
                <w:szCs w:val="18"/>
                <w:color w:val="auto"/>
              </w:rPr>
              <w:t>Loss on bridge loans</w:t>
            </w:r>
          </w:p>
        </w:tc>
        <w:tc>
          <w:tcPr>
            <w:tcW w:w="7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13,719</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Stock-based compensaton expense</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Amortzaton of developed technology</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18"/>
                <w:szCs w:val="18"/>
                <w:color w:val="auto"/>
              </w:rPr>
              <w:t>Depreciaton and amortzaton</w:t>
            </w:r>
          </w:p>
        </w:tc>
        <w:tc>
          <w:tcPr>
            <w:tcW w:w="7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Provision for excess and obsolete inventory</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84"/>
        </w:trPr>
        <w:tc>
          <w:tcPr>
            <w:tcW w:w="816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18"/>
                <w:szCs w:val="18"/>
                <w:color w:val="auto"/>
              </w:rPr>
              <w:t>Amortzaton of debt discounts, premiums and issuance costs</w:t>
            </w:r>
          </w:p>
        </w:tc>
        <w:tc>
          <w:tcPr>
            <w:tcW w:w="7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Other non-cash items</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Changes in assets and liabilites, net</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1,705</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48"/>
        </w:trPr>
        <w:tc>
          <w:tcPr>
            <w:tcW w:w="8160" w:type="dxa"/>
            <w:vAlign w:val="bottom"/>
            <w:vMerge w:val="restart"/>
          </w:tcPr>
          <w:p>
            <w:pPr>
              <w:spacing w:after="0"/>
              <w:rPr>
                <w:sz w:val="20"/>
                <w:szCs w:val="20"/>
                <w:color w:val="auto"/>
              </w:rPr>
            </w:pPr>
            <w:r>
              <w:rPr>
                <w:rFonts w:ascii="Arial" w:cs="Arial" w:eastAsia="Arial" w:hAnsi="Arial"/>
                <w:sz w:val="18"/>
                <w:szCs w:val="18"/>
                <w:color w:val="auto"/>
              </w:rPr>
              <w:t>Net cash used in operatng actvites</w:t>
            </w:r>
          </w:p>
        </w:tc>
        <w:tc>
          <w:tcPr>
            <w:tcW w:w="7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(17,814)</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(45,578)</w:t>
            </w:r>
          </w:p>
        </w:tc>
        <w:tc>
          <w:tcPr>
            <w:tcW w:w="0" w:type="dxa"/>
            <w:vAlign w:val="bottom"/>
          </w:tcPr>
          <w:p>
            <w:pPr>
              <w:spacing w:after="0"/>
              <w:rPr>
                <w:sz w:val="1"/>
                <w:szCs w:val="1"/>
                <w:color w:val="auto"/>
              </w:rPr>
            </w:pPr>
          </w:p>
        </w:tc>
      </w:tr>
      <w:tr>
        <w:trPr>
          <w:trHeight w:val="57"/>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Investng actvites</w:t>
            </w:r>
          </w:p>
        </w:tc>
        <w:tc>
          <w:tcPr>
            <w:tcW w:w="7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8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16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(137,302)</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Proceeds from sales and maturites of investments</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91,964</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1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49"/>
        </w:trPr>
        <w:tc>
          <w:tcPr>
            <w:tcW w:w="8160" w:type="dxa"/>
            <w:vAlign w:val="bottom"/>
            <w:vMerge w:val="restart"/>
          </w:tcPr>
          <w:p>
            <w:pPr>
              <w:spacing w:after="0"/>
              <w:rPr>
                <w:sz w:val="20"/>
                <w:szCs w:val="20"/>
                <w:color w:val="auto"/>
              </w:rPr>
            </w:pPr>
            <w:r>
              <w:rPr>
                <w:rFonts w:ascii="Arial" w:cs="Arial" w:eastAsia="Arial" w:hAnsi="Arial"/>
                <w:sz w:val="18"/>
                <w:szCs w:val="18"/>
                <w:color w:val="auto"/>
              </w:rPr>
              <w:t>Net cash provided by (used in) investng actvites</w:t>
            </w: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60" w:type="dxa"/>
            <w:vAlign w:val="bottom"/>
            <w:vMerge w:val="continue"/>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83,280</w:t>
            </w:r>
          </w:p>
        </w:tc>
        <w:tc>
          <w:tcPr>
            <w:tcW w:w="180" w:type="dxa"/>
            <w:vAlign w:val="bottom"/>
          </w:tcPr>
          <w:p>
            <w:pPr>
              <w:spacing w:after="0"/>
              <w:rPr>
                <w:sz w:val="19"/>
                <w:szCs w:val="19"/>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(139,108)</w:t>
            </w:r>
          </w:p>
        </w:tc>
        <w:tc>
          <w:tcPr>
            <w:tcW w:w="0" w:type="dxa"/>
            <w:vAlign w:val="bottom"/>
          </w:tcPr>
          <w:p>
            <w:pPr>
              <w:spacing w:after="0"/>
              <w:rPr>
                <w:sz w:val="1"/>
                <w:szCs w:val="1"/>
                <w:color w:val="auto"/>
              </w:rPr>
            </w:pPr>
          </w:p>
        </w:tc>
      </w:tr>
      <w:tr>
        <w:trPr>
          <w:trHeight w:val="57"/>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Financing actvites</w:t>
            </w:r>
          </w:p>
        </w:tc>
        <w:tc>
          <w:tcPr>
            <w:tcW w:w="7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8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160" w:type="dxa"/>
            <w:vAlign w:val="bottom"/>
          </w:tcPr>
          <w:p>
            <w:pPr>
              <w:spacing w:after="0"/>
              <w:rPr>
                <w:sz w:val="20"/>
                <w:szCs w:val="20"/>
                <w:color w:val="auto"/>
              </w:rPr>
            </w:pPr>
            <w:r>
              <w:rPr>
                <w:rFonts w:ascii="Arial" w:cs="Arial" w:eastAsia="Arial" w:hAnsi="Arial"/>
                <w:sz w:val="18"/>
                <w:szCs w:val="18"/>
                <w:color w:val="auto"/>
              </w:rPr>
              <w:t>Proceeds from bridge loans</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18"/>
                <w:szCs w:val="18"/>
                <w:color w:val="auto"/>
              </w:rPr>
              <w:t>Proceeds from issuance of Series B Preferred Stock</w:t>
            </w:r>
          </w:p>
        </w:tc>
        <w:tc>
          <w:tcPr>
            <w:tcW w:w="7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225,000</w:t>
            </w:r>
          </w:p>
        </w:tc>
        <w:tc>
          <w:tcPr>
            <w:tcW w:w="0" w:type="dxa"/>
            <w:vAlign w:val="bottom"/>
          </w:tcPr>
          <w:p>
            <w:pPr>
              <w:spacing w:after="0"/>
              <w:rPr>
                <w:sz w:val="1"/>
                <w:szCs w:val="1"/>
                <w:color w:val="auto"/>
              </w:rPr>
            </w:pPr>
          </w:p>
        </w:tc>
      </w:tr>
      <w:tr>
        <w:trPr>
          <w:trHeight w:val="284"/>
        </w:trPr>
        <w:tc>
          <w:tcPr>
            <w:tcW w:w="8160" w:type="dxa"/>
            <w:vAlign w:val="bottom"/>
          </w:tcPr>
          <w:p>
            <w:pPr>
              <w:spacing w:after="0"/>
              <w:rPr>
                <w:sz w:val="20"/>
                <w:szCs w:val="20"/>
                <w:color w:val="auto"/>
              </w:rPr>
            </w:pPr>
            <w:r>
              <w:rPr>
                <w:rFonts w:ascii="Arial" w:cs="Arial" w:eastAsia="Arial" w:hAnsi="Arial"/>
                <w:sz w:val="18"/>
                <w:szCs w:val="18"/>
                <w:color w:val="auto"/>
              </w:rPr>
              <w:t>Repayment of advances under revolving credit facility</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18"/>
                <w:szCs w:val="18"/>
                <w:color w:val="auto"/>
              </w:rPr>
              <w:t>Payment of equity issuance costs</w:t>
            </w:r>
          </w:p>
        </w:tc>
        <w:tc>
          <w:tcPr>
            <w:tcW w:w="7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(12,547)</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(4,841)</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Proceeds from ESPP stock issuance</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18"/>
                <w:szCs w:val="18"/>
                <w:color w:val="auto"/>
              </w:rPr>
              <w:t>Payments for taxes related to net share setlement of equity awards and other</w:t>
            </w:r>
          </w:p>
        </w:tc>
        <w:tc>
          <w:tcPr>
            <w:tcW w:w="7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62"/>
        </w:trPr>
        <w:tc>
          <w:tcPr>
            <w:tcW w:w="8160" w:type="dxa"/>
            <w:vAlign w:val="bottom"/>
            <w:vMerge w:val="restart"/>
          </w:tcPr>
          <w:p>
            <w:pPr>
              <w:spacing w:after="0"/>
              <w:rPr>
                <w:sz w:val="20"/>
                <w:szCs w:val="20"/>
                <w:color w:val="auto"/>
              </w:rPr>
            </w:pPr>
            <w:r>
              <w:rPr>
                <w:rFonts w:ascii="Arial" w:cs="Arial" w:eastAsia="Arial" w:hAnsi="Arial"/>
                <w:sz w:val="18"/>
                <w:szCs w:val="18"/>
                <w:color w:val="auto"/>
              </w:rPr>
              <w:t>Net cash provided by (used in) fnancing actvites</w:t>
            </w: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1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231,033</w:t>
            </w:r>
          </w:p>
        </w:tc>
        <w:tc>
          <w:tcPr>
            <w:tcW w:w="0" w:type="dxa"/>
            <w:vAlign w:val="bottom"/>
          </w:tcPr>
          <w:p>
            <w:pPr>
              <w:spacing w:after="0"/>
              <w:rPr>
                <w:sz w:val="1"/>
                <w:szCs w:val="1"/>
                <w:color w:val="auto"/>
              </w:rPr>
            </w:pPr>
          </w:p>
        </w:tc>
      </w:tr>
      <w:tr>
        <w:trPr>
          <w:trHeight w:val="278"/>
        </w:trPr>
        <w:tc>
          <w:tcPr>
            <w:tcW w:w="8160" w:type="dxa"/>
            <w:vAlign w:val="bottom"/>
          </w:tcPr>
          <w:p>
            <w:pPr>
              <w:spacing w:after="0"/>
              <w:rPr>
                <w:sz w:val="20"/>
                <w:szCs w:val="20"/>
                <w:color w:val="auto"/>
              </w:rPr>
            </w:pPr>
            <w:r>
              <w:rPr>
                <w:rFonts w:ascii="Arial" w:cs="Arial" w:eastAsia="Arial" w:hAnsi="Arial"/>
                <w:sz w:val="18"/>
                <w:szCs w:val="18"/>
                <w:color w:val="auto"/>
              </w:rPr>
              <w:t>Efect of foreign exchange rate fuctuatons on cash and cash equivalents</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8"/>
        </w:trPr>
        <w:tc>
          <w:tcPr>
            <w:tcW w:w="8160" w:type="dxa"/>
            <w:vAlign w:val="bottom"/>
            <w:vMerge w:val="restart"/>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60,775</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45,910</w:t>
            </w:r>
          </w:p>
        </w:tc>
        <w:tc>
          <w:tcPr>
            <w:tcW w:w="0" w:type="dxa"/>
            <w:vAlign w:val="bottom"/>
          </w:tcPr>
          <w:p>
            <w:pPr>
              <w:spacing w:after="0"/>
              <w:rPr>
                <w:sz w:val="1"/>
                <w:szCs w:val="1"/>
                <w:color w:val="auto"/>
              </w:rPr>
            </w:pPr>
          </w:p>
        </w:tc>
      </w:tr>
      <w:tr>
        <w:trPr>
          <w:trHeight w:val="278"/>
        </w:trPr>
        <w:tc>
          <w:tcPr>
            <w:tcW w:w="81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82,324</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29,467</w:t>
            </w:r>
          </w:p>
        </w:tc>
        <w:tc>
          <w:tcPr>
            <w:tcW w:w="0" w:type="dxa"/>
            <w:vAlign w:val="bottom"/>
          </w:tcPr>
          <w:p>
            <w:pPr>
              <w:spacing w:after="0"/>
              <w:rPr>
                <w:sz w:val="1"/>
                <w:szCs w:val="1"/>
                <w:color w:val="auto"/>
              </w:rPr>
            </w:pPr>
          </w:p>
        </w:tc>
      </w:tr>
      <w:tr>
        <w:trPr>
          <w:trHeight w:val="62"/>
        </w:trPr>
        <w:tc>
          <w:tcPr>
            <w:tcW w:w="8160" w:type="dxa"/>
            <w:vAlign w:val="bottom"/>
            <w:vMerge w:val="restart"/>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160" w:type="dxa"/>
            <w:vAlign w:val="bottom"/>
            <w:vMerge w:val="continue"/>
          </w:tcPr>
          <w:p>
            <w:pPr>
              <w:spacing w:after="0"/>
              <w:rPr>
                <w:sz w:val="19"/>
                <w:szCs w:val="19"/>
                <w:color w:val="auto"/>
              </w:rPr>
            </w:pPr>
          </w:p>
        </w:tc>
        <w:tc>
          <w:tcPr>
            <w:tcW w:w="7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143,099</w:t>
            </w:r>
          </w:p>
        </w:tc>
        <w:tc>
          <w:tcPr>
            <w:tcW w:w="180" w:type="dxa"/>
            <w:vAlign w:val="bottom"/>
          </w:tcPr>
          <w:p>
            <w:pPr>
              <w:spacing w:after="0"/>
              <w:rPr>
                <w:sz w:val="19"/>
                <w:szCs w:val="19"/>
                <w:color w:val="auto"/>
              </w:rPr>
            </w:pPr>
          </w:p>
        </w:tc>
        <w:tc>
          <w:tcPr>
            <w:tcW w:w="78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75,377</w:t>
            </w:r>
          </w:p>
        </w:tc>
        <w:tc>
          <w:tcPr>
            <w:tcW w:w="0" w:type="dxa"/>
            <w:vAlign w:val="bottom"/>
          </w:tcPr>
          <w:p>
            <w:pPr>
              <w:spacing w:after="0"/>
              <w:rPr>
                <w:sz w:val="1"/>
                <w:szCs w:val="1"/>
                <w:color w:val="auto"/>
              </w:rPr>
            </w:pPr>
          </w:p>
        </w:tc>
      </w:tr>
      <w:tr>
        <w:trPr>
          <w:trHeight w:val="43"/>
        </w:trPr>
        <w:tc>
          <w:tcPr>
            <w:tcW w:w="8160" w:type="dxa"/>
            <w:vAlign w:val="bottom"/>
            <w:vMerge w:val="restart"/>
          </w:tcPr>
          <w:p>
            <w:pPr>
              <w:spacing w:after="0"/>
              <w:rPr>
                <w:sz w:val="20"/>
                <w:szCs w:val="20"/>
                <w:color w:val="auto"/>
              </w:rPr>
            </w:pPr>
            <w:r>
              <w:rPr>
                <w:rFonts w:ascii="Arial" w:cs="Arial" w:eastAsia="Arial" w:hAnsi="Arial"/>
                <w:sz w:val="18"/>
                <w:szCs w:val="18"/>
                <w:color w:val="auto"/>
              </w:rPr>
              <w:t>Cash, cash equivalents, and restricted cash consists of:</w:t>
            </w: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16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8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142,304</w:t>
            </w:r>
          </w:p>
        </w:tc>
        <w:tc>
          <w:tcPr>
            <w:tcW w:w="960" w:type="dxa"/>
            <w:vAlign w:val="bottom"/>
            <w:gridSpan w:val="2"/>
          </w:tcPr>
          <w:p>
            <w:pPr>
              <w:jc w:val="center"/>
              <w:ind w:left="73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74,361</w:t>
            </w:r>
          </w:p>
        </w:tc>
        <w:tc>
          <w:tcPr>
            <w:tcW w:w="0" w:type="dxa"/>
            <w:vAlign w:val="bottom"/>
          </w:tcPr>
          <w:p>
            <w:pPr>
              <w:spacing w:after="0"/>
              <w:rPr>
                <w:sz w:val="1"/>
                <w:szCs w:val="1"/>
                <w:color w:val="auto"/>
              </w:rPr>
            </w:pPr>
          </w:p>
        </w:tc>
      </w:tr>
      <w:tr>
        <w:trPr>
          <w:trHeight w:val="284"/>
        </w:trPr>
        <w:tc>
          <w:tcPr>
            <w:tcW w:w="816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49"/>
        </w:trPr>
        <w:tc>
          <w:tcPr>
            <w:tcW w:w="8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1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7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143,099</w:t>
            </w:r>
          </w:p>
        </w:tc>
        <w:tc>
          <w:tcPr>
            <w:tcW w:w="180" w:type="dxa"/>
            <w:vAlign w:val="bottom"/>
          </w:tcPr>
          <w:p>
            <w:pPr>
              <w:spacing w:after="0"/>
              <w:rPr>
                <w:sz w:val="19"/>
                <w:szCs w:val="19"/>
                <w:color w:val="auto"/>
              </w:rPr>
            </w:pPr>
          </w:p>
        </w:tc>
        <w:tc>
          <w:tcPr>
            <w:tcW w:w="78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75,377</w:t>
            </w:r>
          </w:p>
        </w:tc>
        <w:tc>
          <w:tcPr>
            <w:tcW w:w="0" w:type="dxa"/>
            <w:vAlign w:val="bottom"/>
          </w:tcPr>
          <w:p>
            <w:pPr>
              <w:spacing w:after="0"/>
              <w:rPr>
                <w:sz w:val="1"/>
                <w:szCs w:val="1"/>
                <w:color w:val="auto"/>
              </w:rPr>
            </w:pPr>
          </w:p>
        </w:tc>
      </w:tr>
      <w:tr>
        <w:trPr>
          <w:trHeight w:val="48"/>
        </w:trPr>
        <w:tc>
          <w:tcPr>
            <w:tcW w:w="81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42" w:right="339"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STANDARD BIOTOOLS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FINANCIAL INFORMATION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percentages)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ITEMIZED RECONCILIATION OF GAAP TO NON-GAAP GROSS PROFIT AND GROSS MARGIN PERCENTAGE</w:t>
      </w:r>
    </w:p>
    <w:p>
      <w:pPr>
        <w:sectPr>
          <w:pgSz w:w="11900" w:h="16964" w:orient="portrait"/>
          <w:cols w:equalWidth="0" w:num="1">
            <w:col w:w="11220"/>
          </w:cols>
          <w:pgMar w:left="340" w:top="15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GAAP gross proft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Amortzaton of developed technology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Depreciaton and amortzaton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compensaton expense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Non-GAAP gross proft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GAAP gross margin percentage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Amortzaton of developed technology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Depreciaton and amortzaton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compensaton expense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Non-GAAP gross margin percentage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5"/>
                <w:szCs w:val="15"/>
                <w:color w:val="auto"/>
              </w:rPr>
            </w:pPr>
          </w:p>
        </w:tc>
        <w:tc>
          <w:tcPr>
            <w:tcW w:w="172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Six Months Ended</w:t>
            </w:r>
          </w:p>
        </w:tc>
        <w:tc>
          <w:tcPr>
            <w:tcW w:w="700" w:type="dxa"/>
            <w:vAlign w:val="bottom"/>
          </w:tcPr>
          <w:p>
            <w:pPr>
              <w:spacing w:after="0"/>
              <w:rPr>
                <w:sz w:val="15"/>
                <w:szCs w:val="15"/>
                <w:color w:val="auto"/>
              </w:rPr>
            </w:pPr>
          </w:p>
        </w:tc>
      </w:tr>
      <w:tr>
        <w:trPr>
          <w:trHeight w:val="56"/>
        </w:trPr>
        <w:tc>
          <w:tcPr>
            <w:tcW w:w="130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r>
      <w:tr>
        <w:trPr>
          <w:trHeight w:val="261"/>
        </w:trPr>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2"/>
                <w:szCs w:val="22"/>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r>
      <w:tr>
        <w:trPr>
          <w:trHeight w:val="216"/>
        </w:trPr>
        <w:tc>
          <w:tcPr>
            <w:tcW w:w="1300" w:type="dxa"/>
            <w:vAlign w:val="bottom"/>
            <w:gridSpan w:val="2"/>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620" w:type="dxa"/>
            <w:vAlign w:val="bottom"/>
            <w:gridSpan w:val="3"/>
          </w:tcPr>
          <w:p>
            <w:pPr>
              <w:ind w:left="820"/>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46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2022</w:t>
            </w:r>
          </w:p>
        </w:tc>
      </w:tr>
      <w:tr>
        <w:trPr>
          <w:trHeight w:val="70"/>
        </w:trPr>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220"/>
        </w:trPr>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13,602</w:t>
            </w:r>
          </w:p>
        </w:tc>
        <w:tc>
          <w:tcPr>
            <w:tcW w:w="320" w:type="dxa"/>
            <w:vAlign w:val="bottom"/>
          </w:tcPr>
          <w:p>
            <w:pPr>
              <w:spacing w:after="0"/>
              <w:rPr>
                <w:sz w:val="19"/>
                <w:szCs w:val="19"/>
                <w:color w:val="auto"/>
              </w:rPr>
            </w:pP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4,427</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25,939</w:t>
            </w:r>
          </w:p>
        </w:tc>
        <w:tc>
          <w:tcPr>
            <w:tcW w:w="160" w:type="dxa"/>
            <w:vAlign w:val="bottom"/>
          </w:tcPr>
          <w:p>
            <w:pPr>
              <w:spacing w:after="0"/>
              <w:rPr>
                <w:sz w:val="19"/>
                <w:szCs w:val="19"/>
                <w:color w:val="auto"/>
              </w:rPr>
            </w:pP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16,664</w:t>
            </w:r>
          </w:p>
        </w:tc>
      </w:tr>
      <w:tr>
        <w:trPr>
          <w:trHeight w:val="413"/>
        </w:trPr>
        <w:tc>
          <w:tcPr>
            <w:tcW w:w="580" w:type="dxa"/>
            <w:vAlign w:val="bottom"/>
          </w:tcPr>
          <w:p>
            <w:pPr>
              <w:spacing w:after="0"/>
              <w:rPr>
                <w:sz w:val="24"/>
                <w:szCs w:val="24"/>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2,800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2,641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5,600</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5,608</w:t>
            </w:r>
          </w:p>
        </w:tc>
      </w:tr>
      <w:tr>
        <w:trPr>
          <w:trHeight w:val="432"/>
        </w:trPr>
        <w:tc>
          <w:tcPr>
            <w:tcW w:w="580" w:type="dxa"/>
            <w:vAlign w:val="bottom"/>
          </w:tcPr>
          <w:p>
            <w:pPr>
              <w:spacing w:after="0"/>
              <w:rPr>
                <w:sz w:val="24"/>
                <w:szCs w:val="24"/>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634</w:t>
            </w:r>
          </w:p>
        </w:tc>
      </w:tr>
      <w:tr>
        <w:trPr>
          <w:trHeight w:val="418"/>
        </w:trPr>
        <w:tc>
          <w:tcPr>
            <w:tcW w:w="580" w:type="dxa"/>
            <w:vAlign w:val="bottom"/>
          </w:tcPr>
          <w:p>
            <w:pPr>
              <w:spacing w:after="0"/>
              <w:rPr>
                <w:sz w:val="24"/>
                <w:szCs w:val="24"/>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197"/>
        </w:trPr>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r>
      <w:tr>
        <w:trPr>
          <w:trHeight w:val="220"/>
        </w:trPr>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16,844</w:t>
            </w:r>
          </w:p>
        </w:tc>
        <w:tc>
          <w:tcPr>
            <w:tcW w:w="320" w:type="dxa"/>
            <w:vAlign w:val="bottom"/>
          </w:tcPr>
          <w:p>
            <w:pPr>
              <w:spacing w:after="0"/>
              <w:rPr>
                <w:sz w:val="19"/>
                <w:szCs w:val="19"/>
                <w:color w:val="auto"/>
              </w:rPr>
            </w:pP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7,551</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32,657</w:t>
            </w:r>
          </w:p>
        </w:tc>
        <w:tc>
          <w:tcPr>
            <w:tcW w:w="160" w:type="dxa"/>
            <w:vAlign w:val="bottom"/>
          </w:tcPr>
          <w:p>
            <w:pPr>
              <w:spacing w:after="0"/>
              <w:rPr>
                <w:sz w:val="19"/>
                <w:szCs w:val="19"/>
                <w:color w:val="auto"/>
              </w:rPr>
            </w:pP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23,211</w:t>
            </w:r>
          </w:p>
        </w:tc>
      </w:tr>
      <w:tr>
        <w:trPr>
          <w:trHeight w:val="192"/>
        </w:trPr>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2"/>
        </w:trPr>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220"/>
        </w:trPr>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7"/>
        </w:trPr>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64" w:orient="portrait"/>
          <w:cols w:equalWidth="0" w:num="2">
            <w:col w:w="4660" w:space="720"/>
            <w:col w:w="5840"/>
          </w:cols>
          <w:pgMar w:left="340" w:top="159" w:right="339" w:bottom="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ITEMIZED RECONCILIATION OF GAAP TO NON-GAAP OPERATING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9"/>
              </w:rPr>
              <w:t>Three Months Ended</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3"/>
          </w:tcPr>
          <w:p>
            <w:pPr>
              <w:ind w:left="260"/>
              <w:spacing w:after="0"/>
              <w:rPr>
                <w:sz w:val="20"/>
                <w:szCs w:val="20"/>
                <w:color w:val="auto"/>
              </w:rPr>
            </w:pPr>
            <w:r>
              <w:rPr>
                <w:rFonts w:ascii="Arial" w:cs="Arial" w:eastAsia="Arial" w:hAnsi="Arial"/>
                <w:sz w:val="14"/>
                <w:szCs w:val="14"/>
                <w:b w:val="1"/>
                <w:bCs w:val="1"/>
                <w:color w:val="auto"/>
                <w:w w:val="97"/>
              </w:rPr>
              <w:t>Six Months Ended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538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5380" w:type="dxa"/>
            <w:vAlign w:val="bottom"/>
          </w:tcPr>
          <w:p>
            <w:pPr>
              <w:spacing w:after="0"/>
              <w:rPr>
                <w:sz w:val="23"/>
                <w:szCs w:val="23"/>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3"/>
                <w:szCs w:val="23"/>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3"/>
                <w:szCs w:val="23"/>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3"/>
                <w:szCs w:val="23"/>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300" w:type="dxa"/>
            <w:vAlign w:val="bottom"/>
            <w:gridSpan w:val="2"/>
          </w:tcPr>
          <w:p>
            <w:pPr>
              <w:ind w:left="500"/>
              <w:spacing w:after="0"/>
              <w:rPr>
                <w:sz w:val="20"/>
                <w:szCs w:val="20"/>
                <w:color w:val="auto"/>
              </w:rPr>
            </w:pPr>
            <w:r>
              <w:rPr>
                <w:rFonts w:ascii="Arial" w:cs="Arial" w:eastAsia="Arial" w:hAnsi="Arial"/>
                <w:sz w:val="14"/>
                <w:szCs w:val="14"/>
                <w:b w:val="1"/>
                <w:bCs w:val="1"/>
                <w:color w:val="auto"/>
              </w:rPr>
              <w:t>2023</w:t>
            </w:r>
          </w:p>
        </w:tc>
        <w:tc>
          <w:tcPr>
            <w:tcW w:w="1620" w:type="dxa"/>
            <w:vAlign w:val="bottom"/>
            <w:gridSpan w:val="3"/>
          </w:tcPr>
          <w:p>
            <w:pPr>
              <w:ind w:left="820"/>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6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84"/>
        </w:trPr>
        <w:tc>
          <w:tcPr>
            <w:tcW w:w="5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5380" w:type="dxa"/>
            <w:vAlign w:val="bottom"/>
            <w:vMerge w:val="restart"/>
          </w:tcPr>
          <w:p>
            <w:pPr>
              <w:spacing w:after="0"/>
              <w:rPr>
                <w:sz w:val="20"/>
                <w:szCs w:val="20"/>
                <w:color w:val="auto"/>
              </w:rPr>
            </w:pPr>
            <w:r>
              <w:rPr>
                <w:rFonts w:ascii="Arial" w:cs="Arial" w:eastAsia="Arial" w:hAnsi="Arial"/>
                <w:sz w:val="18"/>
                <w:szCs w:val="18"/>
                <w:color w:val="auto"/>
              </w:rPr>
              <w:t>GAAP operatng expenses</w:t>
            </w:r>
          </w:p>
        </w:tc>
        <w:tc>
          <w:tcPr>
            <w:tcW w:w="6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4"/>
              </w:rPr>
              <w:t>31,051</w:t>
            </w:r>
          </w:p>
        </w:tc>
        <w:tc>
          <w:tcPr>
            <w:tcW w:w="320" w:type="dxa"/>
            <w:vAlign w:val="bottom"/>
          </w:tcPr>
          <w:p>
            <w:pPr>
              <w:spacing w:after="0"/>
              <w:rPr>
                <w:sz w:val="19"/>
                <w:szCs w:val="19"/>
                <w:color w:val="auto"/>
              </w:rPr>
            </w:pPr>
          </w:p>
        </w:tc>
        <w:tc>
          <w:tcPr>
            <w:tcW w:w="6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42,990</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59,981</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82,730</w:t>
            </w:r>
          </w:p>
        </w:tc>
        <w:tc>
          <w:tcPr>
            <w:tcW w:w="0" w:type="dxa"/>
            <w:vAlign w:val="bottom"/>
          </w:tcPr>
          <w:p>
            <w:pPr>
              <w:spacing w:after="0"/>
              <w:rPr>
                <w:sz w:val="1"/>
                <w:szCs w:val="1"/>
                <w:color w:val="auto"/>
              </w:rPr>
            </w:pPr>
          </w:p>
        </w:tc>
      </w:tr>
      <w:tr>
        <w:trPr>
          <w:trHeight w:val="62"/>
        </w:trPr>
        <w:tc>
          <w:tcPr>
            <w:tcW w:w="5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5380" w:type="dxa"/>
            <w:vAlign w:val="bottom"/>
            <w:vMerge w:val="restart"/>
          </w:tcPr>
          <w:p>
            <w:pPr>
              <w:spacing w:after="0"/>
              <w:rPr>
                <w:sz w:val="20"/>
                <w:szCs w:val="20"/>
                <w:color w:val="auto"/>
              </w:rPr>
            </w:pPr>
            <w:r>
              <w:rPr>
                <w:rFonts w:ascii="Arial" w:cs="Arial" w:eastAsia="Arial" w:hAnsi="Arial"/>
                <w:sz w:val="18"/>
                <w:szCs w:val="18"/>
                <w:color w:val="auto"/>
              </w:rPr>
              <w:t>Restructuring and related charges</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1"/>
              </w:rPr>
              <w:t>(2,267)</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(3,417)</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68"/>
        </w:trPr>
        <w:tc>
          <w:tcPr>
            <w:tcW w:w="5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5380" w:type="dxa"/>
            <w:vAlign w:val="bottom"/>
            <w:vMerge w:val="restart"/>
          </w:tcPr>
          <w:p>
            <w:pPr>
              <w:spacing w:after="0"/>
              <w:rPr>
                <w:sz w:val="20"/>
                <w:szCs w:val="20"/>
                <w:color w:val="auto"/>
              </w:rPr>
            </w:pPr>
            <w:r>
              <w:rPr>
                <w:rFonts w:ascii="Arial" w:cs="Arial" w:eastAsia="Arial" w:hAnsi="Arial"/>
                <w:sz w:val="18"/>
                <w:szCs w:val="18"/>
                <w:color w:val="auto"/>
              </w:rPr>
              <w:t>Stock-based compensaton expense</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1"/>
              </w:rPr>
              <w:t>(3,007)</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4"/>
              </w:rPr>
              <w:t>(4,499)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(5,802)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81"/>
        </w:trPr>
        <w:tc>
          <w:tcPr>
            <w:tcW w:w="5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Depreciaton and amortzaton</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(491)</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97"/>
        </w:trPr>
        <w:tc>
          <w:tcPr>
            <w:tcW w:w="5380" w:type="dxa"/>
            <w:vAlign w:val="bottom"/>
            <w:vMerge w:val="restart"/>
          </w:tcPr>
          <w:p>
            <w:pPr>
              <w:spacing w:after="0"/>
              <w:rPr>
                <w:sz w:val="20"/>
                <w:szCs w:val="20"/>
                <w:color w:val="auto"/>
              </w:rPr>
            </w:pPr>
            <w:r>
              <w:rPr>
                <w:rFonts w:ascii="Arial" w:cs="Arial" w:eastAsia="Arial" w:hAnsi="Arial"/>
                <w:sz w:val="18"/>
                <w:szCs w:val="18"/>
                <w:color w:val="auto"/>
              </w:rPr>
              <w:t>Impairment of intangible assets</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4"/>
              </w:rPr>
              <w:t>(3,526)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81"/>
        </w:trPr>
        <w:tc>
          <w:tcPr>
            <w:tcW w:w="5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5380" w:type="dxa"/>
            <w:vAlign w:val="bottom"/>
            <w:vMerge w:val="restart"/>
          </w:tcPr>
          <w:p>
            <w:pPr>
              <w:spacing w:after="0"/>
              <w:rPr>
                <w:sz w:val="20"/>
                <w:szCs w:val="20"/>
                <w:color w:val="auto"/>
              </w:rPr>
            </w:pPr>
            <w:r>
              <w:rPr>
                <w:rFonts w:ascii="Arial" w:cs="Arial" w:eastAsia="Arial" w:hAnsi="Arial"/>
                <w:sz w:val="18"/>
                <w:szCs w:val="18"/>
                <w:color w:val="auto"/>
              </w:rPr>
              <w:t>Loss on disposal of property and equipment</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8"/>
        </w:trPr>
        <w:tc>
          <w:tcPr>
            <w:tcW w:w="5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380" w:type="dxa"/>
            <w:vAlign w:val="bottom"/>
            <w:vMerge w:val="restart"/>
          </w:tcPr>
          <w:p>
            <w:pPr>
              <w:spacing w:after="0"/>
              <w:rPr>
                <w:sz w:val="20"/>
                <w:szCs w:val="20"/>
                <w:color w:val="auto"/>
              </w:rPr>
            </w:pPr>
            <w:r>
              <w:rPr>
                <w:rFonts w:ascii="Arial" w:cs="Arial" w:eastAsia="Arial" w:hAnsi="Arial"/>
                <w:sz w:val="18"/>
                <w:szCs w:val="18"/>
                <w:color w:val="auto"/>
              </w:rPr>
              <w:t>Non-GAAP operatng expenses</w:t>
            </w:r>
          </w:p>
        </w:tc>
        <w:tc>
          <w:tcPr>
            <w:tcW w:w="6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4"/>
              </w:rPr>
              <w:t>25,213</w:t>
            </w:r>
          </w:p>
        </w:tc>
        <w:tc>
          <w:tcPr>
            <w:tcW w:w="320" w:type="dxa"/>
            <w:vAlign w:val="bottom"/>
          </w:tcPr>
          <w:p>
            <w:pPr>
              <w:spacing w:after="0"/>
              <w:rPr>
                <w:sz w:val="19"/>
                <w:szCs w:val="19"/>
                <w:color w:val="auto"/>
              </w:rPr>
            </w:pPr>
          </w:p>
        </w:tc>
        <w:tc>
          <w:tcPr>
            <w:tcW w:w="6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33,782</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49,659</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67,534</w:t>
            </w:r>
          </w:p>
        </w:tc>
        <w:tc>
          <w:tcPr>
            <w:tcW w:w="0" w:type="dxa"/>
            <w:vAlign w:val="bottom"/>
          </w:tcPr>
          <w:p>
            <w:pPr>
              <w:spacing w:after="0"/>
              <w:rPr>
                <w:sz w:val="1"/>
                <w:szCs w:val="1"/>
                <w:color w:val="auto"/>
              </w:rPr>
            </w:pPr>
          </w:p>
        </w:tc>
      </w:tr>
      <w:tr>
        <w:trPr>
          <w:trHeight w:val="76"/>
        </w:trPr>
        <w:tc>
          <w:tcPr>
            <w:tcW w:w="5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3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1"/>
        </w:trPr>
        <w:tc>
          <w:tcPr>
            <w:tcW w:w="5380" w:type="dxa"/>
            <w:vAlign w:val="bottom"/>
            <w:vMerge w:val="restart"/>
          </w:tcPr>
          <w:p>
            <w:pPr>
              <w:spacing w:after="0"/>
              <w:rPr>
                <w:sz w:val="20"/>
                <w:szCs w:val="20"/>
                <w:color w:val="auto"/>
              </w:rPr>
            </w:pPr>
            <w:r>
              <w:rPr>
                <w:rFonts w:ascii="Arial" w:cs="Arial" w:eastAsia="Arial" w:hAnsi="Arial"/>
                <w:sz w:val="18"/>
                <w:szCs w:val="18"/>
                <w:color w:val="auto"/>
              </w:rPr>
              <w:t>GAAP R&amp;D operatng expenses</w:t>
            </w:r>
          </w:p>
        </w:tc>
        <w:tc>
          <w:tcPr>
            <w:tcW w:w="62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6,184</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12,606</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12,669</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21,471</w:t>
            </w:r>
          </w:p>
        </w:tc>
        <w:tc>
          <w:tcPr>
            <w:tcW w:w="0" w:type="dxa"/>
            <w:vAlign w:val="bottom"/>
          </w:tcPr>
          <w:p>
            <w:pPr>
              <w:spacing w:after="0"/>
              <w:rPr>
                <w:sz w:val="1"/>
                <w:szCs w:val="1"/>
                <w:color w:val="auto"/>
              </w:rPr>
            </w:pPr>
          </w:p>
        </w:tc>
      </w:tr>
      <w:tr>
        <w:trPr>
          <w:trHeight w:val="68"/>
        </w:trPr>
        <w:tc>
          <w:tcPr>
            <w:tcW w:w="5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5380" w:type="dxa"/>
            <w:vAlign w:val="bottom"/>
            <w:vMerge w:val="restart"/>
          </w:tcPr>
          <w:p>
            <w:pPr>
              <w:spacing w:after="0"/>
              <w:rPr>
                <w:sz w:val="20"/>
                <w:szCs w:val="20"/>
                <w:color w:val="auto"/>
              </w:rPr>
            </w:pPr>
            <w:r>
              <w:rPr>
                <w:rFonts w:ascii="Arial" w:cs="Arial" w:eastAsia="Arial" w:hAnsi="Arial"/>
                <w:sz w:val="18"/>
                <w:szCs w:val="18"/>
                <w:color w:val="auto"/>
              </w:rPr>
              <w:t>Stock-based compensaton expense</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(366)</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68"/>
        </w:trPr>
        <w:tc>
          <w:tcPr>
            <w:tcW w:w="5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5380" w:type="dxa"/>
            <w:vAlign w:val="bottom"/>
          </w:tcPr>
          <w:p>
            <w:pPr>
              <w:spacing w:after="0"/>
              <w:rPr>
                <w:sz w:val="20"/>
                <w:szCs w:val="20"/>
                <w:color w:val="auto"/>
              </w:rPr>
            </w:pPr>
            <w:r>
              <w:rPr>
                <w:rFonts w:ascii="Arial" w:cs="Arial" w:eastAsia="Arial" w:hAnsi="Arial"/>
                <w:sz w:val="18"/>
                <w:szCs w:val="18"/>
                <w:color w:val="auto"/>
              </w:rPr>
              <w:t>Depreciaton and amortzaton</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10"/>
        </w:trPr>
        <w:tc>
          <w:tcPr>
            <w:tcW w:w="5380" w:type="dxa"/>
            <w:vAlign w:val="bottom"/>
            <w:vMerge w:val="restart"/>
          </w:tcPr>
          <w:p>
            <w:pPr>
              <w:spacing w:after="0"/>
              <w:rPr>
                <w:sz w:val="20"/>
                <w:szCs w:val="20"/>
                <w:color w:val="auto"/>
              </w:rPr>
            </w:pPr>
            <w:r>
              <w:rPr>
                <w:rFonts w:ascii="Arial" w:cs="Arial" w:eastAsia="Arial" w:hAnsi="Arial"/>
                <w:sz w:val="18"/>
                <w:szCs w:val="18"/>
                <w:color w:val="auto"/>
              </w:rPr>
              <w:t>Impairment of intangible assets</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4"/>
              </w:rPr>
              <w:t>(3,526)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68"/>
        </w:trPr>
        <w:tc>
          <w:tcPr>
            <w:tcW w:w="5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380" w:type="dxa"/>
            <w:vAlign w:val="bottom"/>
            <w:vMerge w:val="restart"/>
          </w:tcPr>
          <w:p>
            <w:pPr>
              <w:spacing w:after="0"/>
              <w:rPr>
                <w:sz w:val="20"/>
                <w:szCs w:val="20"/>
                <w:color w:val="auto"/>
              </w:rPr>
            </w:pPr>
            <w:r>
              <w:rPr>
                <w:rFonts w:ascii="Arial" w:cs="Arial" w:eastAsia="Arial" w:hAnsi="Arial"/>
                <w:sz w:val="18"/>
                <w:szCs w:val="18"/>
                <w:color w:val="auto"/>
              </w:rPr>
              <w:t>Non-GAAP R&amp;D operatng expenses</w:t>
            </w:r>
          </w:p>
        </w:tc>
        <w:tc>
          <w:tcPr>
            <w:tcW w:w="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5,687</w:t>
            </w:r>
          </w:p>
        </w:tc>
        <w:tc>
          <w:tcPr>
            <w:tcW w:w="320" w:type="dxa"/>
            <w:vAlign w:val="bottom"/>
          </w:tcPr>
          <w:p>
            <w:pPr>
              <w:spacing w:after="0"/>
              <w:rPr>
                <w:sz w:val="19"/>
                <w:szCs w:val="19"/>
                <w:color w:val="auto"/>
              </w:rPr>
            </w:pPr>
          </w:p>
        </w:tc>
        <w:tc>
          <w:tcPr>
            <w:tcW w:w="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8,220</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11,606</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16,204</w:t>
            </w:r>
          </w:p>
        </w:tc>
        <w:tc>
          <w:tcPr>
            <w:tcW w:w="0" w:type="dxa"/>
            <w:vAlign w:val="bottom"/>
          </w:tcPr>
          <w:p>
            <w:pPr>
              <w:spacing w:after="0"/>
              <w:rPr>
                <w:sz w:val="1"/>
                <w:szCs w:val="1"/>
                <w:color w:val="auto"/>
              </w:rPr>
            </w:pPr>
          </w:p>
        </w:tc>
      </w:tr>
      <w:tr>
        <w:trPr>
          <w:trHeight w:val="76"/>
        </w:trPr>
        <w:tc>
          <w:tcPr>
            <w:tcW w:w="5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3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5380" w:type="dxa"/>
            <w:vAlign w:val="bottom"/>
            <w:vMerge w:val="restart"/>
          </w:tcPr>
          <w:p>
            <w:pPr>
              <w:spacing w:after="0"/>
              <w:rPr>
                <w:sz w:val="20"/>
                <w:szCs w:val="20"/>
                <w:color w:val="auto"/>
              </w:rPr>
            </w:pPr>
            <w:r>
              <w:rPr>
                <w:rFonts w:ascii="Arial" w:cs="Arial" w:eastAsia="Arial" w:hAnsi="Arial"/>
                <w:sz w:val="18"/>
                <w:szCs w:val="18"/>
                <w:color w:val="auto"/>
              </w:rPr>
              <w:t>GAAP SG&amp;A operatng expenses</w:t>
            </w: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4"/>
              </w:rPr>
              <w:t>22,600</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30,084</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43,895</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59,569</w:t>
            </w:r>
          </w:p>
        </w:tc>
        <w:tc>
          <w:tcPr>
            <w:tcW w:w="0" w:type="dxa"/>
            <w:vAlign w:val="bottom"/>
          </w:tcPr>
          <w:p>
            <w:pPr>
              <w:spacing w:after="0"/>
              <w:rPr>
                <w:sz w:val="1"/>
                <w:szCs w:val="1"/>
                <w:color w:val="auto"/>
              </w:rPr>
            </w:pPr>
          </w:p>
        </w:tc>
      </w:tr>
      <w:tr>
        <w:trPr>
          <w:trHeight w:val="68"/>
        </w:trPr>
        <w:tc>
          <w:tcPr>
            <w:tcW w:w="53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5380" w:type="dxa"/>
            <w:vAlign w:val="bottom"/>
            <w:vMerge w:val="restart"/>
          </w:tcPr>
          <w:p>
            <w:pPr>
              <w:spacing w:after="0"/>
              <w:rPr>
                <w:sz w:val="20"/>
                <w:szCs w:val="20"/>
                <w:color w:val="auto"/>
              </w:rPr>
            </w:pPr>
            <w:r>
              <w:rPr>
                <w:rFonts w:ascii="Arial" w:cs="Arial" w:eastAsia="Arial" w:hAnsi="Arial"/>
                <w:sz w:val="18"/>
                <w:szCs w:val="18"/>
                <w:color w:val="auto"/>
              </w:rPr>
              <w:t>Stock-based compensaton expense</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1"/>
              </w:rPr>
              <w:t>(2,641)</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4"/>
              </w:rPr>
              <w:t>(3,794)</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(5,020)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(6,996)</w:t>
            </w:r>
          </w:p>
        </w:tc>
        <w:tc>
          <w:tcPr>
            <w:tcW w:w="0" w:type="dxa"/>
            <w:vAlign w:val="bottom"/>
          </w:tcPr>
          <w:p>
            <w:pPr>
              <w:spacing w:after="0"/>
              <w:rPr>
                <w:sz w:val="1"/>
                <w:szCs w:val="1"/>
                <w:color w:val="auto"/>
              </w:rPr>
            </w:pPr>
          </w:p>
        </w:tc>
      </w:tr>
      <w:tr>
        <w:trPr>
          <w:trHeight w:val="81"/>
        </w:trPr>
        <w:tc>
          <w:tcPr>
            <w:tcW w:w="5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5380" w:type="dxa"/>
            <w:vAlign w:val="bottom"/>
          </w:tcPr>
          <w:p>
            <w:pPr>
              <w:spacing w:after="0"/>
              <w:rPr>
                <w:sz w:val="20"/>
                <w:szCs w:val="20"/>
                <w:color w:val="auto"/>
              </w:rPr>
            </w:pPr>
            <w:r>
              <w:rPr>
                <w:rFonts w:ascii="Arial" w:cs="Arial" w:eastAsia="Arial" w:hAnsi="Arial"/>
                <w:sz w:val="18"/>
                <w:szCs w:val="18"/>
                <w:color w:val="auto"/>
              </w:rPr>
              <w:t>Depreciaton and amortzaton</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97"/>
        </w:trPr>
        <w:tc>
          <w:tcPr>
            <w:tcW w:w="5380" w:type="dxa"/>
            <w:vAlign w:val="bottom"/>
            <w:vMerge w:val="restart"/>
          </w:tcPr>
          <w:p>
            <w:pPr>
              <w:spacing w:after="0"/>
              <w:rPr>
                <w:sz w:val="20"/>
                <w:szCs w:val="20"/>
                <w:color w:val="auto"/>
              </w:rPr>
            </w:pPr>
            <w:r>
              <w:rPr>
                <w:rFonts w:ascii="Arial" w:cs="Arial" w:eastAsia="Arial" w:hAnsi="Arial"/>
                <w:sz w:val="18"/>
                <w:szCs w:val="18"/>
                <w:color w:val="auto"/>
              </w:rPr>
              <w:t>Loss on disposal of property and equipment</w:t>
            </w:r>
          </w:p>
        </w:tc>
        <w:tc>
          <w:tcPr>
            <w:tcW w:w="620" w:type="dxa"/>
            <w:vAlign w:val="bottom"/>
          </w:tcPr>
          <w:p>
            <w:pPr>
              <w:spacing w:after="0"/>
              <w:rPr>
                <w:sz w:val="24"/>
                <w:szCs w:val="24"/>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81"/>
        </w:trPr>
        <w:tc>
          <w:tcPr>
            <w:tcW w:w="5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5380" w:type="dxa"/>
            <w:vAlign w:val="bottom"/>
            <w:vMerge w:val="restart"/>
          </w:tcPr>
          <w:p>
            <w:pPr>
              <w:spacing w:after="0"/>
              <w:rPr>
                <w:sz w:val="20"/>
                <w:szCs w:val="20"/>
                <w:color w:val="auto"/>
              </w:rPr>
            </w:pPr>
            <w:r>
              <w:rPr>
                <w:rFonts w:ascii="Arial" w:cs="Arial" w:eastAsia="Arial" w:hAnsi="Arial"/>
                <w:sz w:val="18"/>
                <w:szCs w:val="18"/>
                <w:color w:val="auto"/>
              </w:rPr>
              <w:t>Non-GAAP SG&amp;A operatng expenses</w:t>
            </w:r>
          </w:p>
        </w:tc>
        <w:tc>
          <w:tcPr>
            <w:tcW w:w="6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4"/>
              </w:rPr>
              <w:t>19,526</w:t>
            </w:r>
          </w:p>
        </w:tc>
        <w:tc>
          <w:tcPr>
            <w:tcW w:w="320" w:type="dxa"/>
            <w:vAlign w:val="bottom"/>
          </w:tcPr>
          <w:p>
            <w:pPr>
              <w:spacing w:after="0"/>
              <w:rPr>
                <w:sz w:val="19"/>
                <w:szCs w:val="19"/>
                <w:color w:val="auto"/>
              </w:rPr>
            </w:pPr>
          </w:p>
        </w:tc>
        <w:tc>
          <w:tcPr>
            <w:tcW w:w="6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25,562</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38,053</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51,330</w:t>
            </w:r>
          </w:p>
        </w:tc>
        <w:tc>
          <w:tcPr>
            <w:tcW w:w="0" w:type="dxa"/>
            <w:vAlign w:val="bottom"/>
          </w:tcPr>
          <w:p>
            <w:pPr>
              <w:spacing w:after="0"/>
              <w:rPr>
                <w:sz w:val="1"/>
                <w:szCs w:val="1"/>
                <w:color w:val="auto"/>
              </w:rPr>
            </w:pPr>
          </w:p>
        </w:tc>
      </w:tr>
      <w:tr>
        <w:trPr>
          <w:trHeight w:val="76"/>
        </w:trPr>
        <w:tc>
          <w:tcPr>
            <w:tcW w:w="5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964" w:orient="portrait"/>
          <w:cols w:equalWidth="0" w:num="1">
            <w:col w:w="11220"/>
          </w:cols>
          <w:pgMar w:left="340" w:top="159" w:right="339" w:bottom="0" w:gutter="0" w:footer="0" w:header="0"/>
          <w:type w:val="continuous"/>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3628390</wp:posOffset>
            </wp:positionH>
            <wp:positionV relativeFrom="page">
              <wp:posOffset>191770</wp:posOffset>
            </wp:positionV>
            <wp:extent cx="371221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221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STANDARD BIOTOOLS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RECONCILIATION OF GAAP TO NON-GAAP FINANCIAL INFORMATION</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ITEMIZED RECONCILIATION OF GAAP NET LOSS TO NON-GAAP ADJUSTED EBITDA</w:t>
      </w:r>
    </w:p>
    <w:p>
      <w:pPr>
        <w:sectPr>
          <w:pgSz w:w="11900" w:h="16838" w:orient="portrait"/>
          <w:cols w:equalWidth="0" w:num="1">
            <w:col w:w="11220"/>
          </w:cols>
          <w:pgMar w:left="340" w:top="1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GAAP net loss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Amortzaton of developed technology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Depreciaton and amortzaton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related charges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Loss on forward sale of Series B Preferred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Loss on bridge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non-operatng expense (income)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Loss on disposal of property and equipment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EBITDA</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184"/>
        </w:trPr>
        <w:tc>
          <w:tcPr>
            <w:tcW w:w="480" w:type="dxa"/>
            <w:vAlign w:val="bottom"/>
          </w:tcPr>
          <w:p>
            <w:pPr>
              <w:spacing w:after="0"/>
              <w:rPr>
                <w:sz w:val="15"/>
                <w:szCs w:val="15"/>
                <w:color w:val="auto"/>
              </w:rPr>
            </w:pPr>
          </w:p>
        </w:tc>
        <w:tc>
          <w:tcPr>
            <w:tcW w:w="248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56"/>
        </w:trPr>
        <w:tc>
          <w:tcPr>
            <w:tcW w:w="13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61"/>
        </w:trPr>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w w:val="82"/>
              </w:rPr>
              <w:t>June 30,</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w w:val="85"/>
              </w:rPr>
              <w:t>June 30,</w:t>
            </w:r>
          </w:p>
        </w:tc>
      </w:tr>
      <w:tr>
        <w:trPr>
          <w:trHeight w:val="203"/>
        </w:trPr>
        <w:tc>
          <w:tcPr>
            <w:tcW w:w="480" w:type="dxa"/>
            <w:vAlign w:val="bottom"/>
          </w:tcPr>
          <w:p>
            <w:pPr>
              <w:spacing w:after="0"/>
              <w:rPr>
                <w:sz w:val="17"/>
                <w:szCs w:val="17"/>
                <w:color w:val="auto"/>
              </w:rPr>
            </w:pPr>
          </w:p>
        </w:tc>
        <w:tc>
          <w:tcPr>
            <w:tcW w:w="820" w:type="dxa"/>
            <w:vAlign w:val="bottom"/>
          </w:tcPr>
          <w:p>
            <w:pPr>
              <w:jc w:val="right"/>
              <w:ind w:right="432"/>
              <w:spacing w:after="0"/>
              <w:rPr>
                <w:sz w:val="20"/>
                <w:szCs w:val="20"/>
                <w:color w:val="auto"/>
              </w:rPr>
            </w:pPr>
            <w:r>
              <w:rPr>
                <w:rFonts w:ascii="Arial" w:cs="Arial" w:eastAsia="Arial" w:hAnsi="Arial"/>
                <w:sz w:val="14"/>
                <w:szCs w:val="14"/>
                <w:b w:val="1"/>
                <w:bCs w:val="1"/>
                <w:color w:val="auto"/>
                <w:w w:val="89"/>
              </w:rPr>
              <w:t>2023</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r>
      <w:tr>
        <w:trPr>
          <w:trHeight w:val="83"/>
        </w:trPr>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20"/>
        </w:trPr>
        <w:tc>
          <w:tcPr>
            <w:tcW w:w="4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8"/>
              </w:rPr>
              <w:t>(17,040)</w:t>
            </w:r>
          </w:p>
        </w:tc>
        <w:tc>
          <w:tcPr>
            <w:tcW w:w="3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(63,539)</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(33,883)</w:t>
            </w: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8"/>
              </w:rPr>
              <w:t>(139,827)</w:t>
            </w:r>
          </w:p>
        </w:tc>
      </w:tr>
      <w:tr>
        <w:trPr>
          <w:trHeight w:val="413"/>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(2,187)</w:t>
            </w:r>
          </w:p>
        </w:tc>
      </w:tr>
      <w:tr>
        <w:trPr>
          <w:trHeight w:val="418"/>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1,129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1,062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2,246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2,092</w:t>
            </w:r>
          </w:p>
        </w:tc>
      </w:tr>
      <w:tr>
        <w:trPr>
          <w:trHeight w:val="499"/>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2,800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2,961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5,600</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5,928</w:t>
            </w:r>
          </w:p>
        </w:tc>
      </w:tr>
      <w:tr>
        <w:trPr>
          <w:trHeight w:val="297"/>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826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1,878</w:t>
            </w:r>
          </w:p>
        </w:tc>
      </w:tr>
      <w:tr>
        <w:trPr>
          <w:trHeight w:val="432"/>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2,267</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3,417</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1,690</w:t>
            </w:r>
          </w:p>
        </w:tc>
      </w:tr>
      <w:tr>
        <w:trPr>
          <w:trHeight w:val="418"/>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3,114</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4,663</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6,262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8,705</w:t>
            </w:r>
          </w:p>
        </w:tc>
      </w:tr>
      <w:tr>
        <w:trPr>
          <w:trHeight w:val="418"/>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3,526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3,526</w:t>
            </w:r>
          </w:p>
        </w:tc>
      </w:tr>
      <w:tr>
        <w:trPr>
          <w:trHeight w:val="432"/>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22,289</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60,081</w:t>
            </w:r>
          </w:p>
        </w:tc>
      </w:tr>
      <w:tr>
        <w:trPr>
          <w:trHeight w:val="419"/>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3,064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13,719</w:t>
            </w:r>
          </w:p>
        </w:tc>
      </w:tr>
      <w:tr>
        <w:trPr>
          <w:trHeight w:val="418"/>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(1,839)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(2,969)</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w:t>
            </w:r>
          </w:p>
        </w:tc>
      </w:tr>
      <w:tr>
        <w:trPr>
          <w:trHeight w:val="432"/>
        </w:trPr>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w:t>
            </w:r>
          </w:p>
        </w:tc>
      </w:tr>
      <w:tr>
        <w:trPr>
          <w:trHeight w:val="197"/>
        </w:trPr>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480" w:type="dxa"/>
            <w:vAlign w:val="bottom"/>
            <w:tcBorders>
              <w:top w:val="single" w:sz="8" w:color="auto"/>
            </w:tcBorders>
          </w:tcPr>
          <w:p>
            <w:pPr>
              <w:ind w:left="40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(8,369)</w:t>
            </w:r>
          </w:p>
        </w:tc>
        <w:tc>
          <w:tcPr>
            <w:tcW w:w="3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(26,232)</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(17,002)</w:t>
            </w: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(44,324)</w:t>
            </w:r>
          </w:p>
        </w:tc>
      </w:tr>
      <w:tr>
        <w:trPr>
          <w:trHeight w:val="192"/>
        </w:trPr>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OPERATING CASH USE</w:t>
      </w:r>
    </w:p>
    <w:p>
      <w:pPr>
        <w:spacing w:after="0" w:line="200" w:lineRule="exact"/>
        <w:rPr>
          <w:sz w:val="20"/>
          <w:szCs w:val="20"/>
          <w:color w:val="auto"/>
        </w:rPr>
      </w:pPr>
    </w:p>
    <w:p>
      <w:pPr>
        <w:sectPr>
          <w:pgSz w:w="11900" w:h="16838" w:orient="portrait"/>
          <w:cols w:equalWidth="0" w:num="2">
            <w:col w:w="3460" w:space="660"/>
            <w:col w:w="7100"/>
          </w:cols>
          <w:pgMar w:left="340" w:top="13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operatng actvites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and equipment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Operatng cash use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 Derived from our Condensed Consolidated Statements of Cash Flows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5"/>
                <w:szCs w:val="15"/>
                <w:color w:val="auto"/>
              </w:rPr>
            </w:pPr>
          </w:p>
        </w:tc>
        <w:tc>
          <w:tcPr>
            <w:tcW w:w="2480" w:type="dxa"/>
            <w:vAlign w:val="bottom"/>
            <w:gridSpan w:val="4"/>
          </w:tcPr>
          <w:p>
            <w:pPr>
              <w:jc w:val="right"/>
              <w:ind w:right="77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gridSpan w:val="4"/>
          </w:tcPr>
          <w:p>
            <w:pPr>
              <w:jc w:val="right"/>
              <w:ind w:right="756"/>
              <w:spacing w:after="0"/>
              <w:rPr>
                <w:sz w:val="20"/>
                <w:szCs w:val="20"/>
                <w:color w:val="auto"/>
              </w:rPr>
            </w:pPr>
            <w:r>
              <w:rPr>
                <w:rFonts w:ascii="Arial" w:cs="Arial" w:eastAsia="Arial" w:hAnsi="Arial"/>
                <w:sz w:val="14"/>
                <w:szCs w:val="14"/>
                <w:b w:val="1"/>
                <w:bCs w:val="1"/>
                <w:color w:val="auto"/>
              </w:rPr>
              <w:t>Six Months Ended</w:t>
            </w:r>
          </w:p>
        </w:tc>
      </w:tr>
      <w:tr>
        <w:trPr>
          <w:trHeight w:val="43"/>
        </w:trPr>
        <w:tc>
          <w:tcPr>
            <w:tcW w:w="13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75"/>
        </w:trPr>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318"/>
              <w:spacing w:after="0"/>
              <w:rPr>
                <w:sz w:val="20"/>
                <w:szCs w:val="20"/>
                <w:color w:val="auto"/>
              </w:rPr>
            </w:pPr>
            <w:r>
              <w:rPr>
                <w:rFonts w:ascii="Arial" w:cs="Arial" w:eastAsia="Arial" w:hAnsi="Arial"/>
                <w:sz w:val="14"/>
                <w:szCs w:val="14"/>
                <w:b w:val="1"/>
                <w:bCs w:val="1"/>
                <w:color w:val="auto"/>
                <w:w w:val="82"/>
              </w:rPr>
              <w:t>June 30,</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316"/>
              <w:spacing w:after="0"/>
              <w:rPr>
                <w:sz w:val="20"/>
                <w:szCs w:val="20"/>
                <w:color w:val="auto"/>
              </w:rPr>
            </w:pPr>
            <w:r>
              <w:rPr>
                <w:rFonts w:ascii="Arial" w:cs="Arial" w:eastAsia="Arial" w:hAnsi="Arial"/>
                <w:sz w:val="14"/>
                <w:szCs w:val="14"/>
                <w:b w:val="1"/>
                <w:bCs w:val="1"/>
                <w:color w:val="auto"/>
                <w:w w:val="85"/>
              </w:rPr>
              <w:t>June 30,</w:t>
            </w:r>
          </w:p>
        </w:tc>
      </w:tr>
      <w:tr>
        <w:trPr>
          <w:trHeight w:val="203"/>
        </w:trPr>
        <w:tc>
          <w:tcPr>
            <w:tcW w:w="480" w:type="dxa"/>
            <w:vAlign w:val="bottom"/>
          </w:tcPr>
          <w:p>
            <w:pPr>
              <w:spacing w:after="0"/>
              <w:rPr>
                <w:sz w:val="17"/>
                <w:szCs w:val="17"/>
                <w:color w:val="auto"/>
              </w:rPr>
            </w:pPr>
          </w:p>
        </w:tc>
        <w:tc>
          <w:tcPr>
            <w:tcW w:w="820" w:type="dxa"/>
            <w:vAlign w:val="bottom"/>
          </w:tcPr>
          <w:p>
            <w:pPr>
              <w:jc w:val="right"/>
              <w:ind w:right="436"/>
              <w:spacing w:after="0"/>
              <w:rPr>
                <w:sz w:val="20"/>
                <w:szCs w:val="20"/>
                <w:color w:val="auto"/>
              </w:rPr>
            </w:pPr>
            <w:r>
              <w:rPr>
                <w:rFonts w:ascii="Arial" w:cs="Arial" w:eastAsia="Arial" w:hAnsi="Arial"/>
                <w:sz w:val="14"/>
                <w:szCs w:val="14"/>
                <w:b w:val="1"/>
                <w:bCs w:val="1"/>
                <w:color w:val="auto"/>
                <w:w w:val="89"/>
              </w:rPr>
              <w:t>2023</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r>
      <w:tr>
        <w:trPr>
          <w:trHeight w:val="70"/>
        </w:trPr>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20"/>
        </w:trPr>
        <w:tc>
          <w:tcPr>
            <w:tcW w:w="480" w:type="dxa"/>
            <w:vAlign w:val="bottom"/>
            <w:tcBorders>
              <w:top w:val="single" w:sz="8" w:color="auto"/>
            </w:tcBorders>
          </w:tcPr>
          <w:p>
            <w:pPr>
              <w:ind w:left="40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(9,329)</w:t>
            </w:r>
          </w:p>
        </w:tc>
        <w:tc>
          <w:tcPr>
            <w:tcW w:w="3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(29,988)</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(17,814)</w:t>
            </w: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(45,578)</w:t>
            </w:r>
          </w:p>
        </w:tc>
      </w:tr>
      <w:tr>
        <w:trPr>
          <w:trHeight w:val="413"/>
        </w:trPr>
        <w:tc>
          <w:tcPr>
            <w:tcW w:w="4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(838)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(1,848)</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(1,806)</w:t>
            </w:r>
          </w:p>
        </w:tc>
      </w:tr>
      <w:tr>
        <w:trPr>
          <w:trHeight w:val="432"/>
        </w:trPr>
        <w:tc>
          <w:tcPr>
            <w:tcW w:w="4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1,687</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1,919</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1,679</w:t>
            </w:r>
          </w:p>
        </w:tc>
      </w:tr>
      <w:tr>
        <w:trPr>
          <w:trHeight w:val="197"/>
        </w:trPr>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220"/>
        </w:trPr>
        <w:tc>
          <w:tcPr>
            <w:tcW w:w="480" w:type="dxa"/>
            <w:vAlign w:val="bottom"/>
            <w:tcBorders>
              <w:top w:val="single" w:sz="8" w:color="auto"/>
            </w:tcBorders>
          </w:tcPr>
          <w:p>
            <w:pPr>
              <w:ind w:left="40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(8,480)</w:t>
            </w:r>
          </w:p>
        </w:tc>
        <w:tc>
          <w:tcPr>
            <w:tcW w:w="3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(29,349)</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(17,743)</w:t>
            </w: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(45,705)</w:t>
            </w:r>
          </w:p>
        </w:tc>
      </w:tr>
      <w:tr>
        <w:trPr>
          <w:trHeight w:val="192"/>
        </w:trPr>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260" w:space="80"/>
            <w:col w:w="5880"/>
          </w:cols>
          <w:pgMar w:left="340" w:top="1320" w:right="339" w:bottom="1440" w:gutter="0" w:footer="0" w:header="0"/>
          <w:type w:val="continuous"/>
        </w:sectPr>
      </w:pPr>
    </w:p>
    <w:bookmarkStart w:id="14" w:name="page15"/>
    <w:bookmarkEnd w:id="1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2023-08-08T15:48:39Z</dcterms:created>
  <dcterms:modified xsi:type="dcterms:W3CDTF">2023-08-08T15:48:39Z</dcterms:modified>
</cp:coreProperties>
</file>