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1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14565"/>
                    </a:xfrm>
                    <a:prstGeom prst="rect">
                      <a:avLst/>
                    </a:prstGeom>
                    <a:noFill/>
                  </pic:spPr>
                </pic:pic>
              </a:graphicData>
            </a:graphic>
          </wp:anchor>
        </w:drawing>
      </w:r>
    </w:p>
    <w:p>
      <w:pPr>
        <w:spacing w:after="0" w:line="96" w:lineRule="exact"/>
        <w:rPr>
          <w:sz w:val="24"/>
          <w:szCs w:val="24"/>
          <w:color w:val="auto"/>
        </w:rPr>
      </w:pPr>
    </w:p>
    <w:p>
      <w:pPr>
        <w:sectPr>
          <w:pgSz w:w="11900" w:h="1688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80"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80"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67"/>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02/20/2019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775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55,470</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Arial" w:cs="Arial" w:eastAsia="Arial" w:hAnsi="Arial"/>
                <w:sz w:val="18"/>
                <w:szCs w:val="18"/>
                <w:color w:val="0000FF"/>
                <w:w w:val="88"/>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338</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55,808</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Arial" w:cs="Arial" w:eastAsia="Arial" w:hAnsi="Arial"/>
                <w:sz w:val="18"/>
                <w:szCs w:val="18"/>
                <w:color w:val="0000FF"/>
                <w:w w:val="88"/>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0000FF"/>
                <w:w w:val="88"/>
              </w:rPr>
              <w:t>1,285</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57,093</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Arial" w:cs="Arial" w:eastAsia="Arial" w:hAnsi="Arial"/>
                <w:sz w:val="18"/>
                <w:szCs w:val="18"/>
                <w:color w:val="0000FF"/>
                <w:w w:val="88"/>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0000FF"/>
                <w:w w:val="88"/>
              </w:rPr>
              <w:t>1,324</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58,417</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67"/>
              <w:spacing w:after="0"/>
              <w:rPr>
                <w:sz w:val="20"/>
                <w:szCs w:val="20"/>
                <w:color w:val="auto"/>
              </w:rPr>
            </w:pPr>
            <w:r>
              <w:rPr>
                <w:rFonts w:ascii="Arial" w:cs="Arial" w:eastAsia="Arial" w:hAnsi="Arial"/>
                <w:sz w:val="18"/>
                <w:szCs w:val="18"/>
                <w:color w:val="0000FF"/>
                <w:w w:val="88"/>
              </w:rPr>
              <w:t>02/20/2019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0000FF"/>
                <w:w w:val="88"/>
              </w:rPr>
              <w:t>1,305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10.78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57,112</w:t>
            </w:r>
          </w:p>
        </w:tc>
        <w:tc>
          <w:tcPr>
            <w:tcW w:w="280" w:type="dxa"/>
            <w:vAlign w:val="bottom"/>
          </w:tcPr>
          <w:p>
            <w:pPr>
              <w:spacing w:after="0"/>
              <w:rPr>
                <w:sz w:val="23"/>
                <w:szCs w:val="23"/>
                <w:color w:val="auto"/>
              </w:rPr>
            </w:pPr>
          </w:p>
        </w:tc>
        <w:tc>
          <w:tcPr>
            <w:tcW w:w="700" w:type="dxa"/>
            <w:vAlign w:val="bottom"/>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8"/>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center"/>
              <w:ind w:right="3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775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02/20/2019</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775</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775</w:t>
            </w:r>
          </w:p>
        </w:tc>
        <w:tc>
          <w:tcPr>
            <w:tcW w:w="280" w:type="dxa"/>
            <w:vAlign w:val="bottom"/>
          </w:tcPr>
          <w:p>
            <w:pPr>
              <w:spacing w:after="0"/>
              <w:rPr>
                <w:sz w:val="5"/>
                <w:szCs w:val="5"/>
                <w:color w:val="auto"/>
              </w:rPr>
            </w:pPr>
          </w:p>
        </w:tc>
        <w:tc>
          <w:tcPr>
            <w:tcW w:w="700" w:type="dxa"/>
            <w:vAlign w:val="bottom"/>
            <w:vMerge w:val="restart"/>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02/20/2019</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338</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1,238</w:t>
            </w:r>
          </w:p>
        </w:tc>
        <w:tc>
          <w:tcPr>
            <w:tcW w:w="280" w:type="dxa"/>
            <w:vAlign w:val="bottom"/>
          </w:tcPr>
          <w:p>
            <w:pPr>
              <w:spacing w:after="0"/>
              <w:rPr>
                <w:sz w:val="5"/>
                <w:szCs w:val="5"/>
                <w:color w:val="auto"/>
              </w:rPr>
            </w:pPr>
          </w:p>
        </w:tc>
        <w:tc>
          <w:tcPr>
            <w:tcW w:w="700" w:type="dxa"/>
            <w:vAlign w:val="bottom"/>
            <w:vMerge w:val="restart"/>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02/20/2019</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1,285</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9,847</w:t>
            </w:r>
          </w:p>
        </w:tc>
        <w:tc>
          <w:tcPr>
            <w:tcW w:w="280" w:type="dxa"/>
            <w:vAlign w:val="bottom"/>
          </w:tcPr>
          <w:p>
            <w:pPr>
              <w:spacing w:after="0"/>
              <w:rPr>
                <w:sz w:val="5"/>
                <w:szCs w:val="5"/>
                <w:color w:val="auto"/>
              </w:rPr>
            </w:pPr>
          </w:p>
        </w:tc>
        <w:tc>
          <w:tcPr>
            <w:tcW w:w="700" w:type="dxa"/>
            <w:vAlign w:val="bottom"/>
            <w:vMerge w:val="restart"/>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1,324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02/20/2019</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1,324</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8"/>
              </w:rPr>
              <w:t>17,214</w:t>
            </w:r>
          </w:p>
        </w:tc>
        <w:tc>
          <w:tcPr>
            <w:tcW w:w="280" w:type="dxa"/>
            <w:vAlign w:val="bottom"/>
          </w:tcPr>
          <w:p>
            <w:pPr>
              <w:spacing w:after="0"/>
              <w:rPr>
                <w:sz w:val="5"/>
                <w:szCs w:val="5"/>
                <w:color w:val="auto"/>
              </w:rPr>
            </w:pPr>
          </w:p>
        </w:tc>
        <w:tc>
          <w:tcPr>
            <w:tcW w:w="700" w:type="dxa"/>
            <w:vAlign w:val="bottom"/>
            <w:vMerge w:val="restart"/>
          </w:tcPr>
          <w:p>
            <w:pPr>
              <w:jc w:val="right"/>
              <w:ind w:right="188"/>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3,756 shares purchased on November 30, 2018 under the Company's 2017 Employee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11, 2018, the Reporting Person was granted 21,186 Restricted Stock Units of which 3/48th of the total number of shares underlying the Restricted Stock Units granted vested on August 20, 2018,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Steven McPhail by Nicholas 02/21/2019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80"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2019-12-23T22:03:43Z</dcterms:created>
  <dcterms:modified xsi:type="dcterms:W3CDTF">2019-12-23T22:03:43Z</dcterms:modified>
</cp:coreProperties>
</file>