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9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9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29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Worthington Gajus Vincent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29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33,029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08/20/2015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1,625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7,291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778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1,254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12.52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6,815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1,625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08/20/2015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1,625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15,709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08/20/2015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778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10,626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directly by the Worthington Family Trust dated March 6, 2007, a trust for the benefit of the Reporting Person and the Reporting Person's spouse, for which the Reporting Person and the Reporting Person's spouse serve as trustees.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26,000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12, 2015, the Reporting Person was granted 12,440 Restricted Stock Units of which 4/48th of the total number of shares underlying the Restricted Stock Units granted vested on May 20, 2015,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29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76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2019-12-07T23:45:21Z</dcterms:created>
  <dcterms:modified xsi:type="dcterms:W3CDTF">2019-12-07T23:45:21Z</dcterms:modified>
</cp:coreProperties>
</file>