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with the Securities and Exchange Commission on June 28, 2019</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720" w:type="dxa"/>
        <w:tblCellMar>
          <w:top w:w="0" w:type="dxa"/>
          <w:left w:w="0" w:type="dxa"/>
          <w:bottom w:w="0" w:type="dxa"/>
          <w:right w:w="0" w:type="dxa"/>
        </w:tblCellMar>
      </w:tblPr>
      <w:tr>
        <w:trPr>
          <w:trHeight w:val="253"/>
        </w:trPr>
        <w:tc>
          <w:tcPr>
            <w:tcW w:w="2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160" w:type="dxa"/>
            <w:vAlign w:val="bottom"/>
            <w:gridSpan w:val="2"/>
          </w:tcPr>
          <w:p>
            <w:pPr>
              <w:jc w:val="center"/>
              <w:ind w:right="3210"/>
              <w:spacing w:after="0"/>
              <w:rPr>
                <w:sz w:val="20"/>
                <w:szCs w:val="20"/>
                <w:color w:val="auto"/>
              </w:rPr>
            </w:pPr>
            <w:r>
              <w:rPr>
                <w:rFonts w:ascii="Arial" w:cs="Arial" w:eastAsia="Arial" w:hAnsi="Arial"/>
                <w:sz w:val="22"/>
                <w:szCs w:val="22"/>
                <w:b w:val="1"/>
                <w:bCs w:val="1"/>
                <w:color w:val="auto"/>
                <w:w w:val="97"/>
              </w:rPr>
              <w:t>UNITED STATES</w:t>
            </w:r>
          </w:p>
        </w:tc>
      </w:tr>
      <w:tr>
        <w:trPr>
          <w:trHeight w:val="252"/>
        </w:trPr>
        <w:tc>
          <w:tcPr>
            <w:tcW w:w="2520" w:type="dxa"/>
            <w:vAlign w:val="bottom"/>
          </w:tcPr>
          <w:p>
            <w:pPr>
              <w:spacing w:after="0"/>
              <w:rPr>
                <w:sz w:val="21"/>
                <w:szCs w:val="21"/>
                <w:color w:val="auto"/>
              </w:rPr>
            </w:pPr>
          </w:p>
        </w:tc>
        <w:tc>
          <w:tcPr>
            <w:tcW w:w="7200" w:type="dxa"/>
            <w:vAlign w:val="bottom"/>
            <w:gridSpan w:val="3"/>
          </w:tcPr>
          <w:p>
            <w:pPr>
              <w:jc w:val="center"/>
              <w:ind w:right="2150"/>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234"/>
        </w:trPr>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6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w w:val="91"/>
              </w:rPr>
              <w:t>Washington, D.C. 20549</w:t>
            </w:r>
          </w:p>
        </w:tc>
      </w:tr>
      <w:tr>
        <w:trPr>
          <w:trHeight w:val="216"/>
        </w:trPr>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300" w:type="dxa"/>
            <w:vAlign w:val="bottom"/>
          </w:tcPr>
          <w:p>
            <w:pPr>
              <w:spacing w:after="0"/>
              <w:rPr>
                <w:sz w:val="18"/>
                <w:szCs w:val="18"/>
                <w:color w:val="auto"/>
              </w:rPr>
            </w:pPr>
          </w:p>
        </w:tc>
      </w:tr>
      <w:tr>
        <w:trPr>
          <w:trHeight w:val="439"/>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60" w:type="dxa"/>
            <w:vAlign w:val="bottom"/>
            <w:gridSpan w:val="2"/>
          </w:tcPr>
          <w:p>
            <w:pPr>
              <w:jc w:val="center"/>
              <w:ind w:right="3210"/>
              <w:spacing w:after="0"/>
              <w:rPr>
                <w:sz w:val="20"/>
                <w:szCs w:val="20"/>
                <w:color w:val="auto"/>
              </w:rPr>
            </w:pPr>
            <w:r>
              <w:rPr>
                <w:rFonts w:ascii="Arial" w:cs="Arial" w:eastAsia="Arial" w:hAnsi="Arial"/>
                <w:sz w:val="22"/>
                <w:szCs w:val="22"/>
                <w:b w:val="1"/>
                <w:bCs w:val="1"/>
                <w:color w:val="auto"/>
                <w:w w:val="96"/>
              </w:rPr>
              <w:t>FORM S-8</w:t>
            </w:r>
          </w:p>
        </w:tc>
      </w:tr>
      <w:tr>
        <w:trPr>
          <w:trHeight w:val="256"/>
        </w:trPr>
        <w:tc>
          <w:tcPr>
            <w:tcW w:w="2520" w:type="dxa"/>
            <w:vAlign w:val="bottom"/>
          </w:tcPr>
          <w:p>
            <w:pPr>
              <w:spacing w:after="0"/>
              <w:rPr>
                <w:sz w:val="22"/>
                <w:szCs w:val="22"/>
                <w:color w:val="auto"/>
              </w:rPr>
            </w:pPr>
          </w:p>
        </w:tc>
        <w:tc>
          <w:tcPr>
            <w:tcW w:w="7200" w:type="dxa"/>
            <w:vAlign w:val="bottom"/>
            <w:gridSpan w:val="3"/>
          </w:tcPr>
          <w:p>
            <w:pPr>
              <w:jc w:val="center"/>
              <w:ind w:right="2150"/>
              <w:spacing w:after="0"/>
              <w:rPr>
                <w:sz w:val="20"/>
                <w:szCs w:val="20"/>
                <w:color w:val="auto"/>
              </w:rPr>
            </w:pPr>
            <w:r>
              <w:rPr>
                <w:rFonts w:ascii="Arial" w:cs="Arial" w:eastAsia="Arial" w:hAnsi="Arial"/>
                <w:sz w:val="22"/>
                <w:szCs w:val="22"/>
                <w:b w:val="1"/>
                <w:bCs w:val="1"/>
                <w:color w:val="auto"/>
                <w:w w:val="99"/>
              </w:rPr>
              <w:t>REGISTRATION STATEMENT</w:t>
            </w:r>
          </w:p>
        </w:tc>
      </w:tr>
      <w:tr>
        <w:trPr>
          <w:trHeight w:val="216"/>
        </w:trPr>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gridSpan w:val="2"/>
          </w:tcPr>
          <w:p>
            <w:pPr>
              <w:jc w:val="center"/>
              <w:ind w:right="3210"/>
              <w:spacing w:after="0"/>
              <w:rPr>
                <w:sz w:val="20"/>
                <w:szCs w:val="20"/>
                <w:color w:val="auto"/>
              </w:rPr>
            </w:pPr>
            <w:r>
              <w:rPr>
                <w:rFonts w:ascii="Arial" w:cs="Arial" w:eastAsia="Arial" w:hAnsi="Arial"/>
                <w:sz w:val="18"/>
                <w:szCs w:val="18"/>
                <w:b w:val="1"/>
                <w:bCs w:val="1"/>
                <w:i w:val="1"/>
                <w:iCs w:val="1"/>
                <w:color w:val="auto"/>
                <w:w w:val="88"/>
              </w:rPr>
              <w:t>Under</w:t>
            </w:r>
          </w:p>
        </w:tc>
      </w:tr>
      <w:tr>
        <w:trPr>
          <w:trHeight w:val="230"/>
        </w:trPr>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60" w:type="dxa"/>
            <w:vAlign w:val="bottom"/>
            <w:gridSpan w:val="2"/>
          </w:tcPr>
          <w:p>
            <w:pPr>
              <w:jc w:val="center"/>
              <w:ind w:right="3190"/>
              <w:spacing w:after="0"/>
              <w:rPr>
                <w:sz w:val="20"/>
                <w:szCs w:val="20"/>
                <w:color w:val="auto"/>
              </w:rPr>
            </w:pPr>
            <w:r>
              <w:rPr>
                <w:rFonts w:ascii="Arial" w:cs="Arial" w:eastAsia="Arial" w:hAnsi="Arial"/>
                <w:sz w:val="18"/>
                <w:szCs w:val="18"/>
                <w:b w:val="1"/>
                <w:bCs w:val="1"/>
                <w:i w:val="1"/>
                <w:iCs w:val="1"/>
                <w:color w:val="auto"/>
                <w:w w:val="87"/>
              </w:rPr>
              <w:t>The Securities Act of 1933</w:t>
            </w:r>
          </w:p>
        </w:tc>
      </w:tr>
      <w:tr>
        <w:trPr>
          <w:trHeight w:val="216"/>
        </w:trPr>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300" w:type="dxa"/>
            <w:vAlign w:val="bottom"/>
          </w:tcPr>
          <w:p>
            <w:pPr>
              <w:spacing w:after="0"/>
              <w:rPr>
                <w:sz w:val="18"/>
                <w:szCs w:val="18"/>
                <w:color w:val="auto"/>
              </w:rPr>
            </w:pPr>
          </w:p>
        </w:tc>
      </w:tr>
      <w:tr>
        <w:trPr>
          <w:trHeight w:val="556"/>
        </w:trPr>
        <w:tc>
          <w:tcPr>
            <w:tcW w:w="2520" w:type="dxa"/>
            <w:vAlign w:val="bottom"/>
          </w:tcPr>
          <w:p>
            <w:pPr>
              <w:spacing w:after="0"/>
              <w:rPr>
                <w:sz w:val="24"/>
                <w:szCs w:val="24"/>
                <w:color w:val="auto"/>
              </w:rPr>
            </w:pPr>
          </w:p>
        </w:tc>
        <w:tc>
          <w:tcPr>
            <w:tcW w:w="7200" w:type="dxa"/>
            <w:vAlign w:val="bottom"/>
            <w:gridSpan w:val="3"/>
          </w:tcPr>
          <w:p>
            <w:pPr>
              <w:jc w:val="center"/>
              <w:ind w:right="2170"/>
              <w:spacing w:after="0"/>
              <w:rPr>
                <w:sz w:val="20"/>
                <w:szCs w:val="20"/>
                <w:color w:val="auto"/>
              </w:rPr>
            </w:pPr>
            <w:r>
              <w:rPr>
                <w:rFonts w:ascii="Arial" w:cs="Arial" w:eastAsia="Arial" w:hAnsi="Arial"/>
                <w:sz w:val="29"/>
                <w:szCs w:val="29"/>
                <w:b w:val="1"/>
                <w:bCs w:val="1"/>
                <w:color w:val="auto"/>
              </w:rPr>
              <w:t>FLUIDIGM CORPORATION</w:t>
            </w:r>
          </w:p>
        </w:tc>
      </w:tr>
      <w:tr>
        <w:trPr>
          <w:trHeight w:val="234"/>
        </w:trPr>
        <w:tc>
          <w:tcPr>
            <w:tcW w:w="2520" w:type="dxa"/>
            <w:vAlign w:val="bottom"/>
          </w:tcPr>
          <w:p>
            <w:pPr>
              <w:spacing w:after="0"/>
              <w:rPr>
                <w:sz w:val="20"/>
                <w:szCs w:val="20"/>
                <w:color w:val="auto"/>
              </w:rPr>
            </w:pPr>
          </w:p>
        </w:tc>
        <w:tc>
          <w:tcPr>
            <w:tcW w:w="7200" w:type="dxa"/>
            <w:vAlign w:val="bottom"/>
            <w:gridSpan w:val="3"/>
          </w:tcPr>
          <w:p>
            <w:pPr>
              <w:jc w:val="center"/>
              <w:ind w:right="217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16"/>
        </w:trPr>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300" w:type="dxa"/>
            <w:vAlign w:val="bottom"/>
          </w:tcPr>
          <w:p>
            <w:pPr>
              <w:spacing w:after="0"/>
              <w:rPr>
                <w:sz w:val="18"/>
                <w:szCs w:val="18"/>
                <w:color w:val="auto"/>
              </w:rPr>
            </w:pPr>
          </w:p>
        </w:tc>
      </w:tr>
      <w:tr>
        <w:trPr>
          <w:trHeight w:val="421"/>
        </w:trPr>
        <w:tc>
          <w:tcPr>
            <w:tcW w:w="25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Delaware</w:t>
            </w:r>
          </w:p>
        </w:tc>
        <w:tc>
          <w:tcPr>
            <w:tcW w:w="7200" w:type="dxa"/>
            <w:vAlign w:val="bottom"/>
            <w:gridSpan w:val="3"/>
          </w:tcPr>
          <w:p>
            <w:pPr>
              <w:jc w:val="center"/>
              <w:ind w:left="5298"/>
              <w:spacing w:after="0"/>
              <w:rPr>
                <w:sz w:val="20"/>
                <w:szCs w:val="20"/>
                <w:color w:val="auto"/>
              </w:rPr>
            </w:pPr>
            <w:r>
              <w:rPr>
                <w:rFonts w:ascii="Arial" w:cs="Arial" w:eastAsia="Arial" w:hAnsi="Arial"/>
                <w:sz w:val="18"/>
                <w:szCs w:val="18"/>
                <w:b w:val="1"/>
                <w:bCs w:val="1"/>
                <w:color w:val="auto"/>
                <w:w w:val="91"/>
              </w:rPr>
              <w:t>77-0513190</w:t>
            </w:r>
          </w:p>
        </w:tc>
      </w:tr>
      <w:tr>
        <w:trPr>
          <w:trHeight w:val="216"/>
        </w:trPr>
        <w:tc>
          <w:tcPr>
            <w:tcW w:w="25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w:t>
            </w:r>
          </w:p>
        </w:tc>
        <w:tc>
          <w:tcPr>
            <w:tcW w:w="1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300" w:type="dxa"/>
            <w:vAlign w:val="bottom"/>
          </w:tcPr>
          <w:p>
            <w:pPr>
              <w:jc w:val="center"/>
              <w:ind w:left="14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5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incorporation or organization)</w:t>
            </w:r>
          </w:p>
        </w:tc>
        <w:tc>
          <w:tcPr>
            <w:tcW w:w="1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300" w:type="dxa"/>
            <w:vAlign w:val="bottom"/>
          </w:tcPr>
          <w:p>
            <w:pPr>
              <w:jc w:val="center"/>
              <w:ind w:left="1430"/>
              <w:spacing w:after="0"/>
              <w:rPr>
                <w:sz w:val="20"/>
                <w:szCs w:val="20"/>
                <w:color w:val="auto"/>
              </w:rPr>
            </w:pPr>
            <w:r>
              <w:rPr>
                <w:rFonts w:ascii="Arial" w:cs="Arial" w:eastAsia="Arial" w:hAnsi="Arial"/>
                <w:sz w:val="18"/>
                <w:szCs w:val="18"/>
                <w:b w:val="1"/>
                <w:bCs w:val="1"/>
                <w:color w:val="auto"/>
                <w:w w:val="93"/>
              </w:rPr>
              <w:t>Identification Number)</w:t>
            </w:r>
          </w:p>
        </w:tc>
      </w:tr>
      <w:tr>
        <w:trPr>
          <w:trHeight w:val="216"/>
        </w:trPr>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300" w:type="dxa"/>
            <w:vAlign w:val="bottom"/>
          </w:tcPr>
          <w:p>
            <w:pPr>
              <w:spacing w:after="0"/>
              <w:rPr>
                <w:sz w:val="18"/>
                <w:szCs w:val="18"/>
                <w:color w:val="auto"/>
              </w:rPr>
            </w:pPr>
          </w:p>
        </w:tc>
      </w:tr>
      <w:tr>
        <w:trPr>
          <w:trHeight w:val="421"/>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6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w w:val="89"/>
              </w:rPr>
              <w:t>7000 Shoreline Court, Suite 100</w:t>
            </w:r>
          </w:p>
        </w:tc>
      </w:tr>
      <w:tr>
        <w:trPr>
          <w:trHeight w:val="216"/>
        </w:trPr>
        <w:tc>
          <w:tcPr>
            <w:tcW w:w="2520" w:type="dxa"/>
            <w:vAlign w:val="bottom"/>
          </w:tcPr>
          <w:p>
            <w:pPr>
              <w:spacing w:after="0"/>
              <w:rPr>
                <w:sz w:val="18"/>
                <w:szCs w:val="18"/>
                <w:color w:val="auto"/>
              </w:rPr>
            </w:pPr>
          </w:p>
        </w:tc>
        <w:tc>
          <w:tcPr>
            <w:tcW w:w="7200" w:type="dxa"/>
            <w:vAlign w:val="bottom"/>
            <w:gridSpan w:val="3"/>
          </w:tcPr>
          <w:p>
            <w:pPr>
              <w:jc w:val="center"/>
              <w:ind w:right="2150"/>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216"/>
        </w:trPr>
        <w:tc>
          <w:tcPr>
            <w:tcW w:w="2520" w:type="dxa"/>
            <w:vAlign w:val="bottom"/>
          </w:tcPr>
          <w:p>
            <w:pPr>
              <w:spacing w:after="0"/>
              <w:rPr>
                <w:sz w:val="18"/>
                <w:szCs w:val="18"/>
                <w:color w:val="auto"/>
              </w:rPr>
            </w:pPr>
          </w:p>
        </w:tc>
        <w:tc>
          <w:tcPr>
            <w:tcW w:w="3900" w:type="dxa"/>
            <w:vAlign w:val="bottom"/>
            <w:gridSpan w:val="2"/>
          </w:tcPr>
          <w:p>
            <w:pPr>
              <w:jc w:val="center"/>
              <w:ind w:left="958"/>
              <w:spacing w:after="0"/>
              <w:rPr>
                <w:sz w:val="20"/>
                <w:szCs w:val="20"/>
                <w:color w:val="auto"/>
              </w:rPr>
            </w:pPr>
            <w:r>
              <w:rPr>
                <w:rFonts w:ascii="Arial" w:cs="Arial" w:eastAsia="Arial" w:hAnsi="Arial"/>
                <w:sz w:val="18"/>
                <w:szCs w:val="18"/>
                <w:b w:val="1"/>
                <w:bCs w:val="1"/>
                <w:color w:val="auto"/>
                <w:w w:val="90"/>
              </w:rPr>
              <w:t>(650) 266-6000</w:t>
            </w:r>
          </w:p>
        </w:tc>
        <w:tc>
          <w:tcPr>
            <w:tcW w:w="33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7200" w:type="dxa"/>
            <w:vAlign w:val="bottom"/>
            <w:gridSpan w:val="3"/>
          </w:tcPr>
          <w:p>
            <w:pPr>
              <w:jc w:val="center"/>
              <w:ind w:right="217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r>
      <w:tr>
        <w:trPr>
          <w:trHeight w:val="216"/>
        </w:trPr>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300" w:type="dxa"/>
            <w:vAlign w:val="bottom"/>
          </w:tcPr>
          <w:p>
            <w:pPr>
              <w:spacing w:after="0"/>
              <w:rPr>
                <w:sz w:val="18"/>
                <w:szCs w:val="18"/>
                <w:color w:val="auto"/>
              </w:rPr>
            </w:pPr>
          </w:p>
        </w:tc>
      </w:tr>
      <w:tr>
        <w:trPr>
          <w:trHeight w:val="452"/>
        </w:trPr>
        <w:tc>
          <w:tcPr>
            <w:tcW w:w="2520" w:type="dxa"/>
            <w:vAlign w:val="bottom"/>
          </w:tcPr>
          <w:p>
            <w:pPr>
              <w:spacing w:after="0"/>
              <w:rPr>
                <w:sz w:val="24"/>
                <w:szCs w:val="24"/>
                <w:color w:val="auto"/>
              </w:rPr>
            </w:pPr>
          </w:p>
        </w:tc>
        <w:tc>
          <w:tcPr>
            <w:tcW w:w="7200" w:type="dxa"/>
            <w:vAlign w:val="bottom"/>
            <w:gridSpan w:val="3"/>
          </w:tcPr>
          <w:p>
            <w:pPr>
              <w:jc w:val="center"/>
              <w:ind w:right="2150"/>
              <w:spacing w:after="0"/>
              <w:rPr>
                <w:sz w:val="20"/>
                <w:szCs w:val="20"/>
                <w:color w:val="auto"/>
              </w:rPr>
            </w:pPr>
            <w:r>
              <w:rPr>
                <w:rFonts w:ascii="Arial" w:cs="Arial" w:eastAsia="Arial" w:hAnsi="Arial"/>
                <w:sz w:val="22"/>
                <w:szCs w:val="22"/>
                <w:b w:val="1"/>
                <w:bCs w:val="1"/>
                <w:color w:val="auto"/>
                <w:w w:val="90"/>
              </w:rPr>
              <w:t>Fluidigm Corporation 2011 Equity Incentive Plan,</w:t>
            </w:r>
          </w:p>
        </w:tc>
      </w:tr>
      <w:tr>
        <w:trPr>
          <w:trHeight w:val="252"/>
        </w:trPr>
        <w:tc>
          <w:tcPr>
            <w:tcW w:w="2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160" w:type="dxa"/>
            <w:vAlign w:val="bottom"/>
            <w:gridSpan w:val="2"/>
          </w:tcPr>
          <w:p>
            <w:pPr>
              <w:jc w:val="center"/>
              <w:ind w:right="3190"/>
              <w:spacing w:after="0"/>
              <w:rPr>
                <w:sz w:val="20"/>
                <w:szCs w:val="20"/>
                <w:color w:val="auto"/>
              </w:rPr>
            </w:pPr>
            <w:r>
              <w:rPr>
                <w:rFonts w:ascii="Arial" w:cs="Arial" w:eastAsia="Arial" w:hAnsi="Arial"/>
                <w:sz w:val="22"/>
                <w:szCs w:val="22"/>
                <w:b w:val="1"/>
                <w:bCs w:val="1"/>
                <w:color w:val="auto"/>
                <w:w w:val="87"/>
              </w:rPr>
              <w:t>As Amended and Restated</w:t>
            </w:r>
          </w:p>
        </w:tc>
      </w:tr>
      <w:tr>
        <w:trPr>
          <w:trHeight w:val="234"/>
        </w:trPr>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60" w:type="dxa"/>
            <w:vAlign w:val="bottom"/>
            <w:gridSpan w:val="2"/>
          </w:tcPr>
          <w:p>
            <w:pPr>
              <w:jc w:val="center"/>
              <w:ind w:right="3190"/>
              <w:spacing w:after="0"/>
              <w:rPr>
                <w:sz w:val="20"/>
                <w:szCs w:val="20"/>
                <w:color w:val="auto"/>
              </w:rPr>
            </w:pPr>
            <w:r>
              <w:rPr>
                <w:rFonts w:ascii="Arial" w:cs="Arial" w:eastAsia="Arial" w:hAnsi="Arial"/>
                <w:sz w:val="18"/>
                <w:szCs w:val="18"/>
                <w:b w:val="1"/>
                <w:bCs w:val="1"/>
                <w:color w:val="auto"/>
                <w:w w:val="92"/>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Christopher Linthwaite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Nicholas Khadder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266-6000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F. Kornegay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Zachary B. Myers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493-9300</w:t>
      </w:r>
    </w:p>
    <w:p>
      <w:pPr>
        <w:spacing w:after="0" w:line="211"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jc w:val="right"/>
              <w:ind w:right="110"/>
              <w:spacing w:after="0"/>
              <w:rPr>
                <w:sz w:val="20"/>
                <w:szCs w:val="20"/>
                <w:color w:val="auto"/>
              </w:rPr>
            </w:pPr>
            <w:r>
              <w:rPr>
                <w:rFonts w:ascii="Arial" w:cs="Arial" w:eastAsia="Arial" w:hAnsi="Arial"/>
                <w:sz w:val="18"/>
                <w:szCs w:val="18"/>
                <w:color w:val="auto"/>
              </w:rPr>
              <w:t>Accelerated filer</w:t>
            </w:r>
          </w:p>
        </w:tc>
        <w:tc>
          <w:tcPr>
            <w:tcW w:w="36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jc w:val="right"/>
              <w:ind w:right="11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83"/>
        </w:trPr>
        <w:tc>
          <w:tcPr>
            <w:tcW w:w="1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380" w:type="dxa"/>
            <w:vAlign w:val="bottom"/>
          </w:tcPr>
          <w:p>
            <w:pPr>
              <w:jc w:val="right"/>
              <w:ind w:right="11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420"/>
          </w:cols>
          <w:pgMar w:left="240" w:top="472" w:right="239" w:bottom="0" w:gutter="0" w:footer="0" w:header="0"/>
        </w:sectPr>
      </w:pPr>
    </w:p>
    <w:p>
      <w:pPr>
        <w:spacing w:after="0" w:line="395"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Title of Securities to be Registered</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p>
      <w:pPr>
        <w:ind w:left="1220"/>
        <w:spacing w:after="0"/>
        <w:tabs>
          <w:tab w:leader="none" w:pos="2820" w:val="left"/>
        </w:tabs>
        <w:rPr>
          <w:sz w:val="20"/>
          <w:szCs w:val="20"/>
          <w:color w:val="auto"/>
        </w:rPr>
      </w:pPr>
      <w:r>
        <w:rPr>
          <w:rFonts w:ascii="Arial" w:cs="Arial" w:eastAsia="Arial" w:hAnsi="Arial"/>
          <w:sz w:val="18"/>
          <w:szCs w:val="18"/>
          <w:b w:val="1"/>
          <w:bCs w:val="1"/>
          <w:color w:val="auto"/>
        </w:rPr>
        <w:t>Amount</w:t>
      </w:r>
      <w:r>
        <w:rPr>
          <w:sz w:val="20"/>
          <w:szCs w:val="20"/>
          <w:color w:val="auto"/>
        </w:rPr>
        <w:tab/>
      </w:r>
      <w:r>
        <w:rPr>
          <w:rFonts w:ascii="Arial" w:cs="Arial" w:eastAsia="Arial" w:hAnsi="Arial"/>
          <w:sz w:val="18"/>
          <w:szCs w:val="18"/>
          <w:b w:val="1"/>
          <w:bCs w:val="1"/>
          <w:color w:val="auto"/>
        </w:rPr>
        <w:t>Proposed</w:t>
      </w:r>
    </w:p>
    <w:p>
      <w:pPr>
        <w:spacing w:after="0" w:line="9" w:lineRule="exact"/>
        <w:rPr>
          <w:sz w:val="24"/>
          <w:szCs w:val="24"/>
          <w:color w:val="auto"/>
        </w:rPr>
      </w:pPr>
    </w:p>
    <w:p>
      <w:pPr>
        <w:ind w:left="820"/>
        <w:spacing w:after="0"/>
        <w:tabs>
          <w:tab w:leader="none" w:pos="2440" w:val="left"/>
        </w:tabs>
        <w:rPr>
          <w:sz w:val="20"/>
          <w:szCs w:val="20"/>
          <w:color w:val="auto"/>
        </w:rPr>
      </w:pPr>
      <w:r>
        <w:rPr>
          <w:rFonts w:ascii="Arial" w:cs="Arial" w:eastAsia="Arial" w:hAnsi="Arial"/>
          <w:sz w:val="18"/>
          <w:szCs w:val="18"/>
          <w:b w:val="1"/>
          <w:bCs w:val="1"/>
          <w:color w:val="auto"/>
        </w:rPr>
        <w:t>to be Registered(1)</w:t>
      </w:r>
      <w:r>
        <w:rPr>
          <w:sz w:val="20"/>
          <w:szCs w:val="20"/>
          <w:color w:val="auto"/>
        </w:rPr>
        <w:tab/>
      </w:r>
      <w:r>
        <w:rPr>
          <w:rFonts w:ascii="Arial" w:cs="Arial" w:eastAsia="Arial" w:hAnsi="Arial"/>
          <w:sz w:val="17"/>
          <w:szCs w:val="17"/>
          <w:b w:val="1"/>
          <w:bCs w:val="1"/>
          <w:color w:val="auto"/>
        </w:rPr>
        <w:t>Maximum Offering</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ind w:left="460"/>
        <w:spacing w:after="0"/>
        <w:tabs>
          <w:tab w:leader="none" w:pos="2020" w:val="left"/>
        </w:tabs>
        <w:rPr>
          <w:sz w:val="20"/>
          <w:szCs w:val="20"/>
          <w:color w:val="auto"/>
        </w:rPr>
      </w:pPr>
      <w:r>
        <w:rPr>
          <w:rFonts w:ascii="Arial" w:cs="Arial" w:eastAsia="Arial" w:hAnsi="Arial"/>
          <w:sz w:val="18"/>
          <w:szCs w:val="18"/>
          <w:b w:val="1"/>
          <w:bCs w:val="1"/>
          <w:color w:val="auto"/>
        </w:rPr>
        <w:t>Proposed</w:t>
      </w:r>
      <w:r>
        <w:rPr>
          <w:sz w:val="20"/>
          <w:szCs w:val="20"/>
          <w:color w:val="auto"/>
        </w:rPr>
        <w:tab/>
      </w:r>
      <w:r>
        <w:rPr>
          <w:rFonts w:ascii="Arial" w:cs="Arial" w:eastAsia="Arial" w:hAnsi="Arial"/>
          <w:sz w:val="18"/>
          <w:szCs w:val="18"/>
          <w:b w:val="1"/>
          <w:bCs w:val="1"/>
          <w:color w:val="auto"/>
        </w:rPr>
        <w:t>Amount of</w:t>
      </w:r>
    </w:p>
    <w:p>
      <w:pPr>
        <w:spacing w:after="0" w:line="27" w:lineRule="exact"/>
        <w:rPr>
          <w:sz w:val="24"/>
          <w:szCs w:val="24"/>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Maximum Aggregate</w:t>
      </w:r>
      <w:r>
        <w:rPr>
          <w:sz w:val="20"/>
          <w:szCs w:val="20"/>
          <w:color w:val="auto"/>
        </w:rPr>
        <w:tab/>
      </w:r>
      <w:r>
        <w:rPr>
          <w:rFonts w:ascii="Arial" w:cs="Arial" w:eastAsia="Arial" w:hAnsi="Arial"/>
          <w:sz w:val="16"/>
          <w:szCs w:val="16"/>
          <w:b w:val="1"/>
          <w:bCs w:val="1"/>
          <w:color w:val="auto"/>
        </w:rPr>
        <w:t>Registration Fee</w:t>
      </w:r>
    </w:p>
    <w:p>
      <w:pPr>
        <w:sectPr>
          <w:pgSz w:w="11900" w:h="16838" w:orient="portrait"/>
          <w:cols w:equalWidth="0" w:num="3">
            <w:col w:w="3680" w:space="300"/>
            <w:col w:w="3960" w:space="300"/>
            <w:col w:w="3180"/>
          </w:cols>
          <w:pgMar w:left="240" w:top="472" w:right="239" w:bottom="0" w:gutter="0" w:footer="0" w:header="0"/>
          <w:type w:val="continuous"/>
        </w:sectPr>
      </w:pPr>
    </w:p>
    <w:bookmarkStart w:id="1" w:name="page2"/>
    <w:bookmarkEnd w:id="1"/>
    <w:p>
      <w:pPr>
        <w:spacing w:after="0" w:line="234" w:lineRule="exact"/>
        <w:rPr>
          <w:sz w:val="20"/>
          <w:szCs w:val="20"/>
          <w:color w:val="auto"/>
        </w:rPr>
      </w:pPr>
    </w:p>
    <w:p>
      <w:pPr>
        <w:ind w:left="120" w:hanging="102"/>
        <w:spacing w:after="0" w:line="271" w:lineRule="auto"/>
        <w:rPr>
          <w:sz w:val="20"/>
          <w:szCs w:val="20"/>
          <w:color w:val="auto"/>
        </w:rPr>
      </w:pPr>
      <w:r>
        <w:rPr>
          <w:rFonts w:ascii="Arial" w:cs="Arial" w:eastAsia="Arial" w:hAnsi="Arial"/>
          <w:sz w:val="17"/>
          <w:szCs w:val="17"/>
          <w:color w:val="auto"/>
        </w:rPr>
        <w:t>Common Stock, $0.001 par value per share, reserved for issuance pursuant to the Fluidigm Corporation 2011 Equity Incentive Plan, as Amended and Restated</w:t>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Price Per Share</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Offering Price</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4,950,644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11.86(2)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58,714,637.84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7,116.21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4,950,644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11.86(2)</w:t>
            </w:r>
          </w:p>
        </w:tc>
        <w:tc>
          <w:tcPr>
            <w:tcW w:w="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58,714,637.84</w:t>
            </w:r>
          </w:p>
        </w:tc>
        <w:tc>
          <w:tcPr>
            <w:tcW w:w="180" w:type="dxa"/>
            <w:vAlign w:val="bottom"/>
            <w:vMerge w:val="continue"/>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7,116.21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-608330</wp:posOffset>
            </wp:positionV>
            <wp:extent cx="724662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420"/>
            <w:col w:w="6620"/>
          </w:cols>
          <w:pgMar w:left="240" w:top="121" w:right="239" w:bottom="1440" w:gutter="0" w:footer="0" w:header="0"/>
        </w:sectPr>
      </w:pPr>
    </w:p>
    <w:p>
      <w:pPr>
        <w:spacing w:after="0" w:line="2" w:lineRule="exact"/>
        <w:rPr>
          <w:sz w:val="20"/>
          <w:szCs w:val="20"/>
          <w:color w:val="auto"/>
        </w:rPr>
      </w:pPr>
    </w:p>
    <w:p>
      <w:pPr>
        <w:jc w:val="both"/>
        <w:ind w:left="34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this Registration Statement shall also cover any additional shares of the Registrant’s common stock that become issuable under the Fluidigm Corporation 2011 Equity Incentive Plan, as amended and restated, by reason of any stock dividend, stock split, recapitalization or other similar transaction effected without receipt of consideration that increases the number of the Registrant’s outstanding shares of common stock.</w:t>
      </w:r>
    </w:p>
    <w:p>
      <w:pPr>
        <w:spacing w:after="0" w:line="2"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total registration fee on the basis of $11.86, the average of the high and low prices of the Registrant’s common stock as reported on the Nasdaq Global Select Market on June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This Registration Statement is filed by Fluidigm Corporation (the “Registrant”) for the purpose of registering an additional 4,950,644 shares of common stock of the Registrant that were reserved for issuance under the Fluidigm Corporation 2011 Equity Incentive Plan, as amended and restated.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 covered by this Registration Statement as specified by Rule 428(b)(1) under the Securities 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“Commission”):</w:t>
      </w:r>
    </w:p>
    <w:p>
      <w:pPr>
        <w:spacing w:after="0" w:line="211"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Form 10-K for the fiscal year ended December 31, 2018, filed with the Commission on </w:t>
      </w:r>
      <w:hyperlink r:id="rId16">
        <w:r>
          <w:rPr>
            <w:rFonts w:ascii="Arial" w:cs="Arial" w:eastAsia="Arial" w:hAnsi="Arial"/>
            <w:sz w:val="16"/>
            <w:szCs w:val="16"/>
            <w:u w:val="single" w:color="auto"/>
            <w:color w:val="0000EE"/>
          </w:rPr>
          <w:t>March 18, 2019</w:t>
        </w:r>
      </w:hyperlink>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Quarterly Report on Form 10-Q for the three months ended March 31, 2019, filed with the Commission on </w:t>
      </w:r>
      <w:hyperlink r:id="rId17">
        <w:r>
          <w:rPr>
            <w:rFonts w:ascii="Arial" w:cs="Arial" w:eastAsia="Arial" w:hAnsi="Arial"/>
            <w:sz w:val="16"/>
            <w:szCs w:val="16"/>
            <w:u w:val="single" w:color="auto"/>
            <w:color w:val="0000EE"/>
          </w:rPr>
          <w:t>May 7, 2019</w:t>
        </w:r>
      </w:hyperlink>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300" w:right="680" w:hanging="644"/>
        <w:spacing w:after="0" w:line="34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Definitive Proxy Statement on Schedule 14A, filed with the Commission on </w:t>
      </w:r>
      <w:hyperlink r:id="rId18">
        <w:r>
          <w:rPr>
            <w:rFonts w:ascii="Arial" w:cs="Arial" w:eastAsia="Arial" w:hAnsi="Arial"/>
            <w:sz w:val="16"/>
            <w:szCs w:val="16"/>
            <w:u w:val="single" w:color="auto"/>
            <w:color w:val="0000EE"/>
          </w:rPr>
          <w:t>April 23, 2019</w:t>
        </w:r>
      </w:hyperlink>
      <w:r>
        <w:rPr>
          <w:rFonts w:ascii="Arial" w:cs="Arial" w:eastAsia="Arial" w:hAnsi="Arial"/>
          <w:sz w:val="16"/>
          <w:szCs w:val="16"/>
          <w:color w:val="auto"/>
        </w:rPr>
        <w:t>, but only to the extent incorporated by reference in the Registrant’s Annual Report on Form 10-K for the fiscal year ended December 31, 2018;</w:t>
      </w:r>
    </w:p>
    <w:p>
      <w:pPr>
        <w:spacing w:after="0" w:line="123" w:lineRule="exact"/>
        <w:rPr>
          <w:rFonts w:ascii="Arial" w:cs="Arial" w:eastAsia="Arial" w:hAnsi="Arial"/>
          <w:sz w:val="16"/>
          <w:szCs w:val="16"/>
          <w:color w:val="auto"/>
        </w:rPr>
      </w:pPr>
    </w:p>
    <w:p>
      <w:pPr>
        <w:ind w:left="1300" w:right="340" w:hanging="644"/>
        <w:spacing w:after="0" w:line="30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All other reports filed with the Commission pursuant to Section 13(a) or 15(d) of the Securities Exchange Act of 1934, as amended (the “Exchange Act”), since the end of the fiscal year covered by the Registrant’s Annual Report referred to in (1) above; and</w:t>
      </w:r>
    </w:p>
    <w:p>
      <w:pPr>
        <w:spacing w:after="0" w:line="146" w:lineRule="exact"/>
        <w:rPr>
          <w:rFonts w:ascii="Arial" w:cs="Arial" w:eastAsia="Arial" w:hAnsi="Arial"/>
          <w:sz w:val="17"/>
          <w:szCs w:val="17"/>
          <w:color w:val="auto"/>
        </w:rPr>
      </w:pPr>
    </w:p>
    <w:p>
      <w:pPr>
        <w:ind w:left="130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Statements on Form 8-A (File No. 001-34180) filed with the Commission on </w:t>
      </w:r>
      <w:hyperlink r:id="rId19">
        <w:r>
          <w:rPr>
            <w:rFonts w:ascii="Arial" w:cs="Arial" w:eastAsia="Arial" w:hAnsi="Arial"/>
            <w:sz w:val="18"/>
            <w:szCs w:val="18"/>
            <w:u w:val="single" w:color="auto"/>
            <w:color w:val="0000EE"/>
          </w:rPr>
          <w:t>February 7, 2011</w:t>
        </w:r>
      </w:hyperlink>
      <w:r>
        <w:rPr>
          <w:rFonts w:ascii="Arial" w:cs="Arial" w:eastAsia="Arial" w:hAnsi="Arial"/>
          <w:sz w:val="18"/>
          <w:szCs w:val="18"/>
          <w:color w:val="auto"/>
        </w:rPr>
        <w:t>, pursuant to Section 12(b) of the Exchange Act, including any amendment or report filed for the purpose of updating such description.</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right="60" w:firstLine="648"/>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as permitted by Section 145 of the Delaware General Corporation Law, the bylaws of the Registrant provide that:</w:t>
      </w:r>
    </w:p>
    <w:p>
      <w:pPr>
        <w:spacing w:after="0" w:line="225" w:lineRule="exact"/>
        <w:rPr>
          <w:sz w:val="20"/>
          <w:szCs w:val="20"/>
          <w:color w:val="auto"/>
        </w:rPr>
      </w:pPr>
    </w:p>
    <w:p>
      <w:pPr>
        <w:ind w:left="980" w:hanging="324"/>
        <w:spacing w:after="0" w:line="30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54"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 may, in its discretion, indemnify employees and agents in those circumstances where indemnification is not required by law.</w:t>
      </w:r>
    </w:p>
    <w:p>
      <w:pPr>
        <w:spacing w:after="0" w:line="248" w:lineRule="exact"/>
        <w:rPr>
          <w:rFonts w:ascii="Arial" w:cs="Arial" w:eastAsia="Arial" w:hAnsi="Arial"/>
          <w:sz w:val="16"/>
          <w:szCs w:val="16"/>
          <w:color w:val="auto"/>
        </w:rPr>
      </w:pPr>
    </w:p>
    <w:p>
      <w:pPr>
        <w:jc w:val="both"/>
        <w:ind w:left="980" w:right="14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ind w:left="980" w:right="2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46" w:lineRule="exact"/>
        <w:rPr>
          <w:rFonts w:ascii="Arial" w:cs="Arial" w:eastAsia="Arial" w:hAnsi="Arial"/>
          <w:sz w:val="17"/>
          <w:szCs w:val="17"/>
          <w:color w:val="auto"/>
        </w:rPr>
      </w:pPr>
    </w:p>
    <w:p>
      <w:pPr>
        <w:ind w:left="980" w:right="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170"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4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Registrant’s undertakings in Section 9 of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5"/>
          </w:tcPr>
          <w:p>
            <w:pPr>
              <w:spacing w:after="0"/>
              <w:rPr>
                <w:sz w:val="20"/>
                <w:szCs w:val="20"/>
                <w:color w:val="auto"/>
              </w:rPr>
            </w:pPr>
            <w:r>
              <w:rPr>
                <w:rFonts w:ascii="Arial" w:cs="Arial" w:eastAsia="Arial" w:hAnsi="Arial"/>
                <w:sz w:val="18"/>
                <w:szCs w:val="18"/>
                <w:b w:val="1"/>
                <w:bCs w:val="1"/>
                <w:color w:val="auto"/>
              </w:rPr>
              <w:t>Item 8. Exhibits.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2"/>
              </w:rPr>
              <w:t>Incorporated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Incorporated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8"/>
              </w:rPr>
              <w:t>by Reference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3"/>
              </w:rPr>
              <w:t>Exhibit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by Reference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4"/>
              </w:rPr>
              <w:t>From Exhibit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11"/>
          </w:tcPr>
          <w:p>
            <w:pPr>
              <w:ind w:left="540"/>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From Form</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700" w:type="dxa"/>
            <w:vAlign w:val="bottom"/>
            <w:gridSpan w:val="3"/>
          </w:tcPr>
          <w:p>
            <w:pPr>
              <w:ind w:left="460"/>
              <w:spacing w:after="0"/>
              <w:rPr>
                <w:sz w:val="20"/>
                <w:szCs w:val="20"/>
                <w:color w:val="auto"/>
              </w:rPr>
            </w:pPr>
            <w:r>
              <w:rPr>
                <w:rFonts w:ascii="Arial" w:cs="Arial" w:eastAsia="Arial" w:hAnsi="Arial"/>
                <w:sz w:val="18"/>
                <w:szCs w:val="18"/>
                <w:b w:val="1"/>
                <w:bCs w:val="1"/>
                <w:color w:val="auto"/>
              </w:rPr>
              <w:t>Date Filed</w:t>
            </w:r>
          </w:p>
        </w:tc>
      </w:tr>
      <w:tr>
        <w:trPr>
          <w:trHeight w:val="169"/>
        </w:trPr>
        <w:tc>
          <w:tcPr>
            <w:tcW w:w="20" w:type="dxa"/>
            <w:vAlign w:val="bottom"/>
          </w:tcPr>
          <w:p>
            <w:pPr>
              <w:spacing w:after="0"/>
              <w:rPr>
                <w:sz w:val="14"/>
                <w:szCs w:val="14"/>
                <w:color w:val="auto"/>
              </w:rPr>
            </w:pPr>
          </w:p>
        </w:tc>
        <w:tc>
          <w:tcPr>
            <w:tcW w:w="960" w:type="dxa"/>
            <w:vAlign w:val="bottom"/>
            <w:tcBorders>
              <w:top w:val="single" w:sz="8" w:color="auto"/>
            </w:tcBorders>
            <w:gridSpan w:val="2"/>
          </w:tcPr>
          <w:p>
            <w:pPr>
              <w:jc w:val="center"/>
              <w:ind w:left="650"/>
              <w:spacing w:after="0" w:line="170" w:lineRule="exact"/>
              <w:rPr>
                <w:rFonts w:ascii="Arial" w:cs="Arial" w:eastAsia="Arial" w:hAnsi="Arial"/>
                <w:sz w:val="18"/>
                <w:szCs w:val="18"/>
                <w:color w:val="0000EE"/>
                <w:w w:val="87"/>
              </w:rPr>
            </w:pPr>
            <w:hyperlink r:id="rId2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120" w:type="dxa"/>
            <w:vAlign w:val="bottom"/>
            <w:tcBorders>
              <w:top w:val="single" w:sz="8" w:color="auto"/>
            </w:tcBorders>
            <w:gridSpan w:val="12"/>
          </w:tcPr>
          <w:p>
            <w:pPr>
              <w:spacing w:after="0" w:line="170" w:lineRule="exact"/>
              <w:rPr>
                <w:rFonts w:ascii="Arial" w:cs="Arial" w:eastAsia="Arial" w:hAnsi="Arial"/>
                <w:sz w:val="18"/>
                <w:szCs w:val="18"/>
                <w:color w:val="0000EE"/>
                <w:w w:val="93"/>
              </w:rPr>
            </w:pPr>
            <w:hyperlink r:id="rId22">
              <w:r>
                <w:rPr>
                  <w:rFonts w:ascii="Arial" w:cs="Arial" w:eastAsia="Arial" w:hAnsi="Arial"/>
                  <w:sz w:val="18"/>
                  <w:szCs w:val="18"/>
                  <w:color w:val="0000EE"/>
                  <w:w w:val="93"/>
                </w:rPr>
                <w:t>Specimen Common Stock Certificate of the Registrant.</w:t>
              </w:r>
            </w:hyperlink>
          </w:p>
        </w:tc>
        <w:tc>
          <w:tcPr>
            <w:tcW w:w="120" w:type="dxa"/>
            <w:vAlign w:val="bottom"/>
          </w:tcPr>
          <w:p>
            <w:pPr>
              <w:spacing w:after="0"/>
              <w:rPr>
                <w:sz w:val="14"/>
                <w:szCs w:val="14"/>
                <w:color w:val="auto"/>
              </w:rPr>
            </w:pPr>
          </w:p>
        </w:tc>
        <w:tc>
          <w:tcPr>
            <w:tcW w:w="1720" w:type="dxa"/>
            <w:vAlign w:val="bottom"/>
            <w:tcBorders>
              <w:top w:val="single" w:sz="8" w:color="auto"/>
            </w:tcBorders>
            <w:gridSpan w:val="4"/>
          </w:tcPr>
          <w:p>
            <w:pPr>
              <w:spacing w:after="0" w:line="170" w:lineRule="exact"/>
              <w:rPr>
                <w:rFonts w:ascii="Arial" w:cs="Arial" w:eastAsia="Arial" w:hAnsi="Arial"/>
                <w:sz w:val="18"/>
                <w:szCs w:val="18"/>
                <w:color w:val="0000EE"/>
              </w:rPr>
            </w:pPr>
            <w:hyperlink r:id="rId22">
              <w:r>
                <w:rPr>
                  <w:rFonts w:ascii="Arial" w:cs="Arial" w:eastAsia="Arial" w:hAnsi="Arial"/>
                  <w:sz w:val="18"/>
                  <w:szCs w:val="18"/>
                  <w:color w:val="0000EE"/>
                </w:rPr>
                <w:t>S-8</w:t>
              </w:r>
            </w:hyperlink>
          </w:p>
        </w:tc>
        <w:tc>
          <w:tcPr>
            <w:tcW w:w="100" w:type="dxa"/>
            <w:vAlign w:val="bottom"/>
          </w:tcPr>
          <w:p>
            <w:pPr>
              <w:spacing w:after="0"/>
              <w:rPr>
                <w:sz w:val="14"/>
                <w:szCs w:val="14"/>
                <w:color w:val="auto"/>
              </w:rPr>
            </w:pPr>
          </w:p>
        </w:tc>
        <w:tc>
          <w:tcPr>
            <w:tcW w:w="320" w:type="dxa"/>
            <w:vAlign w:val="bottom"/>
            <w:tcBorders>
              <w:top w:val="single" w:sz="8" w:color="auto"/>
            </w:tcBorders>
            <w:gridSpan w:val="2"/>
          </w:tcPr>
          <w:p>
            <w:pPr>
              <w:spacing w:after="0" w:line="170" w:lineRule="exact"/>
              <w:rPr>
                <w:rFonts w:ascii="Arial" w:cs="Arial" w:eastAsia="Arial" w:hAnsi="Arial"/>
                <w:sz w:val="18"/>
                <w:szCs w:val="18"/>
                <w:color w:val="0000EE"/>
              </w:rPr>
            </w:pPr>
            <w:hyperlink r:id="rId2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gridSpan w:val="2"/>
          </w:tcPr>
          <w:p>
            <w:pPr>
              <w:spacing w:after="0" w:line="170" w:lineRule="exact"/>
              <w:rPr>
                <w:rFonts w:ascii="Arial" w:cs="Arial" w:eastAsia="Arial" w:hAnsi="Arial"/>
                <w:sz w:val="18"/>
                <w:szCs w:val="18"/>
                <w:color w:val="0000EE"/>
                <w:w w:val="99"/>
              </w:rPr>
            </w:pPr>
            <w:hyperlink r:id="rId22">
              <w:r>
                <w:rPr>
                  <w:rFonts w:ascii="Arial" w:cs="Arial" w:eastAsia="Arial" w:hAnsi="Arial"/>
                  <w:sz w:val="18"/>
                  <w:szCs w:val="18"/>
                  <w:color w:val="0000EE"/>
                  <w:w w:val="99"/>
                </w:rPr>
                <w:t>8/3/2017</w:t>
              </w:r>
            </w:hyperlink>
          </w:p>
        </w:tc>
        <w:tc>
          <w:tcPr>
            <w:tcW w:w="980" w:type="dxa"/>
            <w:vAlign w:val="bottom"/>
            <w:tcBorders>
              <w:top w:val="single" w:sz="8" w:color="auto"/>
            </w:tcBorders>
          </w:tcPr>
          <w:p>
            <w:pPr>
              <w:spacing w:after="0"/>
              <w:rPr>
                <w:sz w:val="14"/>
                <w:szCs w:val="14"/>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60" w:type="dxa"/>
            <w:vAlign w:val="bottom"/>
            <w:gridSpan w:val="2"/>
          </w:tcPr>
          <w:p>
            <w:pPr>
              <w:spacing w:after="0"/>
              <w:rPr>
                <w:sz w:val="17"/>
                <w:szCs w:val="17"/>
                <w:color w:val="auto"/>
              </w:rPr>
            </w:pPr>
          </w:p>
        </w:tc>
        <w:tc>
          <w:tcPr>
            <w:tcW w:w="220" w:type="dxa"/>
            <w:vAlign w:val="bottom"/>
          </w:tcPr>
          <w:p>
            <w:pPr>
              <w:jc w:val="center"/>
              <w:spacing w:after="0" w:line="196" w:lineRule="exact"/>
              <w:rPr>
                <w:rFonts w:ascii="Arial" w:cs="Arial" w:eastAsia="Arial" w:hAnsi="Arial"/>
                <w:sz w:val="18"/>
                <w:szCs w:val="18"/>
                <w:color w:val="0000EE"/>
                <w:w w:val="73"/>
              </w:rPr>
            </w:pPr>
            <w:hyperlink r:id="rId23">
              <w:r>
                <w:rPr>
                  <w:rFonts w:ascii="Arial" w:cs="Arial" w:eastAsia="Arial" w:hAnsi="Arial"/>
                  <w:sz w:val="18"/>
                  <w:szCs w:val="18"/>
                  <w:color w:val="0000EE"/>
                  <w:w w:val="73"/>
                </w:rPr>
                <w:t>4.</w:t>
              </w:r>
              <w:r>
                <w:rPr>
                  <w:rFonts w:ascii="Arial" w:cs="Arial" w:eastAsia="Arial" w:hAnsi="Arial"/>
                  <w:sz w:val="18"/>
                  <w:szCs w:val="18"/>
                  <w:u w:val="single" w:color="auto"/>
                  <w:color w:val="0000EE"/>
                  <w:w w:val="73"/>
                </w:rPr>
                <w:t>2+</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13"/>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2011 Equity Incentive Plan of Fluidigm Corporation.</w:t>
              </w:r>
            </w:hyperlink>
          </w:p>
        </w:tc>
        <w:tc>
          <w:tcPr>
            <w:tcW w:w="1820" w:type="dxa"/>
            <w:vAlign w:val="bottom"/>
            <w:gridSpan w:val="5"/>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8-K</w:t>
              </w:r>
            </w:hyperlink>
          </w:p>
        </w:tc>
        <w:tc>
          <w:tcPr>
            <w:tcW w:w="420" w:type="dxa"/>
            <w:vAlign w:val="bottom"/>
            <w:gridSpan w:val="3"/>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300" w:type="dxa"/>
            <w:vAlign w:val="bottom"/>
          </w:tcPr>
          <w:p>
            <w:pPr>
              <w:spacing w:after="0"/>
              <w:rPr>
                <w:sz w:val="17"/>
                <w:szCs w:val="17"/>
                <w:color w:val="auto"/>
              </w:rPr>
            </w:pPr>
          </w:p>
        </w:tc>
        <w:tc>
          <w:tcPr>
            <w:tcW w:w="820" w:type="dxa"/>
            <w:vAlign w:val="bottom"/>
            <w:gridSpan w:val="3"/>
          </w:tcPr>
          <w:p>
            <w:pPr>
              <w:ind w:left="100"/>
              <w:spacing w:after="0" w:line="196" w:lineRule="exact"/>
              <w:rPr>
                <w:rFonts w:ascii="Arial" w:cs="Arial" w:eastAsia="Arial" w:hAnsi="Arial"/>
                <w:sz w:val="18"/>
                <w:szCs w:val="18"/>
                <w:color w:val="0000EE"/>
                <w:w w:val="99"/>
              </w:rPr>
            </w:pPr>
            <w:hyperlink r:id="rId23">
              <w:r>
                <w:rPr>
                  <w:rFonts w:ascii="Arial" w:cs="Arial" w:eastAsia="Arial" w:hAnsi="Arial"/>
                  <w:sz w:val="18"/>
                  <w:szCs w:val="18"/>
                  <w:color w:val="0000EE"/>
                  <w:w w:val="99"/>
                </w:rPr>
                <w:t>6/5/2019</w:t>
              </w:r>
            </w:hyperlink>
          </w:p>
        </w:tc>
        <w:tc>
          <w:tcPr>
            <w:tcW w:w="980" w:type="dxa"/>
            <w:vAlign w:val="bottom"/>
          </w:tcPr>
          <w:p>
            <w:pPr>
              <w:spacing w:after="0"/>
              <w:rPr>
                <w:sz w:val="17"/>
                <w:szCs w:val="17"/>
                <w:color w:val="auto"/>
              </w:rPr>
            </w:pPr>
          </w:p>
        </w:tc>
      </w:tr>
      <w:tr>
        <w:trPr>
          <w:trHeight w:val="20"/>
        </w:trPr>
        <w:tc>
          <w:tcPr>
            <w:tcW w:w="760" w:type="dxa"/>
            <w:vAlign w:val="bottom"/>
            <w:tcBorders>
              <w:right w:val="single" w:sz="8" w:color="0000EE"/>
            </w:tcBorders>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60" w:type="dxa"/>
            <w:vAlign w:val="bottom"/>
            <w:gridSpan w:val="2"/>
          </w:tcPr>
          <w:p>
            <w:pPr>
              <w:spacing w:after="0"/>
              <w:rPr>
                <w:sz w:val="17"/>
                <w:szCs w:val="17"/>
                <w:color w:val="auto"/>
              </w:rPr>
            </w:pPr>
          </w:p>
        </w:tc>
        <w:tc>
          <w:tcPr>
            <w:tcW w:w="220" w:type="dxa"/>
            <w:vAlign w:val="bottom"/>
          </w:tcPr>
          <w:p>
            <w:pPr>
              <w:jc w:val="center"/>
              <w:spacing w:after="0" w:line="196" w:lineRule="exact"/>
              <w:rPr>
                <w:rFonts w:ascii="Arial" w:cs="Arial" w:eastAsia="Arial" w:hAnsi="Arial"/>
                <w:sz w:val="18"/>
                <w:szCs w:val="18"/>
                <w:color w:val="0000EE"/>
                <w:w w:val="73"/>
              </w:rPr>
            </w:pPr>
            <w:hyperlink r:id="rId24">
              <w:r>
                <w:rPr>
                  <w:rFonts w:ascii="Arial" w:cs="Arial" w:eastAsia="Arial" w:hAnsi="Arial"/>
                  <w:sz w:val="18"/>
                  <w:szCs w:val="18"/>
                  <w:color w:val="0000EE"/>
                  <w:w w:val="73"/>
                </w:rPr>
                <w:t>4.</w:t>
              </w:r>
              <w:r>
                <w:rPr>
                  <w:rFonts w:ascii="Arial" w:cs="Arial" w:eastAsia="Arial" w:hAnsi="Arial"/>
                  <w:sz w:val="18"/>
                  <w:szCs w:val="18"/>
                  <w:u w:val="single" w:color="auto"/>
                  <w:color w:val="0000EE"/>
                  <w:w w:val="73"/>
                </w:rPr>
                <w:t>3+</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7"/>
          </w:tcPr>
          <w:p>
            <w:pPr>
              <w:spacing w:after="0" w:line="196" w:lineRule="exact"/>
              <w:rPr>
                <w:rFonts w:ascii="Arial" w:cs="Arial" w:eastAsia="Arial" w:hAnsi="Arial"/>
                <w:sz w:val="18"/>
                <w:szCs w:val="18"/>
                <w:color w:val="0000EE"/>
                <w:w w:val="89"/>
              </w:rPr>
            </w:pPr>
            <w:hyperlink r:id="rId24">
              <w:r>
                <w:rPr>
                  <w:rFonts w:ascii="Arial" w:cs="Arial" w:eastAsia="Arial" w:hAnsi="Arial"/>
                  <w:sz w:val="18"/>
                  <w:szCs w:val="18"/>
                  <w:color w:val="0000EE"/>
                  <w:w w:val="89"/>
                </w:rPr>
                <w:t>Forms of U.S. agreements under the 2011 Equity</w:t>
              </w:r>
            </w:hyperlink>
          </w:p>
        </w:tc>
        <w:tc>
          <w:tcPr>
            <w:tcW w:w="280" w:type="dxa"/>
            <w:vAlign w:val="bottom"/>
          </w:tcPr>
          <w:p>
            <w:pPr>
              <w:spacing w:after="0"/>
              <w:rPr>
                <w:sz w:val="17"/>
                <w:szCs w:val="17"/>
                <w:color w:val="auto"/>
              </w:rPr>
            </w:pPr>
          </w:p>
        </w:tc>
        <w:tc>
          <w:tcPr>
            <w:tcW w:w="420" w:type="dxa"/>
            <w:vAlign w:val="bottom"/>
            <w:gridSpan w:val="5"/>
          </w:tcPr>
          <w:p>
            <w:pPr>
              <w:spacing w:after="0"/>
              <w:rPr>
                <w:sz w:val="17"/>
                <w:szCs w:val="17"/>
                <w:color w:val="auto"/>
              </w:rPr>
            </w:pPr>
          </w:p>
        </w:tc>
        <w:tc>
          <w:tcPr>
            <w:tcW w:w="1820" w:type="dxa"/>
            <w:vAlign w:val="bottom"/>
            <w:gridSpan w:val="5"/>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SC TO-I</w:t>
              </w:r>
            </w:hyperlink>
          </w:p>
        </w:tc>
        <w:tc>
          <w:tcPr>
            <w:tcW w:w="1720" w:type="dxa"/>
            <w:vAlign w:val="bottom"/>
            <w:gridSpan w:val="4"/>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(d)(2)</w:t>
              </w:r>
            </w:hyperlink>
          </w:p>
        </w:tc>
        <w:tc>
          <w:tcPr>
            <w:tcW w:w="1800" w:type="dxa"/>
            <w:vAlign w:val="bottom"/>
            <w:gridSpan w:val="4"/>
          </w:tcPr>
          <w:p>
            <w:pPr>
              <w:ind w:left="100"/>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8/23/2017</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Incentive Plan.</w:t>
              </w:r>
            </w:hyperlink>
          </w:p>
        </w:tc>
        <w:tc>
          <w:tcPr>
            <w:tcW w:w="700" w:type="dxa"/>
            <w:vAlign w:val="bottom"/>
            <w:gridSpan w:val="6"/>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60" w:type="dxa"/>
            <w:vAlign w:val="bottom"/>
            <w:gridSpan w:val="2"/>
          </w:tcPr>
          <w:p>
            <w:pPr>
              <w:spacing w:after="0"/>
              <w:rPr>
                <w:sz w:val="17"/>
                <w:szCs w:val="17"/>
                <w:color w:val="auto"/>
              </w:rPr>
            </w:pPr>
          </w:p>
        </w:tc>
        <w:tc>
          <w:tcPr>
            <w:tcW w:w="220" w:type="dxa"/>
            <w:vAlign w:val="bottom"/>
          </w:tcPr>
          <w:p>
            <w:pPr>
              <w:jc w:val="center"/>
              <w:spacing w:after="0" w:line="196" w:lineRule="exact"/>
              <w:rPr>
                <w:rFonts w:ascii="Arial" w:cs="Arial" w:eastAsia="Arial" w:hAnsi="Arial"/>
                <w:sz w:val="18"/>
                <w:szCs w:val="18"/>
                <w:color w:val="0000EE"/>
                <w:w w:val="73"/>
              </w:rPr>
            </w:pPr>
            <w:hyperlink r:id="rId25">
              <w:r>
                <w:rPr>
                  <w:rFonts w:ascii="Arial" w:cs="Arial" w:eastAsia="Arial" w:hAnsi="Arial"/>
                  <w:sz w:val="18"/>
                  <w:szCs w:val="18"/>
                  <w:color w:val="0000EE"/>
                  <w:w w:val="73"/>
                </w:rPr>
                <w:t>4.</w:t>
              </w:r>
              <w:r>
                <w:rPr>
                  <w:rFonts w:ascii="Arial" w:cs="Arial" w:eastAsia="Arial" w:hAnsi="Arial"/>
                  <w:sz w:val="18"/>
                  <w:szCs w:val="18"/>
                  <w:u w:val="single" w:color="auto"/>
                  <w:color w:val="0000EE"/>
                  <w:w w:val="73"/>
                </w:rPr>
                <w:t>4+</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6"/>
          </w:tcPr>
          <w:p>
            <w:pPr>
              <w:spacing w:after="0" w:line="196" w:lineRule="exact"/>
              <w:rPr>
                <w:rFonts w:ascii="Arial" w:cs="Arial" w:eastAsia="Arial" w:hAnsi="Arial"/>
                <w:sz w:val="18"/>
                <w:szCs w:val="18"/>
                <w:color w:val="0000EE"/>
                <w:w w:val="92"/>
              </w:rPr>
            </w:pPr>
            <w:hyperlink r:id="rId25">
              <w:r>
                <w:rPr>
                  <w:rFonts w:ascii="Arial" w:cs="Arial" w:eastAsia="Arial" w:hAnsi="Arial"/>
                  <w:sz w:val="18"/>
                  <w:szCs w:val="18"/>
                  <w:color w:val="0000EE"/>
                  <w:w w:val="92"/>
                </w:rPr>
                <w:t>Rules of the Fluidigm Corporation 2011 Equity</w:t>
              </w:r>
            </w:hyperlink>
          </w:p>
        </w:tc>
        <w:tc>
          <w:tcPr>
            <w:tcW w:w="820" w:type="dxa"/>
            <w:vAlign w:val="bottom"/>
            <w:gridSpan w:val="7"/>
          </w:tcPr>
          <w:p>
            <w:pPr>
              <w:spacing w:after="0"/>
              <w:rPr>
                <w:sz w:val="17"/>
                <w:szCs w:val="17"/>
                <w:color w:val="auto"/>
              </w:rPr>
            </w:pPr>
          </w:p>
        </w:tc>
        <w:tc>
          <w:tcPr>
            <w:tcW w:w="1820" w:type="dxa"/>
            <w:vAlign w:val="bottom"/>
            <w:gridSpan w:val="5"/>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SC TO-I</w:t>
              </w:r>
            </w:hyperlink>
          </w:p>
        </w:tc>
        <w:tc>
          <w:tcPr>
            <w:tcW w:w="1720" w:type="dxa"/>
            <w:vAlign w:val="bottom"/>
            <w:gridSpan w:val="4"/>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(d)(3)</w:t>
              </w:r>
            </w:hyperlink>
          </w:p>
        </w:tc>
        <w:tc>
          <w:tcPr>
            <w:tcW w:w="1800" w:type="dxa"/>
            <w:vAlign w:val="bottom"/>
            <w:gridSpan w:val="4"/>
          </w:tcPr>
          <w:p>
            <w:pPr>
              <w:ind w:left="100"/>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8/23/2017</w:t>
              </w:r>
            </w:hyperlink>
          </w:p>
        </w:tc>
      </w:tr>
      <w:tr>
        <w:trPr>
          <w:trHeight w:val="20"/>
        </w:trPr>
        <w:tc>
          <w:tcPr>
            <w:tcW w:w="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13"/>
          </w:tcPr>
          <w:p>
            <w:pPr>
              <w:spacing w:after="0" w:line="196" w:lineRule="exact"/>
              <w:rPr>
                <w:rFonts w:ascii="Arial" w:cs="Arial" w:eastAsia="Arial" w:hAnsi="Arial"/>
                <w:sz w:val="18"/>
                <w:szCs w:val="18"/>
                <w:color w:val="0000EE"/>
                <w:w w:val="94"/>
              </w:rPr>
            </w:pPr>
            <w:hyperlink r:id="rId25">
              <w:r>
                <w:rPr>
                  <w:rFonts w:ascii="Arial" w:cs="Arial" w:eastAsia="Arial" w:hAnsi="Arial"/>
                  <w:sz w:val="18"/>
                  <w:szCs w:val="18"/>
                  <w:color w:val="0000EE"/>
                  <w:w w:val="94"/>
                </w:rPr>
                <w:t>Incentive Plan for Restricted Stock Unit Awards Granted</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to French Participants.</w:t>
              </w:r>
            </w:hyperlink>
          </w:p>
        </w:tc>
        <w:tc>
          <w:tcPr>
            <w:tcW w:w="1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r>
      <w:tr>
        <w:trPr>
          <w:trHeight w:val="196"/>
        </w:trPr>
        <w:tc>
          <w:tcPr>
            <w:tcW w:w="760" w:type="dxa"/>
            <w:vAlign w:val="bottom"/>
            <w:gridSpan w:val="2"/>
          </w:tcPr>
          <w:p>
            <w:pPr>
              <w:spacing w:after="0"/>
              <w:rPr>
                <w:sz w:val="17"/>
                <w:szCs w:val="17"/>
                <w:color w:val="auto"/>
              </w:rPr>
            </w:pPr>
          </w:p>
        </w:tc>
        <w:tc>
          <w:tcPr>
            <w:tcW w:w="220" w:type="dxa"/>
            <w:vAlign w:val="bottom"/>
          </w:tcPr>
          <w:p>
            <w:pPr>
              <w:jc w:val="center"/>
              <w:spacing w:after="0" w:line="196" w:lineRule="exact"/>
              <w:rPr>
                <w:rFonts w:ascii="Arial" w:cs="Arial" w:eastAsia="Arial" w:hAnsi="Arial"/>
                <w:sz w:val="18"/>
                <w:szCs w:val="18"/>
                <w:color w:val="0000EE"/>
                <w:w w:val="73"/>
              </w:rPr>
            </w:pPr>
            <w:hyperlink r:id="rId26">
              <w:r>
                <w:rPr>
                  <w:rFonts w:ascii="Arial" w:cs="Arial" w:eastAsia="Arial" w:hAnsi="Arial"/>
                  <w:sz w:val="18"/>
                  <w:szCs w:val="18"/>
                  <w:color w:val="0000EE"/>
                  <w:w w:val="73"/>
                </w:rPr>
                <w:t>4.</w:t>
              </w:r>
              <w:r>
                <w:rPr>
                  <w:rFonts w:ascii="Arial" w:cs="Arial" w:eastAsia="Arial" w:hAnsi="Arial"/>
                  <w:sz w:val="18"/>
                  <w:szCs w:val="18"/>
                  <w:u w:val="single" w:color="auto"/>
                  <w:color w:val="0000EE"/>
                  <w:w w:val="73"/>
                </w:rPr>
                <w:t>5+</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6"/>
          </w:tcPr>
          <w:p>
            <w:pPr>
              <w:spacing w:after="0" w:line="19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Rules of the Fluidigm Corporation 2011 Equity</w:t>
              </w:r>
            </w:hyperlink>
          </w:p>
        </w:tc>
        <w:tc>
          <w:tcPr>
            <w:tcW w:w="820" w:type="dxa"/>
            <w:vAlign w:val="bottom"/>
            <w:gridSpan w:val="7"/>
          </w:tcPr>
          <w:p>
            <w:pPr>
              <w:spacing w:after="0"/>
              <w:rPr>
                <w:sz w:val="17"/>
                <w:szCs w:val="17"/>
                <w:color w:val="auto"/>
              </w:rPr>
            </w:pPr>
          </w:p>
        </w:tc>
        <w:tc>
          <w:tcPr>
            <w:tcW w:w="1820" w:type="dxa"/>
            <w:vAlign w:val="bottom"/>
            <w:gridSpan w:val="5"/>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SC TO-I</w:t>
              </w:r>
            </w:hyperlink>
          </w:p>
        </w:tc>
        <w:tc>
          <w:tcPr>
            <w:tcW w:w="1720" w:type="dxa"/>
            <w:vAlign w:val="bottom"/>
            <w:gridSpan w:val="4"/>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(d)(4)</w:t>
              </w:r>
            </w:hyperlink>
          </w:p>
        </w:tc>
        <w:tc>
          <w:tcPr>
            <w:tcW w:w="1800" w:type="dxa"/>
            <w:vAlign w:val="bottom"/>
            <w:gridSpan w:val="4"/>
          </w:tcPr>
          <w:p>
            <w:pPr>
              <w:ind w:left="100"/>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8/23/2017</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r:id="rId26">
              <w:r>
                <w:rPr>
                  <w:rFonts w:ascii="Arial" w:cs="Arial" w:eastAsia="Arial" w:hAnsi="Arial"/>
                  <w:sz w:val="18"/>
                  <w:szCs w:val="18"/>
                  <w:color w:val="0000EE"/>
                  <w:w w:val="95"/>
                </w:rPr>
                <w:t>Incentive Plan for Options Granted to French</w:t>
              </w:r>
            </w:hyperlink>
          </w:p>
        </w:tc>
        <w:tc>
          <w:tcPr>
            <w:tcW w:w="820" w:type="dxa"/>
            <w:vAlign w:val="bottom"/>
            <w:gridSpan w:val="7"/>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26">
              <w:r>
                <w:rPr>
                  <w:rFonts w:ascii="Arial" w:cs="Arial" w:eastAsia="Arial" w:hAnsi="Arial"/>
                  <w:sz w:val="18"/>
                  <w:szCs w:val="18"/>
                  <w:color w:val="0000EE"/>
                  <w:w w:val="88"/>
                </w:rPr>
                <w:t>Participants.</w:t>
              </w:r>
            </w:hyperlink>
          </w:p>
        </w:tc>
        <w:tc>
          <w:tcPr>
            <w:tcW w:w="2360" w:type="dxa"/>
            <w:vAlign w:val="bottom"/>
            <w:tcBorders>
              <w:top w:val="single" w:sz="8" w:color="0000EE"/>
            </w:tcBorders>
            <w:gridSpan w:val="4"/>
          </w:tcPr>
          <w:p>
            <w:pPr>
              <w:spacing w:after="0"/>
              <w:rPr>
                <w:sz w:val="17"/>
                <w:szCs w:val="17"/>
                <w:color w:val="auto"/>
              </w:rPr>
            </w:pPr>
          </w:p>
        </w:tc>
        <w:tc>
          <w:tcPr>
            <w:tcW w:w="980" w:type="dxa"/>
            <w:vAlign w:val="bottom"/>
            <w:gridSpan w:val="8"/>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gridSpan w:val="2"/>
          </w:tcPr>
          <w:p>
            <w:pPr>
              <w:spacing w:after="0"/>
              <w:rPr>
                <w:sz w:val="17"/>
                <w:szCs w:val="17"/>
                <w:color w:val="auto"/>
              </w:rPr>
            </w:pPr>
          </w:p>
        </w:tc>
        <w:tc>
          <w:tcPr>
            <w:tcW w:w="220" w:type="dxa"/>
            <w:vAlign w:val="bottom"/>
          </w:tcPr>
          <w:p>
            <w:pPr>
              <w:jc w:val="center"/>
              <w:spacing w:after="0" w:line="196" w:lineRule="exact"/>
              <w:rPr>
                <w:rFonts w:ascii="Arial" w:cs="Arial" w:eastAsia="Arial" w:hAnsi="Arial"/>
                <w:sz w:val="18"/>
                <w:szCs w:val="18"/>
                <w:color w:val="0000EE"/>
                <w:w w:val="73"/>
              </w:rPr>
            </w:pPr>
            <w:hyperlink r:id="rId27">
              <w:r>
                <w:rPr>
                  <w:rFonts w:ascii="Arial" w:cs="Arial" w:eastAsia="Arial" w:hAnsi="Arial"/>
                  <w:sz w:val="18"/>
                  <w:szCs w:val="18"/>
                  <w:color w:val="0000EE"/>
                  <w:w w:val="73"/>
                </w:rPr>
                <w:t>4.</w:t>
              </w:r>
              <w:r>
                <w:rPr>
                  <w:rFonts w:ascii="Arial" w:cs="Arial" w:eastAsia="Arial" w:hAnsi="Arial"/>
                  <w:sz w:val="18"/>
                  <w:szCs w:val="18"/>
                  <w:u w:val="single" w:color="auto"/>
                  <w:color w:val="0000EE"/>
                  <w:w w:val="73"/>
                </w:rPr>
                <w:t>6+</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10"/>
          </w:tcPr>
          <w:p>
            <w:pPr>
              <w:spacing w:after="0" w:line="196" w:lineRule="exact"/>
              <w:rPr>
                <w:rFonts w:ascii="Arial" w:cs="Arial" w:eastAsia="Arial" w:hAnsi="Arial"/>
                <w:sz w:val="18"/>
                <w:szCs w:val="18"/>
                <w:color w:val="0000EE"/>
                <w:w w:val="92"/>
              </w:rPr>
            </w:pPr>
            <w:hyperlink r:id="rId27">
              <w:r>
                <w:rPr>
                  <w:rFonts w:ascii="Arial" w:cs="Arial" w:eastAsia="Arial" w:hAnsi="Arial"/>
                  <w:sz w:val="18"/>
                  <w:szCs w:val="18"/>
                  <w:color w:val="0000EE"/>
                  <w:w w:val="92"/>
                </w:rPr>
                <w:t>UK Sub-plan to the Fluidigm Corporation 2011 Equity</w:t>
              </w:r>
            </w:hyperlink>
          </w:p>
        </w:tc>
        <w:tc>
          <w:tcPr>
            <w:tcW w:w="260" w:type="dxa"/>
            <w:vAlign w:val="bottom"/>
            <w:gridSpan w:val="3"/>
          </w:tcPr>
          <w:p>
            <w:pPr>
              <w:spacing w:after="0"/>
              <w:rPr>
                <w:sz w:val="17"/>
                <w:szCs w:val="17"/>
                <w:color w:val="auto"/>
              </w:rPr>
            </w:pPr>
          </w:p>
        </w:tc>
        <w:tc>
          <w:tcPr>
            <w:tcW w:w="1820" w:type="dxa"/>
            <w:vAlign w:val="bottom"/>
            <w:gridSpan w:val="5"/>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SC TO-I</w:t>
              </w:r>
            </w:hyperlink>
          </w:p>
        </w:tc>
        <w:tc>
          <w:tcPr>
            <w:tcW w:w="1720" w:type="dxa"/>
            <w:vAlign w:val="bottom"/>
            <w:gridSpan w:val="4"/>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(d)(5)</w:t>
              </w:r>
            </w:hyperlink>
          </w:p>
        </w:tc>
        <w:tc>
          <w:tcPr>
            <w:tcW w:w="1800" w:type="dxa"/>
            <w:vAlign w:val="bottom"/>
            <w:gridSpan w:val="4"/>
          </w:tcPr>
          <w:p>
            <w:pPr>
              <w:ind w:left="100"/>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8/23/2017</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Incentive Plan.</w:t>
              </w:r>
            </w:hyperlink>
          </w:p>
        </w:tc>
        <w:tc>
          <w:tcPr>
            <w:tcW w:w="260" w:type="dxa"/>
            <w:vAlign w:val="bottom"/>
            <w:gridSpan w:val="3"/>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r>
      <w:tr>
        <w:trPr>
          <w:trHeight w:val="196"/>
        </w:trPr>
        <w:tc>
          <w:tcPr>
            <w:tcW w:w="760" w:type="dxa"/>
            <w:vAlign w:val="bottom"/>
            <w:gridSpan w:val="2"/>
          </w:tcPr>
          <w:p>
            <w:pPr>
              <w:spacing w:after="0"/>
              <w:rPr>
                <w:sz w:val="17"/>
                <w:szCs w:val="17"/>
                <w:color w:val="auto"/>
              </w:rPr>
            </w:pPr>
          </w:p>
        </w:tc>
        <w:tc>
          <w:tcPr>
            <w:tcW w:w="220" w:type="dxa"/>
            <w:vAlign w:val="bottom"/>
          </w:tcPr>
          <w:p>
            <w:pPr>
              <w:jc w:val="center"/>
              <w:spacing w:after="0" w:line="196" w:lineRule="exact"/>
              <w:rPr>
                <w:rFonts w:ascii="Arial" w:cs="Arial" w:eastAsia="Arial" w:hAnsi="Arial"/>
                <w:sz w:val="18"/>
                <w:szCs w:val="18"/>
                <w:color w:val="0000EE"/>
                <w:w w:val="73"/>
              </w:rPr>
            </w:pPr>
            <w:hyperlink r:id="rId28">
              <w:r>
                <w:rPr>
                  <w:rFonts w:ascii="Arial" w:cs="Arial" w:eastAsia="Arial" w:hAnsi="Arial"/>
                  <w:sz w:val="18"/>
                  <w:szCs w:val="18"/>
                  <w:color w:val="0000EE"/>
                  <w:w w:val="73"/>
                </w:rPr>
                <w:t>4.</w:t>
              </w:r>
              <w:r>
                <w:rPr>
                  <w:rFonts w:ascii="Arial" w:cs="Arial" w:eastAsia="Arial" w:hAnsi="Arial"/>
                  <w:sz w:val="18"/>
                  <w:szCs w:val="18"/>
                  <w:u w:val="single" w:color="auto"/>
                  <w:color w:val="0000EE"/>
                  <w:w w:val="73"/>
                </w:rPr>
                <w:t>7+</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13"/>
          </w:tcPr>
          <w:p>
            <w:pPr>
              <w:spacing w:after="0" w:line="196" w:lineRule="exact"/>
              <w:rPr>
                <w:rFonts w:ascii="Arial" w:cs="Arial" w:eastAsia="Arial" w:hAnsi="Arial"/>
                <w:sz w:val="18"/>
                <w:szCs w:val="18"/>
                <w:color w:val="0000EE"/>
                <w:w w:val="99"/>
              </w:rPr>
            </w:pPr>
            <w:hyperlink r:id="rId28">
              <w:r>
                <w:rPr>
                  <w:rFonts w:ascii="Arial" w:cs="Arial" w:eastAsia="Arial" w:hAnsi="Arial"/>
                  <w:sz w:val="18"/>
                  <w:szCs w:val="18"/>
                  <w:color w:val="0000EE"/>
                  <w:w w:val="99"/>
                </w:rPr>
                <w:t>Form of Restricted Stock Unit Agreement—Non–U.S.</w:t>
              </w:r>
            </w:hyperlink>
          </w:p>
        </w:tc>
        <w:tc>
          <w:tcPr>
            <w:tcW w:w="1820" w:type="dxa"/>
            <w:vAlign w:val="bottom"/>
            <w:gridSpan w:val="5"/>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SC TO-I</w:t>
              </w:r>
            </w:hyperlink>
          </w:p>
        </w:tc>
        <w:tc>
          <w:tcPr>
            <w:tcW w:w="1720" w:type="dxa"/>
            <w:vAlign w:val="bottom"/>
            <w:gridSpan w:val="4"/>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(d)(6)</w:t>
              </w:r>
            </w:hyperlink>
          </w:p>
        </w:tc>
        <w:tc>
          <w:tcPr>
            <w:tcW w:w="1800" w:type="dxa"/>
            <w:vAlign w:val="bottom"/>
            <w:gridSpan w:val="4"/>
          </w:tcPr>
          <w:p>
            <w:pPr>
              <w:ind w:left="100"/>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8/23/2017</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under the 2011 Equity Incentive Plan.</w:t>
              </w:r>
            </w:hyperlink>
          </w:p>
        </w:tc>
        <w:tc>
          <w:tcPr>
            <w:tcW w:w="320" w:type="dxa"/>
            <w:vAlign w:val="bottom"/>
            <w:gridSpan w:val="4"/>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r>
      <w:tr>
        <w:trPr>
          <w:trHeight w:val="669"/>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top w:val="single" w:sz="8" w:color="0000EE"/>
              <w:bottom w:val="single" w:sz="8" w:color="auto"/>
            </w:tcBorders>
            <w:gridSpan w:val="4"/>
          </w:tcPr>
          <w:p>
            <w:pPr>
              <w:spacing w:after="0"/>
              <w:rPr>
                <w:sz w:val="24"/>
                <w:szCs w:val="24"/>
                <w:color w:val="auto"/>
              </w:rPr>
            </w:pPr>
          </w:p>
        </w:tc>
        <w:tc>
          <w:tcPr>
            <w:tcW w:w="13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2"/>
              </w:rPr>
              <w:t>Incorporated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Incorporated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8"/>
              </w:rPr>
              <w:t>by Reference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8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by Reference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4"/>
              </w:rPr>
              <w:t>From Exhibit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8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80" w:type="dxa"/>
            <w:vAlign w:val="bottom"/>
            <w:gridSpan w:val="17"/>
          </w:tcPr>
          <w:p>
            <w:pPr>
              <w:ind w:left="6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15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4"/>
              </w:rPr>
              <w:t>From Form</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700" w:type="dxa"/>
            <w:vAlign w:val="bottom"/>
            <w:gridSpan w:val="3"/>
          </w:tcPr>
          <w:p>
            <w:pPr>
              <w:ind w:left="460"/>
              <w:spacing w:after="0"/>
              <w:rPr>
                <w:sz w:val="20"/>
                <w:szCs w:val="20"/>
                <w:color w:val="auto"/>
              </w:rPr>
            </w:pPr>
            <w:r>
              <w:rPr>
                <w:rFonts w:ascii="Arial" w:cs="Arial" w:eastAsia="Arial" w:hAnsi="Arial"/>
                <w:sz w:val="18"/>
                <w:szCs w:val="18"/>
                <w:b w:val="1"/>
                <w:bCs w:val="1"/>
                <w:color w:val="auto"/>
              </w:rPr>
              <w:t>Date Filed</w:t>
            </w:r>
          </w:p>
        </w:tc>
      </w:tr>
      <w:tr>
        <w:trPr>
          <w:trHeight w:val="169"/>
        </w:trPr>
        <w:tc>
          <w:tcPr>
            <w:tcW w:w="7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700"/>
              <w:spacing w:after="0" w:line="170" w:lineRule="exact"/>
              <w:rPr>
                <w:rFonts w:ascii="Arial" w:cs="Arial" w:eastAsia="Arial" w:hAnsi="Arial"/>
                <w:sz w:val="18"/>
                <w:szCs w:val="18"/>
                <w:color w:val="0000EE"/>
                <w:w w:val="73"/>
              </w:rPr>
            </w:pPr>
            <w:hyperlink r:id="rId29">
              <w:r>
                <w:rPr>
                  <w:rFonts w:ascii="Arial" w:cs="Arial" w:eastAsia="Arial" w:hAnsi="Arial"/>
                  <w:sz w:val="18"/>
                  <w:szCs w:val="18"/>
                  <w:color w:val="0000EE"/>
                  <w:w w:val="73"/>
                </w:rPr>
                <w:t>4.</w:t>
              </w:r>
              <w:r>
                <w:rPr>
                  <w:rFonts w:ascii="Arial" w:cs="Arial" w:eastAsia="Arial" w:hAnsi="Arial"/>
                  <w:sz w:val="18"/>
                  <w:szCs w:val="18"/>
                  <w:u w:val="single" w:color="auto"/>
                  <w:color w:val="0000EE"/>
                  <w:w w:val="73"/>
                </w:rPr>
                <w:t>8+</w:t>
              </w:r>
            </w:hyperlink>
          </w:p>
        </w:tc>
        <w:tc>
          <w:tcPr>
            <w:tcW w:w="120" w:type="dxa"/>
            <w:vAlign w:val="bottom"/>
          </w:tcPr>
          <w:p>
            <w:pPr>
              <w:spacing w:after="0"/>
              <w:rPr>
                <w:sz w:val="14"/>
                <w:szCs w:val="14"/>
                <w:color w:val="auto"/>
              </w:rPr>
            </w:pPr>
          </w:p>
        </w:tc>
        <w:tc>
          <w:tcPr>
            <w:tcW w:w="4120" w:type="dxa"/>
            <w:vAlign w:val="bottom"/>
            <w:tcBorders>
              <w:top w:val="single" w:sz="8" w:color="auto"/>
            </w:tcBorders>
            <w:gridSpan w:val="19"/>
          </w:tcPr>
          <w:p>
            <w:pPr>
              <w:spacing w:after="0" w:line="170" w:lineRule="exact"/>
              <w:rPr>
                <w:rFonts w:ascii="Arial" w:cs="Arial" w:eastAsia="Arial" w:hAnsi="Arial"/>
                <w:sz w:val="18"/>
                <w:szCs w:val="18"/>
                <w:color w:val="0000EE"/>
                <w:w w:val="93"/>
              </w:rPr>
            </w:pPr>
            <w:hyperlink r:id="rId29">
              <w:r>
                <w:rPr>
                  <w:rFonts w:ascii="Arial" w:cs="Arial" w:eastAsia="Arial" w:hAnsi="Arial"/>
                  <w:sz w:val="18"/>
                  <w:szCs w:val="18"/>
                  <w:color w:val="0000EE"/>
                  <w:w w:val="93"/>
                </w:rPr>
                <w:t>Form of Stock Option Agreement—Non–U.S. under the</w:t>
              </w:r>
            </w:hyperlink>
          </w:p>
        </w:tc>
        <w:tc>
          <w:tcPr>
            <w:tcW w:w="120" w:type="dxa"/>
            <w:vAlign w:val="bottom"/>
          </w:tcPr>
          <w:p>
            <w:pPr>
              <w:spacing w:after="0"/>
              <w:rPr>
                <w:sz w:val="14"/>
                <w:szCs w:val="14"/>
                <w:color w:val="auto"/>
              </w:rPr>
            </w:pPr>
          </w:p>
        </w:tc>
        <w:tc>
          <w:tcPr>
            <w:tcW w:w="1720" w:type="dxa"/>
            <w:vAlign w:val="bottom"/>
            <w:tcBorders>
              <w:top w:val="single" w:sz="8" w:color="auto"/>
            </w:tcBorders>
            <w:gridSpan w:val="4"/>
          </w:tcPr>
          <w:p>
            <w:pPr>
              <w:spacing w:after="0" w:line="170" w:lineRule="exact"/>
              <w:rPr>
                <w:rFonts w:ascii="Arial" w:cs="Arial" w:eastAsia="Arial" w:hAnsi="Arial"/>
                <w:sz w:val="18"/>
                <w:szCs w:val="18"/>
                <w:color w:val="0000EE"/>
              </w:rPr>
            </w:pPr>
            <w:hyperlink r:id="rId29">
              <w:r>
                <w:rPr>
                  <w:rFonts w:ascii="Arial" w:cs="Arial" w:eastAsia="Arial" w:hAnsi="Arial"/>
                  <w:sz w:val="18"/>
                  <w:szCs w:val="18"/>
                  <w:color w:val="0000EE"/>
                </w:rPr>
                <w:t>SC TO-I</w:t>
              </w:r>
            </w:hyperlink>
          </w:p>
        </w:tc>
        <w:tc>
          <w:tcPr>
            <w:tcW w:w="100" w:type="dxa"/>
            <w:vAlign w:val="bottom"/>
          </w:tcPr>
          <w:p>
            <w:pPr>
              <w:spacing w:after="0"/>
              <w:rPr>
                <w:sz w:val="14"/>
                <w:szCs w:val="14"/>
                <w:color w:val="auto"/>
              </w:rPr>
            </w:pPr>
          </w:p>
        </w:tc>
        <w:tc>
          <w:tcPr>
            <w:tcW w:w="1720" w:type="dxa"/>
            <w:vAlign w:val="bottom"/>
            <w:tcBorders>
              <w:top w:val="single" w:sz="8" w:color="auto"/>
            </w:tcBorders>
            <w:gridSpan w:val="4"/>
          </w:tcPr>
          <w:p>
            <w:pPr>
              <w:spacing w:after="0" w:line="170" w:lineRule="exact"/>
              <w:rPr>
                <w:rFonts w:ascii="Arial" w:cs="Arial" w:eastAsia="Arial" w:hAnsi="Arial"/>
                <w:sz w:val="18"/>
                <w:szCs w:val="18"/>
                <w:color w:val="0000EE"/>
              </w:rPr>
            </w:pPr>
            <w:hyperlink r:id="rId29">
              <w:r>
                <w:rPr>
                  <w:rFonts w:ascii="Arial" w:cs="Arial" w:eastAsia="Arial" w:hAnsi="Arial"/>
                  <w:sz w:val="18"/>
                  <w:szCs w:val="18"/>
                  <w:color w:val="0000EE"/>
                </w:rPr>
                <w:t>(d)(7)</w:t>
              </w:r>
            </w:hyperlink>
          </w:p>
        </w:tc>
        <w:tc>
          <w:tcPr>
            <w:tcW w:w="100" w:type="dxa"/>
            <w:vAlign w:val="bottom"/>
          </w:tcPr>
          <w:p>
            <w:pPr>
              <w:spacing w:after="0"/>
              <w:rPr>
                <w:sz w:val="14"/>
                <w:szCs w:val="14"/>
                <w:color w:val="auto"/>
              </w:rPr>
            </w:pPr>
          </w:p>
        </w:tc>
        <w:tc>
          <w:tcPr>
            <w:tcW w:w="1700" w:type="dxa"/>
            <w:vAlign w:val="bottom"/>
            <w:tcBorders>
              <w:top w:val="single" w:sz="8" w:color="auto"/>
            </w:tcBorders>
            <w:gridSpan w:val="3"/>
          </w:tcPr>
          <w:p>
            <w:pPr>
              <w:spacing w:after="0" w:line="170" w:lineRule="exact"/>
              <w:rPr>
                <w:rFonts w:ascii="Arial" w:cs="Arial" w:eastAsia="Arial" w:hAnsi="Arial"/>
                <w:sz w:val="18"/>
                <w:szCs w:val="18"/>
                <w:color w:val="0000EE"/>
              </w:rPr>
            </w:pPr>
            <w:hyperlink r:id="rId29">
              <w:r>
                <w:rPr>
                  <w:rFonts w:ascii="Arial" w:cs="Arial" w:eastAsia="Arial" w:hAnsi="Arial"/>
                  <w:sz w:val="18"/>
                  <w:szCs w:val="18"/>
                  <w:color w:val="0000EE"/>
                </w:rPr>
                <w:t>8/23/2017</w:t>
              </w:r>
            </w:hyperlink>
          </w:p>
        </w:tc>
      </w:tr>
      <w:tr>
        <w:trPr>
          <w:trHeight w:val="196"/>
        </w:trPr>
        <w:tc>
          <w:tcPr>
            <w:tcW w:w="7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2011 Equity Incentive Plan.</w:t>
              </w:r>
            </w:hyperlink>
          </w:p>
        </w:tc>
        <w:tc>
          <w:tcPr>
            <w:tcW w:w="180" w:type="dxa"/>
            <w:vAlign w:val="bottom"/>
            <w:gridSpan w:val="2"/>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0" w:type="dxa"/>
            <w:vAlign w:val="bottom"/>
            <w:gridSpan w:val="2"/>
          </w:tcPr>
          <w:p>
            <w:pPr>
              <w:jc w:val="center"/>
              <w:ind w:left="630"/>
              <w:spacing w:after="0" w:line="196" w:lineRule="exact"/>
              <w:rPr>
                <w:rFonts w:ascii="Arial" w:cs="Arial" w:eastAsia="Arial" w:hAnsi="Arial"/>
                <w:sz w:val="18"/>
                <w:szCs w:val="18"/>
                <w:color w:val="0000EE"/>
                <w:w w:val="87"/>
              </w:rPr>
            </w:pPr>
            <w:hyperlink r:id="rId3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0"/>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Indenture, dated February 4, 2014, by and between</w:t>
              </w:r>
            </w:hyperlink>
          </w:p>
        </w:tc>
        <w:tc>
          <w:tcPr>
            <w:tcW w:w="1820" w:type="dxa"/>
            <w:vAlign w:val="bottom"/>
            <w:gridSpan w:val="5"/>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8-K</w:t>
              </w:r>
            </w:hyperlink>
          </w:p>
        </w:tc>
        <w:tc>
          <w:tcPr>
            <w:tcW w:w="320" w:type="dxa"/>
            <w:vAlign w:val="bottom"/>
            <w:gridSpan w:val="2"/>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gridSpan w:val="3"/>
          </w:tcPr>
          <w:p>
            <w:pPr>
              <w:ind w:left="100"/>
              <w:spacing w:after="0" w:line="196" w:lineRule="exact"/>
              <w:rPr>
                <w:rFonts w:ascii="Arial" w:cs="Arial" w:eastAsia="Arial" w:hAnsi="Arial"/>
                <w:sz w:val="18"/>
                <w:szCs w:val="18"/>
                <w:color w:val="0000EE"/>
                <w:w w:val="99"/>
              </w:rPr>
            </w:pPr>
            <w:hyperlink r:id="rId30">
              <w:r>
                <w:rPr>
                  <w:rFonts w:ascii="Arial" w:cs="Arial" w:eastAsia="Arial" w:hAnsi="Arial"/>
                  <w:sz w:val="18"/>
                  <w:szCs w:val="18"/>
                  <w:color w:val="0000EE"/>
                  <w:w w:val="99"/>
                </w:rPr>
                <w:t>2/4/2014</w:t>
              </w:r>
            </w:hyperlink>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Fluidigm Corporation and U.S. Bank National</w:t>
              </w:r>
            </w:hyperlink>
          </w:p>
        </w:tc>
        <w:tc>
          <w:tcPr>
            <w:tcW w:w="340" w:type="dxa"/>
            <w:vAlign w:val="bottom"/>
            <w:tcBorders>
              <w:top w:val="single" w:sz="8" w:color="0000EE"/>
            </w:tcBorders>
            <w:gridSpan w:val="5"/>
          </w:tcPr>
          <w:p>
            <w:pPr>
              <w:spacing w:after="0"/>
              <w:rPr>
                <w:sz w:val="17"/>
                <w:szCs w:val="17"/>
                <w:color w:val="auto"/>
              </w:rPr>
            </w:pPr>
          </w:p>
        </w:tc>
        <w:tc>
          <w:tcPr>
            <w:tcW w:w="560" w:type="dxa"/>
            <w:vAlign w:val="bottom"/>
            <w:gridSpan w:val="7"/>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Association.</w:t>
              </w:r>
            </w:hyperlink>
          </w:p>
        </w:tc>
        <w:tc>
          <w:tcPr>
            <w:tcW w:w="3340" w:type="dxa"/>
            <w:vAlign w:val="bottom"/>
            <w:gridSpan w:val="18"/>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jc w:val="center"/>
              <w:spacing w:after="0" w:line="196" w:lineRule="exact"/>
              <w:rPr>
                <w:rFonts w:ascii="Arial" w:cs="Arial" w:eastAsia="Arial" w:hAnsi="Arial"/>
                <w:sz w:val="18"/>
                <w:szCs w:val="18"/>
                <w:color w:val="0000EE"/>
                <w:w w:val="74"/>
              </w:rPr>
            </w:pPr>
            <w:hyperlink r:id="rId31">
              <w:r>
                <w:rPr>
                  <w:rFonts w:ascii="Arial" w:cs="Arial" w:eastAsia="Arial" w:hAnsi="Arial"/>
                  <w:sz w:val="18"/>
                  <w:szCs w:val="18"/>
                  <w:color w:val="0000EE"/>
                  <w:w w:val="74"/>
                </w:rPr>
                <w:t>4.</w:t>
              </w:r>
              <w:r>
                <w:rPr>
                  <w:rFonts w:ascii="Arial" w:cs="Arial" w:eastAsia="Arial" w:hAnsi="Arial"/>
                  <w:sz w:val="18"/>
                  <w:szCs w:val="18"/>
                  <w:u w:val="single" w:color="auto"/>
                  <w:color w:val="0000EE"/>
                  <w:w w:val="74"/>
                </w:rPr>
                <w:t>10</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0"/>
          </w:tcPr>
          <w:p>
            <w:pPr>
              <w:spacing w:after="0" w:line="196" w:lineRule="exact"/>
              <w:rPr>
                <w:rFonts w:ascii="Arial" w:cs="Arial" w:eastAsia="Arial" w:hAnsi="Arial"/>
                <w:sz w:val="18"/>
                <w:szCs w:val="18"/>
                <w:color w:val="0000EE"/>
                <w:w w:val="95"/>
              </w:rPr>
            </w:pPr>
            <w:hyperlink r:id="rId31">
              <w:r>
                <w:rPr>
                  <w:rFonts w:ascii="Arial" w:cs="Arial" w:eastAsia="Arial" w:hAnsi="Arial"/>
                  <w:sz w:val="18"/>
                  <w:szCs w:val="18"/>
                  <w:color w:val="0000EE"/>
                  <w:w w:val="95"/>
                </w:rPr>
                <w:t>First Supplement Indenture, dated February 4, 2014, by</w:t>
              </w:r>
            </w:hyperlink>
          </w:p>
        </w:tc>
        <w:tc>
          <w:tcPr>
            <w:tcW w:w="1820" w:type="dxa"/>
            <w:vAlign w:val="bottom"/>
            <w:gridSpan w:val="5"/>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8-K</w:t>
              </w:r>
            </w:hyperlink>
          </w:p>
        </w:tc>
        <w:tc>
          <w:tcPr>
            <w:tcW w:w="320" w:type="dxa"/>
            <w:vAlign w:val="bottom"/>
            <w:gridSpan w:val="2"/>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gridSpan w:val="3"/>
          </w:tcPr>
          <w:p>
            <w:pPr>
              <w:ind w:left="100"/>
              <w:spacing w:after="0" w:line="196" w:lineRule="exact"/>
              <w:rPr>
                <w:rFonts w:ascii="Arial" w:cs="Arial" w:eastAsia="Arial" w:hAnsi="Arial"/>
                <w:sz w:val="18"/>
                <w:szCs w:val="18"/>
                <w:color w:val="0000EE"/>
                <w:w w:val="99"/>
              </w:rPr>
            </w:pPr>
            <w:hyperlink r:id="rId31">
              <w:r>
                <w:rPr>
                  <w:rFonts w:ascii="Arial" w:cs="Arial" w:eastAsia="Arial" w:hAnsi="Arial"/>
                  <w:sz w:val="18"/>
                  <w:szCs w:val="18"/>
                  <w:color w:val="0000EE"/>
                  <w:w w:val="99"/>
                </w:rPr>
                <w:t>2/4/2014</w:t>
              </w:r>
            </w:hyperlink>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and between Fluidigm Corporation and U.S. Bank</w:t>
              </w:r>
            </w:hyperlink>
          </w:p>
        </w:tc>
        <w:tc>
          <w:tcPr>
            <w:tcW w:w="240" w:type="dxa"/>
            <w:vAlign w:val="bottom"/>
            <w:gridSpan w:val="3"/>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National Association.</w:t>
              </w:r>
            </w:hyperlink>
          </w:p>
        </w:tc>
        <w:tc>
          <w:tcPr>
            <w:tcW w:w="62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0" w:type="dxa"/>
            <w:vAlign w:val="bottom"/>
            <w:gridSpan w:val="2"/>
          </w:tcPr>
          <w:p>
            <w:pPr>
              <w:jc w:val="center"/>
              <w:ind w:left="630"/>
              <w:spacing w:after="0" w:line="196" w:lineRule="exact"/>
              <w:rPr>
                <w:rFonts w:ascii="Arial" w:cs="Arial" w:eastAsia="Arial" w:hAnsi="Arial"/>
                <w:sz w:val="18"/>
                <w:szCs w:val="18"/>
                <w:color w:val="0000EE"/>
                <w:w w:val="85"/>
              </w:rPr>
            </w:pPr>
            <w:hyperlink r:id="rId3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0"/>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Form of Global Note (included in Exhibit 4.10).</w:t>
              </w:r>
            </w:hyperlink>
          </w:p>
        </w:tc>
        <w:tc>
          <w:tcPr>
            <w:tcW w:w="1820" w:type="dxa"/>
            <w:vAlign w:val="bottom"/>
            <w:gridSpan w:val="5"/>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8-K</w:t>
              </w:r>
            </w:hyperlink>
          </w:p>
        </w:tc>
        <w:tc>
          <w:tcPr>
            <w:tcW w:w="320" w:type="dxa"/>
            <w:vAlign w:val="bottom"/>
            <w:gridSpan w:val="2"/>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gridSpan w:val="3"/>
          </w:tcPr>
          <w:p>
            <w:pPr>
              <w:ind w:left="100"/>
              <w:spacing w:after="0" w:line="196" w:lineRule="exact"/>
              <w:rPr>
                <w:rFonts w:ascii="Arial" w:cs="Arial" w:eastAsia="Arial" w:hAnsi="Arial"/>
                <w:sz w:val="18"/>
                <w:szCs w:val="18"/>
                <w:color w:val="0000EE"/>
                <w:w w:val="99"/>
              </w:rPr>
            </w:pPr>
            <w:hyperlink r:id="rId31">
              <w:r>
                <w:rPr>
                  <w:rFonts w:ascii="Arial" w:cs="Arial" w:eastAsia="Arial" w:hAnsi="Arial"/>
                  <w:sz w:val="18"/>
                  <w:szCs w:val="18"/>
                  <w:color w:val="0000EE"/>
                  <w:w w:val="99"/>
                </w:rPr>
                <w:t>2/4/2014</w:t>
              </w:r>
            </w:hyperlink>
          </w:p>
        </w:tc>
        <w:tc>
          <w:tcPr>
            <w:tcW w:w="980" w:type="dxa"/>
            <w:vAlign w:val="bottom"/>
          </w:tcPr>
          <w:p>
            <w:pPr>
              <w:spacing w:after="0"/>
              <w:rPr>
                <w:sz w:val="17"/>
                <w:szCs w:val="17"/>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60" w:type="dxa"/>
            <w:vAlign w:val="bottom"/>
          </w:tcPr>
          <w:p>
            <w:pPr>
              <w:jc w:val="center"/>
              <w:spacing w:after="0" w:line="196" w:lineRule="exact"/>
              <w:rPr>
                <w:rFonts w:ascii="Arial" w:cs="Arial" w:eastAsia="Arial" w:hAnsi="Arial"/>
                <w:sz w:val="18"/>
                <w:szCs w:val="18"/>
                <w:color w:val="0000EE"/>
                <w:w w:val="74"/>
              </w:rPr>
            </w:pPr>
            <w:hyperlink r:id="rId32">
              <w:r>
                <w:rPr>
                  <w:rFonts w:ascii="Arial" w:cs="Arial" w:eastAsia="Arial" w:hAnsi="Arial"/>
                  <w:sz w:val="18"/>
                  <w:szCs w:val="18"/>
                  <w:color w:val="0000EE"/>
                  <w:w w:val="74"/>
                </w:rPr>
                <w:t>4.</w:t>
              </w:r>
              <w:r>
                <w:rPr>
                  <w:rFonts w:ascii="Arial" w:cs="Arial" w:eastAsia="Arial" w:hAnsi="Arial"/>
                  <w:sz w:val="18"/>
                  <w:szCs w:val="18"/>
                  <w:u w:val="single" w:color="auto"/>
                  <w:color w:val="0000EE"/>
                  <w:w w:val="74"/>
                </w:rPr>
                <w:t>12</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0"/>
          </w:tcPr>
          <w:p>
            <w:pPr>
              <w:spacing w:after="0" w:line="196" w:lineRule="exact"/>
              <w:rPr>
                <w:rFonts w:ascii="Arial" w:cs="Arial" w:eastAsia="Arial" w:hAnsi="Arial"/>
                <w:sz w:val="18"/>
                <w:szCs w:val="18"/>
                <w:color w:val="0000EE"/>
                <w:w w:val="96"/>
              </w:rPr>
            </w:pPr>
            <w:hyperlink r:id="rId32">
              <w:r>
                <w:rPr>
                  <w:rFonts w:ascii="Arial" w:cs="Arial" w:eastAsia="Arial" w:hAnsi="Arial"/>
                  <w:sz w:val="18"/>
                  <w:szCs w:val="18"/>
                  <w:color w:val="0000EE"/>
                  <w:w w:val="96"/>
                </w:rPr>
                <w:t>Second Supplemental Indenture, dated March 6, 2018,</w:t>
              </w:r>
            </w:hyperlink>
          </w:p>
        </w:tc>
        <w:tc>
          <w:tcPr>
            <w:tcW w:w="1820" w:type="dxa"/>
            <w:vAlign w:val="bottom"/>
            <w:gridSpan w:val="5"/>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8-K</w:t>
              </w:r>
            </w:hyperlink>
          </w:p>
        </w:tc>
        <w:tc>
          <w:tcPr>
            <w:tcW w:w="320" w:type="dxa"/>
            <w:vAlign w:val="bottom"/>
            <w:gridSpan w:val="2"/>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gridSpan w:val="3"/>
          </w:tcPr>
          <w:p>
            <w:pPr>
              <w:ind w:left="100"/>
              <w:spacing w:after="0" w:line="196" w:lineRule="exact"/>
              <w:rPr>
                <w:rFonts w:ascii="Arial" w:cs="Arial" w:eastAsia="Arial" w:hAnsi="Arial"/>
                <w:sz w:val="18"/>
                <w:szCs w:val="18"/>
                <w:color w:val="0000EE"/>
                <w:w w:val="99"/>
              </w:rPr>
            </w:pPr>
            <w:hyperlink r:id="rId32">
              <w:r>
                <w:rPr>
                  <w:rFonts w:ascii="Arial" w:cs="Arial" w:eastAsia="Arial" w:hAnsi="Arial"/>
                  <w:sz w:val="18"/>
                  <w:szCs w:val="18"/>
                  <w:color w:val="0000EE"/>
                  <w:w w:val="99"/>
                </w:rPr>
                <w:t>3/6/2018</w:t>
              </w:r>
            </w:hyperlink>
          </w:p>
        </w:tc>
        <w:tc>
          <w:tcPr>
            <w:tcW w:w="980" w:type="dxa"/>
            <w:vAlign w:val="bottom"/>
          </w:tcPr>
          <w:p>
            <w:pPr>
              <w:spacing w:after="0"/>
              <w:rPr>
                <w:sz w:val="17"/>
                <w:szCs w:val="17"/>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0"/>
          </w:tcPr>
          <w:p>
            <w:pPr>
              <w:spacing w:after="0" w:line="196" w:lineRule="exact"/>
              <w:rPr>
                <w:rFonts w:ascii="Arial" w:cs="Arial" w:eastAsia="Arial" w:hAnsi="Arial"/>
                <w:sz w:val="18"/>
                <w:szCs w:val="18"/>
                <w:color w:val="0000EE"/>
                <w:w w:val="97"/>
              </w:rPr>
            </w:pPr>
            <w:hyperlink r:id="rId32">
              <w:r>
                <w:rPr>
                  <w:rFonts w:ascii="Arial" w:cs="Arial" w:eastAsia="Arial" w:hAnsi="Arial"/>
                  <w:sz w:val="18"/>
                  <w:szCs w:val="18"/>
                  <w:color w:val="0000EE"/>
                  <w:w w:val="97"/>
                </w:rPr>
                <w:t>between Fluidigm Corporation and U.S. Bank National</w:t>
              </w:r>
            </w:hyperlink>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32">
              <w:r>
                <w:rPr>
                  <w:rFonts w:ascii="Arial" w:cs="Arial" w:eastAsia="Arial" w:hAnsi="Arial"/>
                  <w:sz w:val="18"/>
                  <w:szCs w:val="18"/>
                  <w:color w:val="0000EE"/>
                  <w:w w:val="90"/>
                </w:rPr>
                <w:t>Association.</w:t>
              </w:r>
            </w:hyperlink>
          </w:p>
        </w:tc>
        <w:tc>
          <w:tcPr>
            <w:tcW w:w="3080" w:type="dxa"/>
            <w:vAlign w:val="bottom"/>
            <w:tcBorders>
              <w:top w:val="single" w:sz="8" w:color="0000EE"/>
            </w:tcBorders>
            <w:gridSpan w:val="14"/>
          </w:tcPr>
          <w:p>
            <w:pPr>
              <w:spacing w:after="0"/>
              <w:rPr>
                <w:sz w:val="17"/>
                <w:szCs w:val="17"/>
                <w:color w:val="auto"/>
              </w:rPr>
            </w:pPr>
          </w:p>
        </w:tc>
        <w:tc>
          <w:tcPr>
            <w:tcW w:w="26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jc w:val="center"/>
              <w:spacing w:after="0" w:line="196" w:lineRule="exact"/>
              <w:rPr>
                <w:rFonts w:ascii="Arial" w:cs="Arial" w:eastAsia="Arial" w:hAnsi="Arial"/>
                <w:sz w:val="18"/>
                <w:szCs w:val="18"/>
                <w:color w:val="0000EE"/>
                <w:w w:val="74"/>
              </w:rPr>
            </w:pPr>
            <w:hyperlink r:id="rId33">
              <w:r>
                <w:rPr>
                  <w:rFonts w:ascii="Arial" w:cs="Arial" w:eastAsia="Arial" w:hAnsi="Arial"/>
                  <w:sz w:val="18"/>
                  <w:szCs w:val="18"/>
                  <w:color w:val="0000EE"/>
                  <w:w w:val="74"/>
                </w:rPr>
                <w:t>4.</w:t>
              </w:r>
              <w:r>
                <w:rPr>
                  <w:rFonts w:ascii="Arial" w:cs="Arial" w:eastAsia="Arial" w:hAnsi="Arial"/>
                  <w:sz w:val="18"/>
                  <w:szCs w:val="18"/>
                  <w:u w:val="single" w:color="auto"/>
                  <w:color w:val="0000EE"/>
                  <w:w w:val="74"/>
                </w:rPr>
                <w:t>13</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gridSpan w:val="18"/>
          </w:tcPr>
          <w:p>
            <w:pPr>
              <w:spacing w:after="0" w:line="196" w:lineRule="exact"/>
              <w:rPr>
                <w:rFonts w:ascii="Arial" w:cs="Arial" w:eastAsia="Arial" w:hAnsi="Arial"/>
                <w:sz w:val="18"/>
                <w:szCs w:val="18"/>
                <w:color w:val="0000EE"/>
                <w:w w:val="90"/>
              </w:rPr>
            </w:pPr>
            <w:hyperlink r:id="rId33">
              <w:r>
                <w:rPr>
                  <w:rFonts w:ascii="Arial" w:cs="Arial" w:eastAsia="Arial" w:hAnsi="Arial"/>
                  <w:sz w:val="18"/>
                  <w:szCs w:val="18"/>
                  <w:color w:val="0000EE"/>
                  <w:w w:val="90"/>
                </w:rPr>
                <w:t>Loan and Security Agreement, dated and effective as of</w:t>
              </w:r>
            </w:hyperlink>
          </w:p>
        </w:tc>
        <w:tc>
          <w:tcPr>
            <w:tcW w:w="180" w:type="dxa"/>
            <w:vAlign w:val="bottom"/>
            <w:gridSpan w:val="2"/>
          </w:tcPr>
          <w:p>
            <w:pPr>
              <w:spacing w:after="0"/>
              <w:rPr>
                <w:sz w:val="17"/>
                <w:szCs w:val="17"/>
                <w:color w:val="auto"/>
              </w:rPr>
            </w:pPr>
          </w:p>
        </w:tc>
        <w:tc>
          <w:tcPr>
            <w:tcW w:w="1820" w:type="dxa"/>
            <w:vAlign w:val="bottom"/>
            <w:gridSpan w:val="5"/>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8-K</w:t>
              </w:r>
            </w:hyperlink>
          </w:p>
        </w:tc>
        <w:tc>
          <w:tcPr>
            <w:tcW w:w="420" w:type="dxa"/>
            <w:vAlign w:val="bottom"/>
            <w:gridSpan w:val="3"/>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300" w:type="dxa"/>
            <w:vAlign w:val="bottom"/>
          </w:tcPr>
          <w:p>
            <w:pPr>
              <w:spacing w:after="0"/>
              <w:rPr>
                <w:sz w:val="17"/>
                <w:szCs w:val="17"/>
                <w:color w:val="auto"/>
              </w:rPr>
            </w:pPr>
          </w:p>
        </w:tc>
        <w:tc>
          <w:tcPr>
            <w:tcW w:w="820" w:type="dxa"/>
            <w:vAlign w:val="bottom"/>
            <w:gridSpan w:val="3"/>
          </w:tcPr>
          <w:p>
            <w:pPr>
              <w:ind w:left="100"/>
              <w:spacing w:after="0" w:line="196" w:lineRule="exact"/>
              <w:rPr>
                <w:rFonts w:ascii="Arial" w:cs="Arial" w:eastAsia="Arial" w:hAnsi="Arial"/>
                <w:sz w:val="18"/>
                <w:szCs w:val="18"/>
                <w:color w:val="0000EE"/>
                <w:w w:val="99"/>
              </w:rPr>
            </w:pPr>
            <w:hyperlink r:id="rId33">
              <w:r>
                <w:rPr>
                  <w:rFonts w:ascii="Arial" w:cs="Arial" w:eastAsia="Arial" w:hAnsi="Arial"/>
                  <w:sz w:val="18"/>
                  <w:szCs w:val="18"/>
                  <w:color w:val="0000EE"/>
                  <w:w w:val="99"/>
                </w:rPr>
                <w:t>8/2/2018</w:t>
              </w:r>
            </w:hyperlink>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August 2, 2018, between Silicon Valley Bank and</w:t>
              </w:r>
            </w:hyperlink>
          </w:p>
        </w:tc>
        <w:tc>
          <w:tcPr>
            <w:tcW w:w="180" w:type="dxa"/>
            <w:vAlign w:val="bottom"/>
            <w:gridSpan w:val="2"/>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Fluidigm Corporation.</w:t>
              </w:r>
            </w:hyperlink>
          </w:p>
        </w:tc>
        <w:tc>
          <w:tcPr>
            <w:tcW w:w="660" w:type="dxa"/>
            <w:vAlign w:val="bottom"/>
            <w:gridSpan w:val="10"/>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0" w:type="dxa"/>
            <w:vAlign w:val="bottom"/>
            <w:gridSpan w:val="2"/>
          </w:tcPr>
          <w:p>
            <w:pPr>
              <w:jc w:val="center"/>
              <w:ind w:left="630"/>
              <w:spacing w:after="0" w:line="196" w:lineRule="exact"/>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0"/>
          </w:tcPr>
          <w:p>
            <w:pPr>
              <w:spacing w:after="0" w:line="196" w:lineRule="exact"/>
              <w:rPr>
                <w:sz w:val="20"/>
                <w:szCs w:val="20"/>
                <w:color w:val="auto"/>
              </w:rPr>
            </w:pPr>
            <w:r>
              <w:rPr>
                <w:rFonts w:ascii="Arial" w:cs="Arial" w:eastAsia="Arial" w:hAnsi="Arial"/>
                <w:sz w:val="18"/>
                <w:szCs w:val="18"/>
                <w:color w:val="0000EE"/>
              </w:rPr>
              <w:t>Opinion of Wilson Sonsini Goodrich &amp; Rosati,</w:t>
            </w:r>
          </w:p>
        </w:tc>
        <w:tc>
          <w:tcPr>
            <w:tcW w:w="1820" w:type="dxa"/>
            <w:vAlign w:val="bottom"/>
            <w:gridSpan w:val="5"/>
          </w:tcPr>
          <w:p>
            <w:pPr>
              <w:spacing w:after="0" w:line="196" w:lineRule="exact"/>
              <w:rPr>
                <w:sz w:val="20"/>
                <w:szCs w:val="20"/>
                <w:color w:val="auto"/>
              </w:rPr>
            </w:pPr>
            <w:r>
              <w:rPr>
                <w:rFonts w:ascii="Arial" w:cs="Arial" w:eastAsia="Arial" w:hAnsi="Arial"/>
                <w:sz w:val="18"/>
                <w:szCs w:val="18"/>
                <w:color w:val="0000EE"/>
              </w:rPr>
              <w:t>Filed herewith.</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Professional Corporation.</w:t>
            </w:r>
          </w:p>
        </w:tc>
        <w:tc>
          <w:tcPr>
            <w:tcW w:w="1600" w:type="dxa"/>
            <w:vAlign w:val="bottom"/>
            <w:tcBorders>
              <w:top w:val="single" w:sz="8" w:color="0000EE"/>
            </w:tcBorders>
            <w:gridSpan w:val="4"/>
          </w:tcPr>
          <w:p>
            <w:pPr>
              <w:spacing w:after="0"/>
              <w:rPr>
                <w:sz w:val="17"/>
                <w:szCs w:val="17"/>
                <w:color w:val="auto"/>
              </w:rPr>
            </w:pPr>
          </w:p>
        </w:tc>
        <w:tc>
          <w:tcPr>
            <w:tcW w:w="780" w:type="dxa"/>
            <w:vAlign w:val="bottom"/>
            <w:gridSpan w:val="11"/>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jc w:val="center"/>
              <w:spacing w:after="0" w:line="196" w:lineRule="exact"/>
              <w:rPr>
                <w:sz w:val="20"/>
                <w:szCs w:val="20"/>
                <w:color w:val="auto"/>
              </w:rPr>
            </w:pPr>
            <w:r>
              <w:rPr>
                <w:rFonts w:ascii="Arial" w:cs="Arial" w:eastAsia="Arial" w:hAnsi="Arial"/>
                <w:sz w:val="18"/>
                <w:szCs w:val="18"/>
                <w:color w:val="0000EE"/>
                <w:w w:val="74"/>
              </w:rPr>
              <w:t>23.</w:t>
            </w:r>
            <w:r>
              <w:rPr>
                <w:rFonts w:ascii="Arial" w:cs="Arial" w:eastAsia="Arial" w:hAnsi="Arial"/>
                <w:sz w:val="18"/>
                <w:szCs w:val="18"/>
                <w:u w:val="single" w:color="auto"/>
                <w:color w:val="0000EE"/>
                <w:w w:val="74"/>
              </w:rPr>
              <w:t>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0"/>
          </w:tcPr>
          <w:p>
            <w:pPr>
              <w:spacing w:after="0" w:line="196" w:lineRule="exact"/>
              <w:rPr>
                <w:sz w:val="20"/>
                <w:szCs w:val="20"/>
                <w:color w:val="auto"/>
              </w:rPr>
            </w:pPr>
            <w:r>
              <w:rPr>
                <w:rFonts w:ascii="Arial" w:cs="Arial" w:eastAsia="Arial" w:hAnsi="Arial"/>
                <w:sz w:val="18"/>
                <w:szCs w:val="18"/>
                <w:color w:val="0000EE"/>
                <w:w w:val="95"/>
              </w:rPr>
              <w:t>Consent of PricewaterhouseCoopers LLP, Independent</w:t>
            </w:r>
          </w:p>
        </w:tc>
        <w:tc>
          <w:tcPr>
            <w:tcW w:w="1820" w:type="dxa"/>
            <w:vAlign w:val="bottom"/>
            <w:gridSpan w:val="5"/>
          </w:tcPr>
          <w:p>
            <w:pPr>
              <w:spacing w:after="0" w:line="196" w:lineRule="exact"/>
              <w:rPr>
                <w:sz w:val="20"/>
                <w:szCs w:val="20"/>
                <w:color w:val="auto"/>
              </w:rPr>
            </w:pPr>
            <w:r>
              <w:rPr>
                <w:rFonts w:ascii="Arial" w:cs="Arial" w:eastAsia="Arial" w:hAnsi="Arial"/>
                <w:sz w:val="18"/>
                <w:szCs w:val="18"/>
                <w:color w:val="0000EE"/>
              </w:rPr>
              <w:t>Filed herewith.</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Registered Public Accounting Firm.</w:t>
            </w:r>
          </w:p>
        </w:tc>
        <w:tc>
          <w:tcPr>
            <w:tcW w:w="300" w:type="dxa"/>
            <w:vAlign w:val="bottom"/>
            <w:gridSpan w:val="5"/>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6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74"/>
              </w:rPr>
              <w:t>23.</w:t>
            </w:r>
            <w:r>
              <w:rPr>
                <w:rFonts w:ascii="Arial" w:cs="Arial" w:eastAsia="Arial" w:hAnsi="Arial"/>
                <w:sz w:val="18"/>
                <w:szCs w:val="18"/>
                <w:u w:val="single" w:color="auto"/>
                <w:color w:val="0000EE"/>
                <w:w w:val="74"/>
              </w:rPr>
              <w:t>3</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Consent of Wilson Sonsini Goodrich &amp; Rosati,</w:t>
            </w:r>
          </w:p>
        </w:tc>
        <w:tc>
          <w:tcPr>
            <w:tcW w:w="78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0"/>
          </w:tcPr>
          <w:p>
            <w:pPr>
              <w:spacing w:after="0" w:line="196" w:lineRule="exact"/>
              <w:rPr>
                <w:sz w:val="20"/>
                <w:szCs w:val="20"/>
                <w:color w:val="auto"/>
              </w:rPr>
            </w:pPr>
            <w:r>
              <w:rPr>
                <w:rFonts w:ascii="Arial" w:cs="Arial" w:eastAsia="Arial" w:hAnsi="Arial"/>
                <w:sz w:val="18"/>
                <w:szCs w:val="18"/>
                <w:color w:val="0000EE"/>
              </w:rPr>
              <w:t>Professional Corporation (contained in Exhibit 5.1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hereto).</w:t>
            </w:r>
          </w:p>
        </w:tc>
        <w:tc>
          <w:tcPr>
            <w:tcW w:w="3080" w:type="dxa"/>
            <w:vAlign w:val="bottom"/>
            <w:tcBorders>
              <w:top w:val="single" w:sz="8" w:color="0000EE"/>
            </w:tcBorders>
            <w:gridSpan w:val="11"/>
          </w:tcPr>
          <w:p>
            <w:pPr>
              <w:spacing w:after="0"/>
              <w:rPr>
                <w:sz w:val="17"/>
                <w:szCs w:val="17"/>
                <w:color w:val="auto"/>
              </w:rPr>
            </w:pPr>
          </w:p>
        </w:tc>
        <w:tc>
          <w:tcPr>
            <w:tcW w:w="6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60" w:type="dxa"/>
            <w:vAlign w:val="bottom"/>
          </w:tcPr>
          <w:p>
            <w:pPr>
              <w:jc w:val="center"/>
              <w:spacing w:after="0" w:line="196" w:lineRule="exact"/>
              <w:rPr>
                <w:rFonts w:ascii="Arial" w:cs="Arial" w:eastAsia="Arial" w:hAnsi="Arial"/>
                <w:sz w:val="18"/>
                <w:szCs w:val="18"/>
                <w:color w:val="0000EE"/>
                <w:w w:val="74"/>
              </w:rPr>
            </w:pPr>
            <w:hyperlink w:anchor="page8">
              <w:r>
                <w:rPr>
                  <w:rFonts w:ascii="Arial" w:cs="Arial" w:eastAsia="Arial" w:hAnsi="Arial"/>
                  <w:sz w:val="18"/>
                  <w:szCs w:val="18"/>
                  <w:color w:val="0000EE"/>
                  <w:w w:val="74"/>
                </w:rPr>
                <w:t>24.</w:t>
              </w:r>
              <w:r>
                <w:rPr>
                  <w:rFonts w:ascii="Arial" w:cs="Arial" w:eastAsia="Arial" w:hAnsi="Arial"/>
                  <w:sz w:val="18"/>
                  <w:szCs w:val="18"/>
                  <w:u w:val="single" w:color="auto"/>
                  <w:color w:val="0000EE"/>
                  <w:w w:val="74"/>
                </w:rPr>
                <w:t>1</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0"/>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Power of Attorney (contained on signature page hereto).</w:t>
              </w:r>
            </w:hyperlink>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contract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00" w:right="200" w:firstLine="5"/>
        <w:spacing w:after="0" w:line="272" w:lineRule="auto"/>
        <w:tabs>
          <w:tab w:leader="none" w:pos="1565"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1300" w:right="280" w:firstLine="5"/>
        <w:spacing w:after="0" w:line="277" w:lineRule="auto"/>
        <w:tabs>
          <w:tab w:leader="none" w:pos="1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(1)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81" w:lineRule="exact"/>
        <w:rPr>
          <w:sz w:val="20"/>
          <w:szCs w:val="20"/>
          <w:color w:val="auto"/>
        </w:rPr>
      </w:pPr>
    </w:p>
    <w:p>
      <w:pPr>
        <w:ind w:left="660" w:right="160" w:hanging="4"/>
        <w:spacing w:after="0" w:line="264" w:lineRule="auto"/>
        <w:tabs>
          <w:tab w:leader="none" w:pos="91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820" w:hanging="4"/>
        <w:spacing w:after="0" w:line="277" w:lineRule="auto"/>
        <w:tabs>
          <w:tab w:leader="none" w:pos="915"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40" w:firstLine="8"/>
        <w:spacing w:after="0" w:line="257"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right="80" w:firstLine="8"/>
        <w:spacing w:after="0" w:line="254"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June 28, 2019.</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Stephen Christopher Linthwaite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Christopher Linthwaite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Stephen Christopher Linthwaite and Vikram Jog, and each of them severally, as his or her true and lawful attorneys-in-fact and agents, with full power of substitution and resubstitution, for him or her and in his or her name, place and stead, in any and all capacities, to sign the Registration Statement on Form S-8 of Fluidigm Corporation, and to sign, date and file any and all amendments thereto (including post-effective amendments to this Registration Statement, in each case on his or her behalf, in any and all capacities stated below, as appropriate, in such forms as they or any one of them may approve),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to the end that such Registration Statement or Registration Statements shall comply with the Securities Act of 1933, as amended, and the applicable Rules and Regulations adopted or issued pursuant thereto, as fully for all intents and purposes as he or she might or could do in person, hereby and about the premises hereby ratifying and confirming all that said attorneys-in-fact and agent, proxy and agent, or his, her or their substitute or substitutes, may lawfully do or cause to be done by virtue hereof, and generally to do all such things on their behalf in their capacities as officers and directors to enable the Registrant to comply with the provisions of the Securities Act of 1933, and all requirements of the Securities and Exchange Commission.</w:t>
      </w:r>
    </w:p>
    <w:p>
      <w:pPr>
        <w:spacing w:after="0" w:line="16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Stephen Christopher Linthwaite</w:t>
            </w:r>
          </w:p>
        </w:tc>
        <w:tc>
          <w:tcPr>
            <w:tcW w:w="12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28, 2019</w:t>
            </w: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1"/>
              </w:rPr>
              <w:t>Stephen Christopher Linthwaite</w:t>
            </w:r>
          </w:p>
        </w:tc>
        <w:tc>
          <w:tcPr>
            <w:tcW w:w="120" w:type="dxa"/>
            <w:vAlign w:val="bottom"/>
          </w:tcPr>
          <w:p>
            <w:pPr>
              <w:spacing w:after="0"/>
              <w:rPr>
                <w:sz w:val="19"/>
                <w:szCs w:val="19"/>
                <w:color w:val="auto"/>
              </w:rPr>
            </w:pPr>
          </w:p>
        </w:tc>
        <w:tc>
          <w:tcPr>
            <w:tcW w:w="51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8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Vikram Jog</w:t>
            </w:r>
          </w:p>
        </w:tc>
        <w:tc>
          <w:tcPr>
            <w:tcW w:w="12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28, 2019</w:t>
            </w: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3"/>
              </w:rPr>
              <w:t>Vikram Jog</w:t>
            </w:r>
          </w:p>
        </w:tc>
        <w:tc>
          <w:tcPr>
            <w:tcW w:w="120" w:type="dxa"/>
            <w:vAlign w:val="bottom"/>
          </w:tcPr>
          <w:p>
            <w:pPr>
              <w:spacing w:after="0"/>
              <w:rPr>
                <w:sz w:val="19"/>
                <w:szCs w:val="19"/>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228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Samuel D. Colella</w:t>
            </w:r>
          </w:p>
        </w:tc>
        <w:tc>
          <w:tcPr>
            <w:tcW w:w="12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Chairman of the Board of Directors</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28, 2019</w:t>
            </w: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1"/>
              </w:rPr>
              <w:t>Samuel D. Colella</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Nicolas Barthelemy</w:t>
            </w:r>
          </w:p>
        </w:tc>
        <w:tc>
          <w:tcPr>
            <w:tcW w:w="12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28, 2019</w:t>
            </w: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2"/>
              </w:rPr>
              <w:t>Nicolas Barthelemy</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Gerhard F. Burbach</w:t>
            </w:r>
          </w:p>
        </w:tc>
        <w:tc>
          <w:tcPr>
            <w:tcW w:w="12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28, 2019</w:t>
            </w: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9"/>
              </w:rPr>
              <w:t>Gerhard F. Burbach</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Laura M. Clague</w:t>
            </w:r>
          </w:p>
        </w:tc>
        <w:tc>
          <w:tcPr>
            <w:tcW w:w="12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28, 2019</w:t>
            </w: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1"/>
              </w:rPr>
              <w:t>Laura M. Clague</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Patrick S. Jones</w:t>
            </w:r>
          </w:p>
        </w:tc>
        <w:tc>
          <w:tcPr>
            <w:tcW w:w="12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28, 2019</w:t>
            </w: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7"/>
              </w:rPr>
              <w:t>Patrick S. Jones</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Carlos Paya</w:t>
            </w:r>
          </w:p>
        </w:tc>
        <w:tc>
          <w:tcPr>
            <w:tcW w:w="12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28, 2019</w:t>
            </w: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87"/>
              </w:rPr>
              <w:t>Carlos Paya</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4"/>
        </w:trPr>
        <w:tc>
          <w:tcPr>
            <w:tcW w:w="39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2"/>
          </w:tcPr>
          <w:p>
            <w:pPr>
              <w:jc w:val="right"/>
              <w:ind w:right="31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54"/>
        <w:spacing w:after="0" w:line="257" w:lineRule="auto"/>
        <w:rPr>
          <w:sz w:val="20"/>
          <w:szCs w:val="20"/>
          <w:color w:val="auto"/>
        </w:rPr>
      </w:pPr>
      <w:r>
        <w:rPr>
          <w:rFonts w:ascii="Arial" w:cs="Arial" w:eastAsia="Arial" w:hAnsi="Arial"/>
          <w:sz w:val="18"/>
          <w:szCs w:val="18"/>
          <w:color w:val="auto"/>
        </w:rPr>
        <w:t>We have examined the Registration Statement on Form S-8 (the “Registration Statement”) to be filed by Fluidigm Corporation, a Delaware corporation, with the Securities and Exchange Commission on or about the date hereof, in connection with the registration under the Securities Act of 1933, as amended, of 4,950,644 shares of your common stock, par value $0.001 per share (the “Shares”), reserved for future issuance pursuant to the 2011 Equity Incentive Plan (the “Plan”). As your legal counsel, we have reviewed the actions proposed to be taken by you in connection with the issuance and sale of the Shares to be issued under the Plan.</w:t>
      </w:r>
    </w:p>
    <w:p>
      <w:pPr>
        <w:spacing w:after="0" w:line="188" w:lineRule="exact"/>
        <w:rPr>
          <w:sz w:val="20"/>
          <w:szCs w:val="20"/>
          <w:color w:val="auto"/>
        </w:rPr>
      </w:pPr>
    </w:p>
    <w:p>
      <w:pPr>
        <w:jc w:val="both"/>
        <w:ind w:firstLine="454"/>
        <w:spacing w:after="0" w:line="277" w:lineRule="auto"/>
        <w:rPr>
          <w:sz w:val="20"/>
          <w:szCs w:val="20"/>
          <w:color w:val="auto"/>
        </w:rPr>
      </w:pPr>
      <w:r>
        <w:rPr>
          <w:rFonts w:ascii="Arial" w:cs="Arial" w:eastAsia="Arial" w:hAnsi="Arial"/>
          <w:sz w:val="18"/>
          <w:szCs w:val="18"/>
          <w:color w:val="auto"/>
        </w:rPr>
        <w:t>It is our opinion that the Shares, when issued and sold in the manner referred to in the Plan and pursuant to the agreements that accompany the Plan, will be legally and validly issued, fully paid and nonassessable.</w:t>
      </w:r>
    </w:p>
    <w:p>
      <w:pPr>
        <w:spacing w:after="0" w:line="170" w:lineRule="exact"/>
        <w:rPr>
          <w:sz w:val="20"/>
          <w:szCs w:val="20"/>
          <w:color w:val="auto"/>
        </w:rPr>
      </w:pPr>
    </w:p>
    <w:p>
      <w:pPr>
        <w:jc w:val="both"/>
        <w:ind w:firstLine="454"/>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Fluidigm Corporation of our report dated March 18, 2019 relating to the financial statements, financial statement schedule and the effectiveness of internal control over financial reporting, which appears in Fluidigm Corporation's Annual Report on Form 10-K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Roman"/>
      <w:start w:val="1"/>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1"/>
      <w:numFmt w:val="upperLetter"/>
      <w:start w:val="1"/>
    </w:lvl>
    <w:lvl w:ilvl="1">
      <w:lvlJc w:val="left"/>
      <w:lvlText w:val="(%2)"/>
      <w:numFmt w:val="decimal"/>
      <w:start w:val="2"/>
    </w:lvl>
  </w:abstractNum>
  <w:abstractNum w:abstractNumId="7">
    <w:nsid w:val="7545E146"/>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16" Type="http://schemas.openxmlformats.org/officeDocument/2006/relationships/hyperlink" Target="http://www.sec.gov/Archives/edgar/data/1162194/000116219419000020/fye2018form10-k.htm" TargetMode="External"/><Relationship Id="rId17" Type="http://schemas.openxmlformats.org/officeDocument/2006/relationships/hyperlink" Target="http://www.sec.gov/Archives/edgar/data/1162194/000116219419000033/a033119q1form10q.htm" TargetMode="External"/><Relationship Id="rId18" Type="http://schemas.openxmlformats.org/officeDocument/2006/relationships/hyperlink" Target="http://www.sec.gov/Archives/edgar/data/1162194/000114420419020746/tv519105-def14a.htm" TargetMode="External"/><Relationship Id="rId19" Type="http://schemas.openxmlformats.org/officeDocument/2006/relationships/hyperlink" Target="http://www.sec.gov/Archives/edgar/data/1162194/000119312511025057/d8a12b.htm" TargetMode="External"/><Relationship Id="rId22" Type="http://schemas.openxmlformats.org/officeDocument/2006/relationships/hyperlink" Target="http://www.sec.gov/Archives/edgar/data/1162194/000157104917007218/t1702250_ex4-1.htm" TargetMode="External"/><Relationship Id="rId23" Type="http://schemas.openxmlformats.org/officeDocument/2006/relationships/hyperlink" Target="http://www.sec.gov/Archives/edgar/data/1162194/000117184319003846/exh_101.htm" TargetMode="External"/><Relationship Id="rId24" Type="http://schemas.openxmlformats.org/officeDocument/2006/relationships/hyperlink" Target="http://www.sec.gov/Archives/edgar/data/1162194/000157104917007659/t1702415_ex-d2.htm" TargetMode="External"/><Relationship Id="rId25" Type="http://schemas.openxmlformats.org/officeDocument/2006/relationships/hyperlink" Target="http://www.sec.gov/Archives/edgar/data/1162194/000157104917007659/t1702415_ex-d3.htm" TargetMode="External"/><Relationship Id="rId26" Type="http://schemas.openxmlformats.org/officeDocument/2006/relationships/hyperlink" Target="http://www.sec.gov/Archives/edgar/data/1162194/000157104917007659/t1702415_ex-d4.htm" TargetMode="External"/><Relationship Id="rId27" Type="http://schemas.openxmlformats.org/officeDocument/2006/relationships/hyperlink" Target="http://www.sec.gov/Archives/edgar/data/1162194/000157104917007659/t1702415_ex-d5.htm" TargetMode="External"/><Relationship Id="rId28" Type="http://schemas.openxmlformats.org/officeDocument/2006/relationships/hyperlink" Target="http://www.sec.gov/Archives/edgar/data/1162194/000157104917007659/t1702415_ex-d6.htm" TargetMode="External"/><Relationship Id="rId29" Type="http://schemas.openxmlformats.org/officeDocument/2006/relationships/hyperlink" Target="http://www.sec.gov/Archives/edgar/data/1162194/000157104917007659/t1702415_ex-d7.htm" TargetMode="External"/><Relationship Id="rId30" Type="http://schemas.openxmlformats.org/officeDocument/2006/relationships/hyperlink" Target="http://www.sec.gov/Archives/edgar/data/1162194/000119312514034901/d669277dex41.htm" TargetMode="External"/><Relationship Id="rId31" Type="http://schemas.openxmlformats.org/officeDocument/2006/relationships/hyperlink" Target="http://www.sec.gov/Archives/edgar/data/1162194/000119312514034901/d669277dex42.htm" TargetMode="External"/><Relationship Id="rId32" Type="http://schemas.openxmlformats.org/officeDocument/2006/relationships/hyperlink" Target="http://www.sec.gov/Archives/edgar/data/1162194/000117184318001740/exh_42.htm" TargetMode="External"/><Relationship Id="rId33" Type="http://schemas.openxmlformats.org/officeDocument/2006/relationships/hyperlink" Target="http://www.sec.gov/Archives/edgar/data/1162194/000117184318005695/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2019-12-01T09:16:53Z</dcterms:created>
  <dcterms:modified xsi:type="dcterms:W3CDTF">2019-12-01T09:16:53Z</dcterms:modified>
</cp:coreProperties>
</file>