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731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7316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89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William Maxwell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VP, Legal Affairs &amp; GC</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891"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89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jc w:val="center"/>
              <w:ind w:left="348"/>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48"/>
              <w:spacing w:after="0"/>
              <w:rPr>
                <w:sz w:val="20"/>
                <w:szCs w:val="20"/>
                <w:color w:val="auto"/>
              </w:rPr>
            </w:pPr>
            <w:r>
              <w:rPr>
                <w:rFonts w:ascii="Arial" w:cs="Arial" w:eastAsia="Arial" w:hAnsi="Arial"/>
                <w:sz w:val="18"/>
                <w:szCs w:val="18"/>
                <w:color w:val="0000FF"/>
                <w:w w:val="86"/>
              </w:rPr>
              <w:t>11/14/2011</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4"/>
              </w:rPr>
              <w:t>1,511</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ind w:left="86"/>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1.82</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right"/>
              <w:ind w:right="318"/>
              <w:spacing w:after="0"/>
              <w:rPr>
                <w:sz w:val="20"/>
                <w:szCs w:val="20"/>
                <w:color w:val="auto"/>
              </w:rPr>
            </w:pPr>
            <w:r>
              <w:rPr>
                <w:rFonts w:ascii="Arial" w:cs="Arial" w:eastAsia="Arial" w:hAnsi="Arial"/>
                <w:sz w:val="18"/>
                <w:szCs w:val="18"/>
                <w:color w:val="0000FF"/>
                <w:w w:val="87"/>
              </w:rPr>
              <w:t>51,056</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8"/>
              <w:spacing w:after="0"/>
              <w:rPr>
                <w:sz w:val="20"/>
                <w:szCs w:val="20"/>
                <w:color w:val="auto"/>
              </w:rPr>
            </w:pPr>
            <w:r>
              <w:rPr>
                <w:rFonts w:ascii="Arial" w:cs="Arial" w:eastAsia="Arial" w:hAnsi="Arial"/>
                <w:sz w:val="18"/>
                <w:szCs w:val="18"/>
                <w:color w:val="0000FF"/>
                <w:w w:val="86"/>
              </w:rPr>
              <w:t>11/14/2011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1,511</w:t>
            </w:r>
            <w:r>
              <w:rPr>
                <w:rFonts w:ascii="Arial" w:cs="Arial" w:eastAsia="Arial" w:hAnsi="Arial"/>
                <w:sz w:val="22"/>
                <w:szCs w:val="22"/>
                <w:color w:val="008000"/>
                <w:w w:val="82"/>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13.8353</w:t>
            </w:r>
            <w:r>
              <w:rPr>
                <w:rFonts w:ascii="Arial" w:cs="Arial" w:eastAsia="Arial" w:hAnsi="Arial"/>
                <w:sz w:val="22"/>
                <w:szCs w:val="22"/>
                <w:color w:val="008000"/>
                <w:w w:val="85"/>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w w:val="87"/>
              </w:rPr>
              <w:t>49,545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jc w:val="center"/>
              <w:ind w:left="348"/>
              <w:spacing w:after="0"/>
              <w:rPr>
                <w:sz w:val="20"/>
                <w:szCs w:val="20"/>
                <w:color w:val="auto"/>
              </w:rPr>
            </w:pPr>
            <w:r>
              <w:rPr>
                <w:rFonts w:ascii="Arial" w:cs="Arial" w:eastAsia="Arial" w:hAnsi="Arial"/>
                <w:sz w:val="18"/>
                <w:szCs w:val="18"/>
                <w:color w:val="0000FF"/>
                <w:w w:val="86"/>
              </w:rPr>
              <w:t>11/14/2011</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1,489</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ind w:left="86"/>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1.82</w:t>
            </w: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gridSpan w:val="2"/>
          </w:tcPr>
          <w:p>
            <w:pPr>
              <w:jc w:val="right"/>
              <w:ind w:right="318"/>
              <w:spacing w:after="0"/>
              <w:rPr>
                <w:sz w:val="20"/>
                <w:szCs w:val="20"/>
                <w:color w:val="auto"/>
              </w:rPr>
            </w:pPr>
            <w:r>
              <w:rPr>
                <w:rFonts w:ascii="Arial" w:cs="Arial" w:eastAsia="Arial" w:hAnsi="Arial"/>
                <w:sz w:val="18"/>
                <w:szCs w:val="18"/>
                <w:color w:val="0000FF"/>
                <w:w w:val="87"/>
              </w:rPr>
              <w:t>51,034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348"/>
              <w:spacing w:after="0"/>
              <w:rPr>
                <w:sz w:val="20"/>
                <w:szCs w:val="20"/>
                <w:color w:val="auto"/>
              </w:rPr>
            </w:pPr>
            <w:r>
              <w:rPr>
                <w:rFonts w:ascii="Arial" w:cs="Arial" w:eastAsia="Arial" w:hAnsi="Arial"/>
                <w:sz w:val="18"/>
                <w:szCs w:val="18"/>
                <w:color w:val="0000FF"/>
                <w:w w:val="86"/>
              </w:rPr>
              <w:t>11/14/2011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1,489</w:t>
            </w:r>
            <w:r>
              <w:rPr>
                <w:rFonts w:ascii="Arial" w:cs="Arial" w:eastAsia="Arial" w:hAnsi="Arial"/>
                <w:sz w:val="22"/>
                <w:szCs w:val="22"/>
                <w:color w:val="008000"/>
                <w:w w:val="82"/>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13.8353</w:t>
            </w:r>
            <w:r>
              <w:rPr>
                <w:rFonts w:ascii="Arial" w:cs="Arial" w:eastAsia="Arial" w:hAnsi="Arial"/>
                <w:sz w:val="22"/>
                <w:szCs w:val="22"/>
                <w:color w:val="008000"/>
                <w:w w:val="85"/>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18"/>
              <w:spacing w:after="0"/>
              <w:rPr>
                <w:sz w:val="20"/>
                <w:szCs w:val="20"/>
                <w:color w:val="auto"/>
              </w:rPr>
            </w:pPr>
            <w:r>
              <w:rPr>
                <w:rFonts w:ascii="Arial" w:cs="Arial" w:eastAsia="Arial" w:hAnsi="Arial"/>
                <w:sz w:val="18"/>
                <w:szCs w:val="18"/>
                <w:color w:val="0000FF"/>
                <w:w w:val="87"/>
              </w:rPr>
              <w:t>49,545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18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18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1,511</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11/14/2011</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1"/>
              </w:rPr>
              <w:t>1,511</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12/04/2011</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5"/>
                <w:szCs w:val="5"/>
                <w:color w:val="auto"/>
              </w:rPr>
            </w:pPr>
          </w:p>
        </w:tc>
        <w:tc>
          <w:tcPr>
            <w:tcW w:w="700" w:type="dxa"/>
            <w:vAlign w:val="bottom"/>
            <w:vMerge w:val="restart"/>
          </w:tcPr>
          <w:p>
            <w:pPr>
              <w:jc w:val="right"/>
              <w:ind w:right="118"/>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1,489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1.82</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11/14/2011</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1,489</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07/15/2013</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gridSpan w:val="2"/>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Arial" w:cs="Arial" w:eastAsia="Arial" w:hAnsi="Arial"/>
                <w:sz w:val="14"/>
                <w:szCs w:val="14"/>
                <w:color w:val="0000FF"/>
              </w:rPr>
              <w:t>27,412</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Smith were effected pursuant to a Rule 10b5-1 trading plan adopted on September 6, 2011.</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$13.45 to $13.89, inclusive. The reporting person undertakes to provide to the issuer, any security holder of the issuer, or the SEC staff, upon request, full information regarding the number of shares sold at each separate price within the ranges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December 4,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fully vested on April 1, 2007.</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0000FF"/>
                <w:w w:val="94"/>
              </w:rPr>
              <w:t>/s/William M. Smith</w:t>
            </w:r>
          </w:p>
        </w:tc>
        <w:tc>
          <w:tcPr>
            <w:tcW w:w="66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11/16/2011</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8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593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2019-12-18T02:19:20Z</dcterms:created>
  <dcterms:modified xsi:type="dcterms:W3CDTF">2019-12-18T02:19:20Z</dcterms:modified>
</cp:coreProperties>
</file>