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62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5547360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-1721485</wp:posOffset>
            </wp:positionH>
            <wp:positionV relativeFrom="paragraph">
              <wp:posOffset>21590</wp:posOffset>
            </wp:positionV>
            <wp:extent cx="7363460" cy="6129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3460" cy="612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320"/>
            <w:col w:w="8860"/>
          </w:cols>
          <w:pgMar w:left="160" w:top="14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Linthwaite Stephen Christopher</w:t>
        </w:r>
      </w:hyperlink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400" w:val="left"/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580" w:hanging="5"/>
        <w:spacing w:after="0" w:line="258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720"/>
            <w:col w:w="3295" w:space="720"/>
            <w:col w:w="3425"/>
          </w:cols>
          <w:pgMar w:left="160" w:top="146" w:right="17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20"/>
        <w:spacing w:after="0" w:line="224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40" w:space="180"/>
            <w:col w:w="7440"/>
          </w:cols>
          <w:pgMar w:left="160" w:top="146" w:right="179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jc w:val="center"/>
              <w:ind w:left="7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ind w:left="7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4,750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176,141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ind w:left="7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7,812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183,953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ind w:left="7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6,326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2.3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177,627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4,750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22,167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7,812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7,812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78,128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5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13, 2017, the Reporting Person was granted 76,000 Restricted Stock Units vesting as to 1/12th of the total number of shares on May 20, 2017, and as to 1/16th of the total number of shares each quarter thereafter.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2018, the Reporting Person was granted 125,000 Restricted Stock Units vesting as to 1/16th of the total number of shares on August 20, 2018, and as to 1/16th of the total number of shares each quarter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Stephen Christopher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4411345</wp:posOffset>
            </wp:positionH>
            <wp:positionV relativeFrom="paragraph">
              <wp:posOffset>-13970</wp:posOffset>
            </wp:positionV>
            <wp:extent cx="10458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940"/>
        <w:spacing w:after="0"/>
        <w:tabs>
          <w:tab w:leader="none" w:pos="9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Linthwaite by Nicholas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4411345</wp:posOffset>
            </wp:positionH>
            <wp:positionV relativeFrom="paragraph">
              <wp:posOffset>-17780</wp:posOffset>
            </wp:positionV>
            <wp:extent cx="19780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4411345</wp:posOffset>
            </wp:positionH>
            <wp:positionV relativeFrom="paragraph">
              <wp:posOffset>-17780</wp:posOffset>
            </wp:positionV>
            <wp:extent cx="11836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940"/>
        <w:spacing w:after="0"/>
        <w:tabs>
          <w:tab w:leader="none" w:pos="9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3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60"/>
      </w:cols>
      <w:pgMar w:left="160" w:top="14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file:///cgi-bin/browse-edgar?action=getcompany&amp;CIK=0001680808" TargetMode="External"/><Relationship Id="rId13" Type="http://schemas.openxmlformats.org/officeDocument/2006/relationships/hyperlink" Target="file://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2019-11-22T20:52:27Z</dcterms:created>
  <dcterms:modified xsi:type="dcterms:W3CDTF">2019-11-22T20:52:27Z</dcterms:modified>
</cp:coreProperties>
</file>