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08/13/2025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08/13/2025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1.3104</w:t>
            </w:r>
            <w:r>
              <w:rPr>
                <w:rFonts w:ascii="Times New Roman" w:cs="Times New Roman" w:eastAsia="Times New Roman" w:hAnsi="Times New Roman"/>
                <w:sz w:val="22"/>
                <w:szCs w:val="22"/>
                <w:color w:val="008000"/>
                <w:w w:val="95"/>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59,466,780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08/14/2025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133,220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vMerge w:val="restart"/>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1.2126</w:t>
            </w: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59,600,000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08/15/2025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1.2214</w:t>
            </w:r>
            <w:r>
              <w:rPr>
                <w:rFonts w:ascii="Times New Roman" w:cs="Times New Roman" w:eastAsia="Times New Roman" w:hAnsi="Times New Roman"/>
                <w:sz w:val="22"/>
                <w:szCs w:val="22"/>
                <w:color w:val="008000"/>
                <w:w w:val="95"/>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59,750,000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2,901,062</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8"/>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Eli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7"/>
        </w:trPr>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10019</w:t>
            </w:r>
          </w:p>
        </w:tc>
      </w:tr>
    </w:tbl>
    <w:p>
      <w:pPr>
        <w:spacing w:after="0" w:line="200" w:lineRule="exact"/>
        <w:rPr>
          <w:sz w:val="20"/>
          <w:szCs w:val="20"/>
          <w:color w:val="auto"/>
        </w:rPr>
      </w:pPr>
    </w:p>
    <w:p>
      <w:pPr>
        <w:sectPr>
          <w:pgSz w:w="11900" w:h="16838" w:orient="portrait"/>
          <w:cols w:equalWidth="0" w:num="1">
            <w:col w:w="9979"/>
          </w:cols>
          <w:pgMar w:left="480" w:top="111"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1916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1916430"/>
                    </a:xfrm>
                    <a:prstGeom prst="rect">
                      <a:avLst/>
                    </a:prstGeom>
                    <a:noFill/>
                  </pic:spPr>
                </pic:pic>
              </a:graphicData>
            </a:graphic>
          </wp:anchor>
        </w:drawing>
      </w:r>
    </w:p>
    <w:p>
      <w:pPr>
        <w:ind w:left="80"/>
        <w:spacing w:after="0" w:line="238" w:lineRule="auto"/>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PRIVATE GROWTH EQUITY</w:t>
        </w:r>
      </w:hyperlink>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$1.3075 to $1.3118. The Reporting Persons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$1.2179 to $1.2232. The Reporting Persons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110"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110"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1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4" TargetMode="External"/><Relationship Id="rId18" Type="http://schemas.openxmlformats.org/officeDocument/2006/relationships/hyperlink" Target="http://www.sec.gov/cgi-bin/browse-edgar?action=getcompany&amp;CIK=0001534261" TargetMode="External"/><Relationship Id="rId19" Type="http://schemas.openxmlformats.org/officeDocument/2006/relationships/hyperlink" Target="http://www.sec.gov/cgi-bin/browse-edgar?action=getcompany&amp;CIK=0001534260" TargetMode="External"/><Relationship Id="rId20" Type="http://schemas.openxmlformats.org/officeDocument/2006/relationships/hyperlink" Target="http://www.sec.gov/cgi-bin/browse-edgar?action=getcompany&amp;CIK=0001891102" TargetMode="External"/><Relationship Id="rId21" Type="http://schemas.openxmlformats.org/officeDocument/2006/relationships/hyperlink" Target="http://www.sec.gov/cgi-bin/browse-edgar?action=getcompany&amp;CIK=0001919480" TargetMode="External"/><Relationship Id="rId22" Type="http://schemas.openxmlformats.org/officeDocument/2006/relationships/hyperlink" Target="http://www.sec.gov/cgi-bin/browse-edgar?action=getcompany&amp;CIK=0001823061" TargetMode="External"/><Relationship Id="rId24" Type="http://schemas.openxmlformats.org/officeDocument/2006/relationships/hyperlink" Target="http://www.sec.gov/cgi-bin/browse-edgar?action=getcompany&amp;CIK=0001864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2025-08-15T20:28:07Z</dcterms:created>
  <dcterms:modified xsi:type="dcterms:W3CDTF">2025-08-15T20:28:07Z</dcterms:modified>
</cp:coreProperties>
</file>