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4"/>
                <w:szCs w:val="14"/>
                <w:color w:val="auto"/>
                <w:w w:val="95"/>
              </w:rPr>
              <w:t>4. If Amendment, Date of Original Filed (Month/Day/Year)</w:t>
            </w:r>
          </w:p>
        </w:tc>
        <w:tc>
          <w:tcPr>
            <w:tcW w:w="3880" w:type="dxa"/>
            <w:vAlign w:val="bottom"/>
            <w:tcBorders>
              <w:top w:val="single" w:sz="8" w:color="2C2C2C"/>
              <w:bottom w:val="single" w:sz="8" w:color="2C2C2C"/>
            </w:tcBorders>
            <w:gridSpan w:val="6"/>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388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388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ind w:left="220"/>
              <w:spacing w:after="0" w:line="102"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434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tcPr>
          <w:p>
            <w:pPr>
              <w:ind w:left="4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40" w:type="dxa"/>
            <w:vAlign w:val="bottom"/>
            <w:gridSpan w:val="2"/>
            <w:vMerge w:val="restart"/>
          </w:tcPr>
          <w:p>
            <w:pPr>
              <w:ind w:left="540"/>
              <w:spacing w:after="0"/>
              <w:rPr>
                <w:sz w:val="20"/>
                <w:szCs w:val="20"/>
                <w:color w:val="auto"/>
              </w:rPr>
            </w:pPr>
            <w:r>
              <w:rPr>
                <w:rFonts w:ascii="Arial" w:cs="Arial" w:eastAsia="Arial" w:hAnsi="Arial"/>
                <w:sz w:val="18"/>
                <w:szCs w:val="18"/>
                <w:color w:val="0000FF"/>
                <w:w w:val="86"/>
              </w:rPr>
              <w:t>08/10/2012</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900" w:type="dxa"/>
            <w:vAlign w:val="bottom"/>
            <w:vMerge w:val="restart"/>
          </w:tcPr>
          <w:p>
            <w:pPr>
              <w:jc w:val="right"/>
              <w:ind w:right="94"/>
              <w:spacing w:after="0"/>
              <w:rPr>
                <w:sz w:val="20"/>
                <w:szCs w:val="20"/>
                <w:color w:val="auto"/>
              </w:rPr>
            </w:pPr>
            <w:r>
              <w:rPr>
                <w:rFonts w:ascii="Arial" w:cs="Arial" w:eastAsia="Arial" w:hAnsi="Arial"/>
                <w:sz w:val="18"/>
                <w:szCs w:val="18"/>
                <w:color w:val="0000FF"/>
                <w:w w:val="98"/>
              </w:rPr>
              <w:t>10,000</w:t>
            </w:r>
            <w:r>
              <w:rPr>
                <w:rFonts w:ascii="Arial" w:cs="Arial" w:eastAsia="Arial" w:hAnsi="Arial"/>
                <w:sz w:val="22"/>
                <w:szCs w:val="22"/>
                <w:color w:val="008000"/>
                <w:w w:val="98"/>
                <w:vertAlign w:val="superscript"/>
              </w:rPr>
              <w:t>(2)</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15.3005</w:t>
            </w:r>
            <w:r>
              <w:rPr>
                <w:rFonts w:ascii="Arial" w:cs="Arial" w:eastAsia="Arial" w:hAnsi="Arial"/>
                <w:sz w:val="22"/>
                <w:szCs w:val="22"/>
                <w:color w:val="008000"/>
                <w:w w:val="90"/>
                <w:vertAlign w:val="superscript"/>
              </w:rPr>
              <w:t>(2)</w:t>
            </w:r>
          </w:p>
        </w:tc>
        <w:tc>
          <w:tcPr>
            <w:tcW w:w="1240" w:type="dxa"/>
            <w:vAlign w:val="bottom"/>
            <w:gridSpan w:val="2"/>
            <w:vMerge w:val="restart"/>
          </w:tcPr>
          <w:p>
            <w:pPr>
              <w:ind w:left="300"/>
              <w:spacing w:after="0"/>
              <w:rPr>
                <w:sz w:val="20"/>
                <w:szCs w:val="20"/>
                <w:color w:val="auto"/>
              </w:rPr>
            </w:pPr>
            <w:r>
              <w:rPr>
                <w:rFonts w:ascii="Arial" w:cs="Arial" w:eastAsia="Arial" w:hAnsi="Arial"/>
                <w:sz w:val="18"/>
                <w:szCs w:val="18"/>
                <w:color w:val="0000FF"/>
              </w:rPr>
              <w:t>255,159</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0"/>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23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60" w:type="dxa"/>
            <w:vAlign w:val="bottom"/>
            <w:gridSpan w:val="2"/>
          </w:tcPr>
          <w:p>
            <w:pPr>
              <w:ind w:left="20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were effected pursuant to a Rule 10b5-1 trading plan adopted on August 29, 2011 by the Worthington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$14.89 to $15.44,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Worthingon Family Trust dated March 6, 2007.</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08/14/2012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2019-12-17T15:53:36Z</dcterms:created>
  <dcterms:modified xsi:type="dcterms:W3CDTF">2019-12-17T15:53:36Z</dcterms:modified>
</cp:coreProperties>
</file>