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SCHEDULE 13D</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(Rule 13d-101)</w:t>
      </w:r>
    </w:p>
    <w:p>
      <w:pPr>
        <w:spacing w:after="0" w:line="188" w:lineRule="exact"/>
        <w:rPr>
          <w:sz w:val="24"/>
          <w:szCs w:val="24"/>
          <w:color w:val="auto"/>
        </w:rPr>
      </w:pPr>
    </w:p>
    <w:p>
      <w:pPr>
        <w:ind w:left="2280"/>
        <w:spacing w:after="0"/>
        <w:rPr>
          <w:sz w:val="20"/>
          <w:szCs w:val="20"/>
          <w:color w:val="auto"/>
        </w:rPr>
      </w:pPr>
      <w:r>
        <w:rPr>
          <w:rFonts w:ascii="Arial" w:cs="Arial" w:eastAsia="Arial" w:hAnsi="Arial"/>
          <w:sz w:val="22"/>
          <w:szCs w:val="22"/>
          <w:color w:val="auto"/>
        </w:rPr>
        <w:t>INFORMATION TO BE INCLUDED IN STATEMENTS FILED PURSUANT</w:t>
      </w:r>
    </w:p>
    <w:p>
      <w:pPr>
        <w:ind w:left="2240"/>
        <w:spacing w:after="0" w:line="238" w:lineRule="auto"/>
        <w:rPr>
          <w:sz w:val="20"/>
          <w:szCs w:val="20"/>
          <w:color w:val="auto"/>
        </w:rPr>
      </w:pPr>
      <w:r>
        <w:rPr>
          <w:rFonts w:ascii="Arial" w:cs="Arial" w:eastAsia="Arial" w:hAnsi="Arial"/>
          <w:sz w:val="22"/>
          <w:szCs w:val="22"/>
          <w:color w:val="auto"/>
        </w:rPr>
        <w:t>TO § 240.13d-1(a) AND AMENDMENTS THERETO FILED PURSUANT TO</w:t>
      </w:r>
    </w:p>
    <w:p>
      <w:pPr>
        <w:ind w:left="4820" w:right="4660" w:firstLine="252"/>
        <w:spacing w:after="0" w:line="498" w:lineRule="auto"/>
        <w:tabs>
          <w:tab w:leader="none" w:pos="5243" w:val="left"/>
        </w:tabs>
        <w:numPr>
          <w:ilvl w:val="0"/>
          <w:numId w:val="1"/>
        </w:numPr>
        <w:rPr>
          <w:rFonts w:ascii="Arial" w:cs="Arial" w:eastAsia="Arial" w:hAnsi="Arial"/>
          <w:sz w:val="19"/>
          <w:szCs w:val="19"/>
          <w:color w:val="auto"/>
        </w:rPr>
      </w:pPr>
      <w:r>
        <w:rPr>
          <w:rFonts w:ascii="Arial" w:cs="Arial" w:eastAsia="Arial" w:hAnsi="Arial"/>
          <w:sz w:val="19"/>
          <w:szCs w:val="19"/>
          <w:color w:val="auto"/>
        </w:rPr>
        <w:t>240.13d-2(a) (Amendment No. 2)</w:t>
      </w:r>
      <w:r>
        <w:rPr>
          <w:rFonts w:ascii="Arial" w:cs="Arial" w:eastAsia="Arial" w:hAnsi="Arial"/>
          <w:sz w:val="10"/>
          <w:szCs w:val="10"/>
          <w:color w:val="auto"/>
        </w:rPr>
        <w:t>1</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Fluidigm Corporation</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(Name of Issuer)</w:t>
      </w:r>
    </w:p>
    <w:p>
      <w:pPr>
        <w:spacing w:after="0" w:line="195"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Common Stock, $0.001 par value per share</w:t>
      </w:r>
    </w:p>
    <w:p>
      <w:pPr>
        <w:spacing w:after="0" w:line="20" w:lineRule="exact"/>
        <w:rPr>
          <w:sz w:val="24"/>
          <w:szCs w:val="24"/>
          <w:color w:val="auto"/>
        </w:rPr>
      </w:pPr>
    </w:p>
    <w:p>
      <w:pPr>
        <w:ind w:left="4500"/>
        <w:spacing w:after="0"/>
        <w:rPr>
          <w:sz w:val="20"/>
          <w:szCs w:val="20"/>
          <w:color w:val="auto"/>
        </w:rPr>
      </w:pPr>
      <w:r>
        <w:rPr>
          <w:rFonts w:ascii="Arial" w:cs="Arial" w:eastAsia="Arial" w:hAnsi="Arial"/>
          <w:sz w:val="22"/>
          <w:szCs w:val="22"/>
          <w:color w:val="auto"/>
        </w:rPr>
        <w:t>(Title of Class of Securities)</w:t>
      </w:r>
    </w:p>
    <w:p>
      <w:pPr>
        <w:spacing w:after="0" w:line="188" w:lineRule="exact"/>
        <w:rPr>
          <w:sz w:val="24"/>
          <w:szCs w:val="24"/>
          <w:color w:val="auto"/>
        </w:rPr>
      </w:pPr>
    </w:p>
    <w:p>
      <w:pPr>
        <w:ind w:left="5220"/>
        <w:spacing w:after="0"/>
        <w:rPr>
          <w:sz w:val="20"/>
          <w:szCs w:val="20"/>
          <w:color w:val="auto"/>
        </w:rPr>
      </w:pPr>
      <w:r>
        <w:rPr>
          <w:rFonts w:ascii="Arial" w:cs="Arial" w:eastAsia="Arial" w:hAnsi="Arial"/>
          <w:sz w:val="22"/>
          <w:szCs w:val="22"/>
          <w:u w:val="single" w:color="auto"/>
          <w:color w:val="auto"/>
        </w:rPr>
        <w:t>34385P108</w:t>
      </w:r>
    </w:p>
    <w:p>
      <w:pPr>
        <w:spacing w:after="0" w:line="8"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(CUSIP Number)</w:t>
      </w:r>
    </w:p>
    <w:p>
      <w:pPr>
        <w:spacing w:after="0" w:line="19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John A. Levin</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Levin Capital Strategies, L.P.</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595 Madison Avenue, 17th Floor</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New York, NY 10022</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(212) 259-0800</w:t>
      </w:r>
    </w:p>
    <w:p>
      <w:pPr>
        <w:jc w:val="center"/>
        <w:ind w:right="-159"/>
        <w:spacing w:after="0" w:line="236" w:lineRule="auto"/>
        <w:rPr>
          <w:sz w:val="20"/>
          <w:szCs w:val="20"/>
          <w:color w:val="auto"/>
        </w:rPr>
      </w:pPr>
      <w:r>
        <w:rPr>
          <w:rFonts w:ascii="Arial" w:cs="Arial" w:eastAsia="Arial" w:hAnsi="Arial"/>
          <w:sz w:val="22"/>
          <w:szCs w:val="22"/>
          <w:color w:val="auto"/>
        </w:rPr>
        <w:t>(Name, Address and Telephone Number of Person</w:t>
      </w:r>
    </w:p>
    <w:p>
      <w:pPr>
        <w:jc w:val="center"/>
        <w:ind w:right="-159"/>
        <w:spacing w:after="0"/>
        <w:rPr>
          <w:sz w:val="20"/>
          <w:szCs w:val="20"/>
          <w:color w:val="auto"/>
        </w:rPr>
      </w:pPr>
      <w:r>
        <w:rPr>
          <w:rFonts w:ascii="Arial" w:cs="Arial" w:eastAsia="Arial" w:hAnsi="Arial"/>
          <w:sz w:val="22"/>
          <w:szCs w:val="22"/>
          <w:color w:val="auto"/>
        </w:rPr>
        <w:t>Authorized to Receive Notices and Communications)</w:t>
      </w:r>
    </w:p>
    <w:p>
      <w:pPr>
        <w:spacing w:after="0" w:line="222"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January 9, 2018</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(Date of Event Which Requires Filing of This Statement)</w:t>
      </w:r>
    </w:p>
    <w:p>
      <w:pPr>
        <w:spacing w:after="0" w:line="222" w:lineRule="exact"/>
        <w:rPr>
          <w:sz w:val="24"/>
          <w:szCs w:val="24"/>
          <w:color w:val="auto"/>
        </w:rPr>
      </w:pPr>
    </w:p>
    <w:p>
      <w:pPr>
        <w:ind w:right="100" w:firstLine="648"/>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42" w:lineRule="exact"/>
        <w:rPr>
          <w:sz w:val="24"/>
          <w:szCs w:val="24"/>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both"/>
        <w:ind w:right="40" w:firstLine="8"/>
        <w:spacing w:after="0"/>
        <w:tabs>
          <w:tab w:leader="none" w:pos="815" w:val="left"/>
        </w:tabs>
        <w:numPr>
          <w:ilvl w:val="0"/>
          <w:numId w:val="2"/>
        </w:numPr>
        <w:rPr>
          <w:rFonts w:ascii="Arial" w:cs="Arial" w:eastAsia="Arial" w:hAnsi="Arial"/>
          <w:sz w:val="13"/>
          <w:szCs w:val="13"/>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3"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 xml:space="preserve">see </w:t>
      </w:r>
      <w:r>
        <w:rPr>
          <w:rFonts w:ascii="Arial" w:cs="Arial" w:eastAsia="Arial" w:hAnsi="Arial"/>
          <w:sz w:val="18"/>
          <w:szCs w:val="18"/>
          <w:color w:val="auto"/>
        </w:rPr>
        <w:t>the</w:t>
      </w:r>
      <w:r>
        <w:rPr>
          <w:rFonts w:ascii="Arial" w:cs="Arial" w:eastAsia="Arial" w:hAnsi="Arial"/>
          <w:sz w:val="18"/>
          <w:szCs w:val="18"/>
          <w:i w:val="1"/>
          <w:iCs w:val="1"/>
          <w:color w:val="auto"/>
        </w:rPr>
        <w:t xml:space="preserve"> 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20" w:right="37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34385P108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Levin Capital Strategies, L.P.</w:t>
            </w:r>
          </w:p>
        </w:tc>
        <w:tc>
          <w:tcPr>
            <w:tcW w:w="1260" w:type="dxa"/>
            <w:vAlign w:val="bottom"/>
            <w:tcBorders>
              <w:bottom w:val="single" w:sz="8" w:color="auto"/>
              <w:right w:val="single" w:sz="8" w:color="auto"/>
            </w:tcBorders>
          </w:tcPr>
          <w:p>
            <w:pPr>
              <w:spacing w:after="0"/>
              <w:rPr>
                <w:sz w:val="24"/>
                <w:szCs w:val="24"/>
                <w:color w:val="auto"/>
              </w:rPr>
            </w:pPr>
          </w:p>
        </w:tc>
      </w:tr>
      <w:tr>
        <w:trPr>
          <w:trHeight w:val="169"/>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0"/>
        </w:trPr>
        <w:tc>
          <w:tcPr>
            <w:tcW w:w="40" w:type="dxa"/>
            <w:vAlign w:val="bottom"/>
            <w:tcBorders>
              <w:bottom w:val="single" w:sz="8" w:color="auto"/>
              <w:right w:val="single" w:sz="8" w:color="auto"/>
            </w:tcBorders>
            <w:shd w:val="clear" w:color="auto" w:fill="000000"/>
          </w:tcPr>
          <w:p>
            <w:pPr>
              <w:spacing w:after="0"/>
              <w:rPr>
                <w:sz w:val="16"/>
                <w:szCs w:val="16"/>
                <w:color w:val="auto"/>
              </w:rPr>
            </w:pPr>
          </w:p>
        </w:tc>
        <w:tc>
          <w:tcPr>
            <w:tcW w:w="174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620" w:type="dxa"/>
            <w:vAlign w:val="bottom"/>
            <w:tcBorders>
              <w:bottom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spacing w:after="0"/>
              <w:rPr>
                <w:sz w:val="16"/>
                <w:szCs w:val="16"/>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WC, AF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9"/>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19"/>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8,936,339</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11,872,775</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11,872,775</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30.7%</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IA</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55"/>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2</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CUSIP NO. 34385P108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144780</wp:posOffset>
            </wp:positionV>
            <wp:extent cx="3600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gridSpan w:val="2"/>
          </w:tcPr>
          <w:p>
            <w:pPr>
              <w:jc w:val="center"/>
              <w:spacing w:after="0"/>
              <w:rPr>
                <w:sz w:val="20"/>
                <w:szCs w:val="20"/>
                <w:color w:val="auto"/>
              </w:rPr>
            </w:pPr>
            <w:r>
              <w:rPr>
                <w:rFonts w:ascii="Arial" w:cs="Arial" w:eastAsia="Arial" w:hAnsi="Arial"/>
                <w:sz w:val="18"/>
                <w:szCs w:val="18"/>
                <w:color w:val="auto"/>
                <w:w w:val="79"/>
              </w:rPr>
              <w:t>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Levin Capital Strategies GP, LLC</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760" w:type="dxa"/>
            <w:vAlign w:val="bottom"/>
            <w:gridSpan w:val="2"/>
          </w:tcPr>
          <w:p>
            <w:pPr>
              <w:jc w:val="center"/>
              <w:spacing w:after="0" w:line="163" w:lineRule="exact"/>
              <w:rPr>
                <w:sz w:val="20"/>
                <w:szCs w:val="20"/>
                <w:color w:val="auto"/>
              </w:rPr>
            </w:pPr>
            <w:r>
              <w:rPr>
                <w:rFonts w:ascii="Arial" w:cs="Arial" w:eastAsia="Arial" w:hAnsi="Arial"/>
                <w:sz w:val="18"/>
                <w:szCs w:val="18"/>
                <w:color w:val="auto"/>
                <w:w w:val="79"/>
              </w:rPr>
              <w:t>2</w:t>
            </w:r>
          </w:p>
        </w:tc>
        <w:tc>
          <w:tcPr>
            <w:tcW w:w="840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60" w:type="dxa"/>
            <w:vAlign w:val="bottom"/>
            <w:gridSpan w:val="2"/>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vMerge w:val="restart"/>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AF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76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79"/>
              </w:rPr>
              <w:t>5</w:t>
            </w:r>
          </w:p>
        </w:tc>
        <w:tc>
          <w:tcPr>
            <w:tcW w:w="840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76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760" w:type="dxa"/>
            <w:vAlign w:val="bottom"/>
            <w:gridSpan w:val="2"/>
          </w:tcPr>
          <w:p>
            <w:pPr>
              <w:jc w:val="center"/>
              <w:spacing w:after="0"/>
              <w:rPr>
                <w:sz w:val="20"/>
                <w:szCs w:val="20"/>
                <w:color w:val="auto"/>
              </w:rPr>
            </w:pPr>
            <w:r>
              <w:rPr>
                <w:rFonts w:ascii="Arial" w:cs="Arial" w:eastAsia="Arial" w:hAnsi="Arial"/>
                <w:sz w:val="18"/>
                <w:szCs w:val="18"/>
                <w:color w:val="auto"/>
                <w:w w:val="79"/>
              </w:rPr>
              <w:t>6</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4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4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8,936,339</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11,872,775</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11,872,775</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vMerge w:val="restart"/>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-5334000</wp:posOffset>
            </wp:positionV>
            <wp:extent cx="3600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167"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30.7%</w:t>
      </w:r>
    </w:p>
    <w:p>
      <w:pPr>
        <w:spacing w:after="0" w:line="23" w:lineRule="exact"/>
        <w:rPr>
          <w:sz w:val="20"/>
          <w:szCs w:val="20"/>
          <w:color w:val="auto"/>
        </w:rPr>
      </w:pPr>
    </w:p>
    <w:p>
      <w:pPr>
        <w:ind w:left="2340" w:right="7040" w:hanging="1551"/>
        <w:spacing w:after="0" w:line="527" w:lineRule="auto"/>
        <w:tabs>
          <w:tab w:leader="none" w:pos="1885"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-576580</wp:posOffset>
            </wp:positionV>
            <wp:extent cx="3600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889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-293370</wp:posOffset>
            </wp:positionV>
            <wp:extent cx="889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-293370</wp:posOffset>
            </wp:positionV>
            <wp:extent cx="889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6891655</wp:posOffset>
            </wp:positionH>
            <wp:positionV relativeFrom="paragraph">
              <wp:posOffset>-293370</wp:posOffset>
            </wp:positionV>
            <wp:extent cx="360045"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0045" cy="16319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CUSIP NO. 34385P108</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Levin Capital Trilogy Master Fund, Ltd.</w:t>
            </w: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WC</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91"/>
              </w:rPr>
              <w:t>Cayman Islands</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82,884</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82,884</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82,884</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Less than 1%</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CO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4</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CUSIP NO. 34385P108</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LCS, LLC</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AF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82,884</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82,884</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82,884</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Less than 1%</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5</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CUSIP NO. 34385P108</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Levcap Alternative Fund, L.P.</w:t>
            </w: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WC</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56,820</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56,820</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56,820</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Less than 1%</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PN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6</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CUSIP NO. 34385P108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230505</wp:posOffset>
            </wp:positionV>
            <wp:extent cx="3600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260" w:type="dxa"/>
            <w:vAlign w:val="bottom"/>
          </w:tcPr>
          <w:p>
            <w:pPr>
              <w:spacing w:after="0"/>
              <w:rPr>
                <w:sz w:val="20"/>
                <w:szCs w:val="20"/>
                <w:color w:val="auto"/>
              </w:rPr>
            </w:pPr>
          </w:p>
        </w:tc>
      </w:tr>
      <w:tr>
        <w:trPr>
          <w:trHeight w:val="432"/>
        </w:trPr>
        <w:tc>
          <w:tcPr>
            <w:tcW w:w="17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LCS Event Partners, LLC</w:t>
            </w:r>
          </w:p>
        </w:tc>
        <w:tc>
          <w:tcPr>
            <w:tcW w:w="1260" w:type="dxa"/>
            <w:vAlign w:val="bottom"/>
            <w:tcBorders>
              <w:bottom w:val="single" w:sz="8" w:color="auto"/>
            </w:tcBorders>
          </w:tcPr>
          <w:p>
            <w:pPr>
              <w:spacing w:after="0"/>
              <w:rPr>
                <w:sz w:val="24"/>
                <w:szCs w:val="24"/>
                <w:color w:val="auto"/>
              </w:rPr>
            </w:pPr>
          </w:p>
        </w:tc>
      </w:tr>
      <w:tr>
        <w:trPr>
          <w:trHeight w:val="163"/>
        </w:trPr>
        <w:tc>
          <w:tcPr>
            <w:tcW w:w="176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840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AF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79"/>
              </w:rPr>
              <w:t>5</w:t>
            </w:r>
          </w:p>
        </w:tc>
        <w:tc>
          <w:tcPr>
            <w:tcW w:w="840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176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Pr>
          <w:p>
            <w:pPr>
              <w:spacing w:after="0"/>
              <w:rPr>
                <w:sz w:val="16"/>
                <w:szCs w:val="16"/>
                <w:color w:val="auto"/>
              </w:rPr>
            </w:pP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tcBorders>
          </w:tcPr>
          <w:p>
            <w:pPr>
              <w:spacing w:after="0"/>
              <w:rPr>
                <w:sz w:val="20"/>
                <w:szCs w:val="20"/>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Pr>
          <w:p>
            <w:pPr>
              <w:spacing w:after="0"/>
              <w:rPr>
                <w:sz w:val="16"/>
                <w:szCs w:val="16"/>
                <w:color w:val="auto"/>
              </w:rPr>
            </w:pP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56,820</w:t>
            </w:r>
          </w:p>
        </w:tc>
        <w:tc>
          <w:tcPr>
            <w:tcW w:w="1260" w:type="dxa"/>
            <w:vAlign w:val="bottom"/>
            <w:tcBorders>
              <w:bottom w:val="single" w:sz="8" w:color="auto"/>
            </w:tcBorders>
          </w:tcPr>
          <w:p>
            <w:pPr>
              <w:spacing w:after="0"/>
              <w:rPr>
                <w:sz w:val="20"/>
                <w:szCs w:val="20"/>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Pr>
          <w:p>
            <w:pPr>
              <w:spacing w:after="0"/>
              <w:rPr>
                <w:sz w:val="19"/>
                <w:szCs w:val="19"/>
                <w:color w:val="auto"/>
              </w:rPr>
            </w:pPr>
          </w:p>
        </w:tc>
      </w:tr>
      <w:tr>
        <w:trPr>
          <w:trHeight w:val="418"/>
        </w:trPr>
        <w:tc>
          <w:tcPr>
            <w:tcW w:w="176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56,820</w:t>
            </w: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56,820</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77"/>
        </w:trPr>
        <w:tc>
          <w:tcPr>
            <w:tcW w:w="17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Pr>
          <w:p>
            <w:pPr>
              <w:spacing w:after="0"/>
              <w:rPr>
                <w:sz w:val="19"/>
                <w:szCs w:val="19"/>
                <w:color w:val="auto"/>
              </w:rPr>
            </w:pPr>
          </w:p>
        </w:tc>
      </w:tr>
      <w:tr>
        <w:trPr>
          <w:trHeight w:val="418"/>
        </w:trPr>
        <w:tc>
          <w:tcPr>
            <w:tcW w:w="1760" w:type="dxa"/>
            <w:vAlign w:val="bottom"/>
          </w:tcPr>
          <w:p>
            <w:pPr>
              <w:spacing w:after="0"/>
              <w:rPr>
                <w:sz w:val="24"/>
                <w:szCs w:val="24"/>
                <w:color w:val="auto"/>
              </w:rPr>
            </w:pPr>
          </w:p>
        </w:tc>
        <w:tc>
          <w:tcPr>
            <w:tcW w:w="1780" w:type="dxa"/>
            <w:vAlign w:val="bottom"/>
            <w:gridSpan w:val="2"/>
          </w:tcPr>
          <w:p>
            <w:pPr>
              <w:ind w:left="580"/>
              <w:spacing w:after="0"/>
              <w:rPr>
                <w:sz w:val="20"/>
                <w:szCs w:val="20"/>
                <w:color w:val="auto"/>
              </w:rPr>
            </w:pPr>
            <w:r>
              <w:rPr>
                <w:rFonts w:ascii="Arial" w:cs="Arial" w:eastAsia="Arial" w:hAnsi="Arial"/>
                <w:sz w:val="18"/>
                <w:szCs w:val="18"/>
                <w:color w:val="auto"/>
              </w:rPr>
              <w:t>Less than 1%</w:t>
            </w:r>
          </w:p>
        </w:tc>
        <w:tc>
          <w:tcPr>
            <w:tcW w:w="66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-5599430</wp:posOffset>
            </wp:positionV>
            <wp:extent cx="3600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ind w:left="2340" w:right="7040" w:hanging="1551"/>
        <w:spacing w:after="0" w:line="527" w:lineRule="auto"/>
        <w:tabs>
          <w:tab w:leader="none" w:pos="1885"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-576580</wp:posOffset>
            </wp:positionV>
            <wp:extent cx="3600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889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-293370</wp:posOffset>
            </wp:positionV>
            <wp:extent cx="889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-293370</wp:posOffset>
            </wp:positionV>
            <wp:extent cx="889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6891655</wp:posOffset>
            </wp:positionH>
            <wp:positionV relativeFrom="paragraph">
              <wp:posOffset>-293370</wp:posOffset>
            </wp:positionV>
            <wp:extent cx="360045"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0045" cy="16319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CUSIP NO. 34385P108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230505</wp:posOffset>
            </wp:positionV>
            <wp:extent cx="3600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260" w:type="dxa"/>
            <w:vAlign w:val="bottom"/>
          </w:tcPr>
          <w:p>
            <w:pPr>
              <w:spacing w:after="0"/>
              <w:rPr>
                <w:sz w:val="20"/>
                <w:szCs w:val="20"/>
                <w:color w:val="auto"/>
              </w:rPr>
            </w:pPr>
          </w:p>
        </w:tc>
      </w:tr>
      <w:tr>
        <w:trPr>
          <w:trHeight w:val="432"/>
        </w:trPr>
        <w:tc>
          <w:tcPr>
            <w:tcW w:w="17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Safinia Partners, L.P.</w:t>
            </w:r>
          </w:p>
        </w:tc>
        <w:tc>
          <w:tcPr>
            <w:tcW w:w="1260" w:type="dxa"/>
            <w:vAlign w:val="bottom"/>
            <w:tcBorders>
              <w:bottom w:val="single" w:sz="8" w:color="auto"/>
            </w:tcBorders>
          </w:tcPr>
          <w:p>
            <w:pPr>
              <w:spacing w:after="0"/>
              <w:rPr>
                <w:sz w:val="24"/>
                <w:szCs w:val="24"/>
                <w:color w:val="auto"/>
              </w:rPr>
            </w:pPr>
          </w:p>
        </w:tc>
      </w:tr>
      <w:tr>
        <w:trPr>
          <w:trHeight w:val="163"/>
        </w:trPr>
        <w:tc>
          <w:tcPr>
            <w:tcW w:w="176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840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WC</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79"/>
              </w:rPr>
              <w:t>5</w:t>
            </w:r>
          </w:p>
        </w:tc>
        <w:tc>
          <w:tcPr>
            <w:tcW w:w="840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176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Pr>
          <w:p>
            <w:pPr>
              <w:spacing w:after="0"/>
              <w:rPr>
                <w:sz w:val="16"/>
                <w:szCs w:val="16"/>
                <w:color w:val="auto"/>
              </w:rPr>
            </w:pP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tcBorders>
          </w:tcPr>
          <w:p>
            <w:pPr>
              <w:spacing w:after="0"/>
              <w:rPr>
                <w:sz w:val="20"/>
                <w:szCs w:val="20"/>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Pr>
          <w:p>
            <w:pPr>
              <w:spacing w:after="0"/>
              <w:rPr>
                <w:sz w:val="16"/>
                <w:szCs w:val="16"/>
                <w:color w:val="auto"/>
              </w:rPr>
            </w:pP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19,818</w:t>
            </w:r>
          </w:p>
        </w:tc>
        <w:tc>
          <w:tcPr>
            <w:tcW w:w="1260" w:type="dxa"/>
            <w:vAlign w:val="bottom"/>
            <w:tcBorders>
              <w:bottom w:val="single" w:sz="8" w:color="auto"/>
            </w:tcBorders>
          </w:tcPr>
          <w:p>
            <w:pPr>
              <w:spacing w:after="0"/>
              <w:rPr>
                <w:sz w:val="20"/>
                <w:szCs w:val="20"/>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Pr>
          <w:p>
            <w:pPr>
              <w:spacing w:after="0"/>
              <w:rPr>
                <w:sz w:val="19"/>
                <w:szCs w:val="19"/>
                <w:color w:val="auto"/>
              </w:rPr>
            </w:pPr>
          </w:p>
        </w:tc>
      </w:tr>
      <w:tr>
        <w:trPr>
          <w:trHeight w:val="418"/>
        </w:trPr>
        <w:tc>
          <w:tcPr>
            <w:tcW w:w="176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19,818</w:t>
            </w: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19,818</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77"/>
        </w:trPr>
        <w:tc>
          <w:tcPr>
            <w:tcW w:w="17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Pr>
          <w:p>
            <w:pPr>
              <w:spacing w:after="0"/>
              <w:rPr>
                <w:sz w:val="19"/>
                <w:szCs w:val="19"/>
                <w:color w:val="auto"/>
              </w:rPr>
            </w:pPr>
          </w:p>
        </w:tc>
      </w:tr>
      <w:tr>
        <w:trPr>
          <w:trHeight w:val="418"/>
        </w:trPr>
        <w:tc>
          <w:tcPr>
            <w:tcW w:w="1760" w:type="dxa"/>
            <w:vAlign w:val="bottom"/>
          </w:tcPr>
          <w:p>
            <w:pPr>
              <w:spacing w:after="0"/>
              <w:rPr>
                <w:sz w:val="24"/>
                <w:szCs w:val="24"/>
                <w:color w:val="auto"/>
              </w:rPr>
            </w:pPr>
          </w:p>
        </w:tc>
        <w:tc>
          <w:tcPr>
            <w:tcW w:w="1780" w:type="dxa"/>
            <w:vAlign w:val="bottom"/>
            <w:gridSpan w:val="2"/>
          </w:tcPr>
          <w:p>
            <w:pPr>
              <w:ind w:left="580"/>
              <w:spacing w:after="0"/>
              <w:rPr>
                <w:sz w:val="20"/>
                <w:szCs w:val="20"/>
                <w:color w:val="auto"/>
              </w:rPr>
            </w:pPr>
            <w:r>
              <w:rPr>
                <w:rFonts w:ascii="Arial" w:cs="Arial" w:eastAsia="Arial" w:hAnsi="Arial"/>
                <w:sz w:val="18"/>
                <w:szCs w:val="18"/>
                <w:color w:val="auto"/>
              </w:rPr>
              <w:t>Less than 1%</w:t>
            </w:r>
          </w:p>
        </w:tc>
        <w:tc>
          <w:tcPr>
            <w:tcW w:w="66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-5599430</wp:posOffset>
            </wp:positionV>
            <wp:extent cx="3600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ind w:left="2340" w:right="7040" w:hanging="1551"/>
        <w:spacing w:after="0" w:line="527" w:lineRule="auto"/>
        <w:tabs>
          <w:tab w:leader="none" w:pos="1885"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-576580</wp:posOffset>
            </wp:positionV>
            <wp:extent cx="360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889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-293370</wp:posOffset>
            </wp:positionV>
            <wp:extent cx="889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-293370</wp:posOffset>
            </wp:positionV>
            <wp:extent cx="889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6891655</wp:posOffset>
            </wp:positionH>
            <wp:positionV relativeFrom="paragraph">
              <wp:posOffset>-293370</wp:posOffset>
            </wp:positionV>
            <wp:extent cx="360045"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0045" cy="16319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CUSIP NO. 34385P108</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LCS L/S, LLC</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AF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19,818</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19,818</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19,818</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Less than 1%</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9</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CUSIP NO. 34385P108</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John A. Levin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AF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United States of America</w:t>
            </w: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8,936,339</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11,872,775</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11,872,775</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30.7%</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080"/>
              <w:spacing w:after="0"/>
              <w:rPr>
                <w:sz w:val="20"/>
                <w:szCs w:val="20"/>
                <w:color w:val="auto"/>
              </w:rPr>
            </w:pPr>
            <w:r>
              <w:rPr>
                <w:rFonts w:ascii="Arial" w:cs="Arial" w:eastAsia="Arial" w:hAnsi="Arial"/>
                <w:sz w:val="18"/>
                <w:szCs w:val="18"/>
                <w:color w:val="auto"/>
              </w:rPr>
              <w:t>10</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CUSIP NO. 34385P108</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following constitutes Amendment No. 2 to the Schedule 13D filed by the undersigned (the "Amendment No. 2"). This Amendment No.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 amends the Schedule 13D as specifically set forth herein.</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u w:val="single" w:color="auto"/>
          <w:color w:val="auto"/>
        </w:rPr>
        <w:t>SOURCE AND AMOUNT OF FUNDS OR OTHER CONSIDERATION</w:t>
      </w:r>
      <w:r>
        <w:rPr>
          <w:rFonts w:ascii="Arial" w:cs="Arial" w:eastAsia="Arial" w:hAnsi="Arial"/>
          <w:sz w:val="17"/>
          <w:szCs w:val="17"/>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3 is hereby amended and restated as follows:</w:t>
      </w:r>
    </w:p>
    <w:p>
      <w:pPr>
        <w:spacing w:after="0" w:line="225" w:lineRule="exact"/>
        <w:rPr>
          <w:sz w:val="20"/>
          <w:szCs w:val="20"/>
          <w:color w:val="auto"/>
        </w:rPr>
      </w:pPr>
    </w:p>
    <w:p>
      <w:pPr>
        <w:ind w:right="480" w:firstLine="1297"/>
        <w:spacing w:after="0" w:line="279" w:lineRule="auto"/>
        <w:rPr>
          <w:sz w:val="20"/>
          <w:szCs w:val="20"/>
          <w:color w:val="auto"/>
        </w:rPr>
      </w:pPr>
      <w:r>
        <w:rPr>
          <w:rFonts w:ascii="Arial" w:cs="Arial" w:eastAsia="Arial" w:hAnsi="Arial"/>
          <w:sz w:val="17"/>
          <w:szCs w:val="17"/>
          <w:color w:val="auto"/>
        </w:rPr>
        <w:t>The Shares purchased by LCS on behalf of separately managed accounts, including Transamerica Large Cap Value Fund, a registered investment company under the Investment Company Act of 1940, as amended ("Transamerica"), for which LCS acts as sub-investment advisor, were purchased with general investment funds in open market purchases, except as otherwise noted. The aggregate purchase price of the 11,872,775 Shares beneficially owned directly by LCS is approximately $68,486,799, including brokerage commissions.</w:t>
      </w:r>
    </w:p>
    <w:p>
      <w:pPr>
        <w:spacing w:after="0" w:line="171" w:lineRule="exact"/>
        <w:rPr>
          <w:sz w:val="20"/>
          <w:szCs w:val="20"/>
          <w:color w:val="auto"/>
        </w:rPr>
      </w:pPr>
    </w:p>
    <w:p>
      <w:pPr>
        <w:ind w:right="120" w:firstLine="1297"/>
        <w:spacing w:after="0" w:line="308" w:lineRule="auto"/>
        <w:rPr>
          <w:sz w:val="20"/>
          <w:szCs w:val="20"/>
          <w:color w:val="auto"/>
        </w:rPr>
      </w:pPr>
      <w:r>
        <w:rPr>
          <w:rFonts w:ascii="Arial" w:cs="Arial" w:eastAsia="Arial" w:hAnsi="Arial"/>
          <w:sz w:val="17"/>
          <w:szCs w:val="17"/>
          <w:color w:val="auto"/>
        </w:rPr>
        <w:t>The Shares purchased by Trilogy were purchased with general investment funds in open market purchases, except as otherwise noted. The aggregate purchase price of the 82,884 Shares owned directly by Trilogy is approximately $504,310, including brokerage commissions.</w:t>
      </w:r>
    </w:p>
    <w:p>
      <w:pPr>
        <w:spacing w:after="0" w:line="147" w:lineRule="exact"/>
        <w:rPr>
          <w:sz w:val="20"/>
          <w:szCs w:val="20"/>
          <w:color w:val="auto"/>
        </w:rPr>
      </w:pPr>
    </w:p>
    <w:p>
      <w:pPr>
        <w:ind w:right="140" w:firstLine="1297"/>
        <w:spacing w:after="0" w:line="308" w:lineRule="auto"/>
        <w:rPr>
          <w:sz w:val="20"/>
          <w:szCs w:val="20"/>
          <w:color w:val="auto"/>
        </w:rPr>
      </w:pPr>
      <w:r>
        <w:rPr>
          <w:rFonts w:ascii="Arial" w:cs="Arial" w:eastAsia="Arial" w:hAnsi="Arial"/>
          <w:sz w:val="17"/>
          <w:szCs w:val="17"/>
          <w:color w:val="auto"/>
        </w:rPr>
        <w:t>The Shares purchased by Levcap were purchased with general investment funds in open market purchases, except as otherwise noted. The aggregate purchase price of the 56,820 Shares owned directly by Levcap is approximately $280,825, including brokerage commissions.</w:t>
      </w:r>
    </w:p>
    <w:p>
      <w:pPr>
        <w:spacing w:after="0" w:line="147" w:lineRule="exact"/>
        <w:rPr>
          <w:sz w:val="20"/>
          <w:szCs w:val="20"/>
          <w:color w:val="auto"/>
        </w:rPr>
      </w:pPr>
    </w:p>
    <w:p>
      <w:pPr>
        <w:ind w:right="160" w:firstLine="1297"/>
        <w:spacing w:after="0" w:line="308" w:lineRule="auto"/>
        <w:rPr>
          <w:sz w:val="20"/>
          <w:szCs w:val="20"/>
          <w:color w:val="auto"/>
        </w:rPr>
      </w:pPr>
      <w:r>
        <w:rPr>
          <w:rFonts w:ascii="Arial" w:cs="Arial" w:eastAsia="Arial" w:hAnsi="Arial"/>
          <w:sz w:val="17"/>
          <w:szCs w:val="17"/>
          <w:color w:val="auto"/>
        </w:rPr>
        <w:t>The Shares purchased by Safinia were purchased with general investment funds in open market purchases, except as otherwise noted. The aggregate purchase price of the 19,818 Shares owned directly by Safinia is approximately $107,616, including brokerage commissions.</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To the best of the Reporting Persons’ knowledge, none of the persons listed on Appendix A beneficially owns any securities of the Issuer.</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7"/>
          <w:szCs w:val="17"/>
          <w:u w:val="single" w:color="auto"/>
          <w:color w:val="auto"/>
        </w:rPr>
        <w:t>INTEREST IN SECURITIES OF THE ISSUER</w:t>
      </w:r>
      <w:r>
        <w:rPr>
          <w:rFonts w:ascii="Arial" w:cs="Arial" w:eastAsia="Arial" w:hAnsi="Arial"/>
          <w:sz w:val="17"/>
          <w:szCs w:val="17"/>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Items 5(a)-(d) are hereby amended and restated as follows:</w:t>
      </w:r>
    </w:p>
    <w:p>
      <w:pPr>
        <w:spacing w:after="0" w:line="225" w:lineRule="exact"/>
        <w:rPr>
          <w:sz w:val="20"/>
          <w:szCs w:val="20"/>
          <w:color w:val="auto"/>
        </w:rPr>
      </w:pPr>
    </w:p>
    <w:p>
      <w:pPr>
        <w:ind w:right="220" w:firstLine="1297"/>
        <w:spacing w:after="0" w:line="264" w:lineRule="auto"/>
        <w:rPr>
          <w:sz w:val="20"/>
          <w:szCs w:val="20"/>
          <w:color w:val="auto"/>
        </w:rPr>
      </w:pPr>
      <w:r>
        <w:rPr>
          <w:rFonts w:ascii="Arial" w:cs="Arial" w:eastAsia="Arial" w:hAnsi="Arial"/>
          <w:sz w:val="18"/>
          <w:szCs w:val="18"/>
          <w:color w:val="auto"/>
        </w:rPr>
        <w:t>The aggregate percentage of Shares reported owned by each person named herein is based upon 38,647,687 Shares outstanding, which is the total number of Shares outstanding as reported in the Issuer’s Quarterly Report on Form 10-Q filed with the Securities and Exchange Commission on November 7,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LCS</w:t>
      </w:r>
    </w:p>
    <w:p>
      <w:pPr>
        <w:spacing w:after="0" w:line="225" w:lineRule="exact"/>
        <w:rPr>
          <w:sz w:val="20"/>
          <w:szCs w:val="20"/>
          <w:color w:val="auto"/>
        </w:rPr>
      </w:pPr>
    </w:p>
    <w:p>
      <w:pPr>
        <w:ind w:right="500" w:firstLine="656"/>
        <w:spacing w:after="0" w:line="277" w:lineRule="auto"/>
        <w:tabs>
          <w:tab w:leader="none" w:pos="1153"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the close of business on January 10, 2018, LCS beneficially owned 11,872,775 Shares on behalf of separately managed accounts, including 1,275,129 Shares held by the separately managed account Transamerica.</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Percentage: Approximately 30.7%.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auto"/>
        </w:rPr>
        <w:t>CUSIP NO. 34385P108</w:t>
      </w:r>
    </w:p>
    <w:p>
      <w:pPr>
        <w:spacing w:after="0" w:line="213" w:lineRule="exact"/>
        <w:rPr>
          <w:sz w:val="20"/>
          <w:szCs w:val="20"/>
          <w:color w:val="auto"/>
        </w:rPr>
      </w:pPr>
    </w:p>
    <w:p>
      <w:pPr>
        <w:ind w:left="1300" w:hanging="644"/>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7"/>
        </w:numPr>
        <w:rPr>
          <w:rFonts w:ascii="Arial" w:cs="Arial" w:eastAsia="Arial" w:hAnsi="Arial"/>
          <w:sz w:val="18"/>
          <w:szCs w:val="18"/>
          <w:color w:val="auto"/>
        </w:rPr>
      </w:pPr>
      <w:r>
        <w:rPr>
          <w:rFonts w:ascii="Arial" w:cs="Arial" w:eastAsia="Arial" w:hAnsi="Arial"/>
          <w:sz w:val="18"/>
          <w:szCs w:val="18"/>
          <w:color w:val="auto"/>
        </w:rPr>
        <w:t>Shared power to vote or direct vote: 8,836,339</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7"/>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7"/>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11,872,775</w:t>
      </w:r>
    </w:p>
    <w:p>
      <w:pPr>
        <w:spacing w:after="0" w:line="210" w:lineRule="exact"/>
        <w:rPr>
          <w:rFonts w:ascii="Arial" w:cs="Arial" w:eastAsia="Arial" w:hAnsi="Arial"/>
          <w:sz w:val="18"/>
          <w:szCs w:val="18"/>
          <w:color w:val="auto"/>
        </w:rPr>
      </w:pPr>
    </w:p>
    <w:p>
      <w:pPr>
        <w:ind w:right="280" w:firstLine="656"/>
        <w:spacing w:after="0" w:line="277" w:lineRule="auto"/>
        <w:tabs>
          <w:tab w:leader="none" w:pos="1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transactions in the Shares by LCS on behalf of separately managed accounts, including Transamerica, during the past 60 days are set forth in Schedule A and are incorporated herein by reference.</w:t>
      </w:r>
    </w:p>
    <w:p>
      <w:pPr>
        <w:spacing w:after="0" w:line="17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B. LCS GP</w:t>
      </w:r>
    </w:p>
    <w:p>
      <w:pPr>
        <w:spacing w:after="0" w:line="225" w:lineRule="exact"/>
        <w:rPr>
          <w:rFonts w:ascii="Arial" w:cs="Arial" w:eastAsia="Arial" w:hAnsi="Arial"/>
          <w:sz w:val="18"/>
          <w:szCs w:val="18"/>
          <w:color w:val="auto"/>
        </w:rPr>
      </w:pPr>
    </w:p>
    <w:p>
      <w:pPr>
        <w:ind w:left="1160" w:hanging="504"/>
        <w:spacing w:after="0"/>
        <w:tabs>
          <w:tab w:leader="none" w:pos="11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As the General Partner of LCS, LCS GP is deemed to beneficially own the 11,872,775 Shares beneficially owned by LCS.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Percentage: Approximately 30.7%.</w:t>
      </w:r>
    </w:p>
    <w:p>
      <w:pPr>
        <w:spacing w:after="0" w:line="225" w:lineRule="exact"/>
        <w:rPr>
          <w:sz w:val="20"/>
          <w:szCs w:val="20"/>
          <w:color w:val="auto"/>
        </w:rPr>
      </w:pPr>
    </w:p>
    <w:p>
      <w:pPr>
        <w:ind w:left="1300" w:hanging="644"/>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9"/>
        </w:numPr>
        <w:rPr>
          <w:rFonts w:ascii="Arial" w:cs="Arial" w:eastAsia="Arial" w:hAnsi="Arial"/>
          <w:sz w:val="18"/>
          <w:szCs w:val="18"/>
          <w:color w:val="auto"/>
        </w:rPr>
      </w:pPr>
      <w:r>
        <w:rPr>
          <w:rFonts w:ascii="Arial" w:cs="Arial" w:eastAsia="Arial" w:hAnsi="Arial"/>
          <w:sz w:val="18"/>
          <w:szCs w:val="18"/>
          <w:color w:val="auto"/>
        </w:rPr>
        <w:t>Shared power to vote or direct vote: 8,936,339</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9"/>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9"/>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11,872,775</w:t>
      </w:r>
    </w:p>
    <w:p>
      <w:pPr>
        <w:spacing w:after="0" w:line="210" w:lineRule="exact"/>
        <w:rPr>
          <w:rFonts w:ascii="Arial" w:cs="Arial" w:eastAsia="Arial" w:hAnsi="Arial"/>
          <w:sz w:val="18"/>
          <w:szCs w:val="18"/>
          <w:color w:val="auto"/>
        </w:rPr>
      </w:pPr>
    </w:p>
    <w:p>
      <w:pPr>
        <w:ind w:left="1180" w:hanging="524"/>
        <w:spacing w:after="0"/>
        <w:tabs>
          <w:tab w:leader="none" w:pos="1180" w:val="left"/>
        </w:tabs>
        <w:numPr>
          <w:ilvl w:val="1"/>
          <w:numId w:val="9"/>
        </w:numPr>
        <w:rPr>
          <w:rFonts w:ascii="Arial" w:cs="Arial" w:eastAsia="Arial" w:hAnsi="Arial"/>
          <w:sz w:val="18"/>
          <w:szCs w:val="18"/>
          <w:color w:val="auto"/>
        </w:rPr>
      </w:pPr>
      <w:r>
        <w:rPr>
          <w:rFonts w:ascii="Arial" w:cs="Arial" w:eastAsia="Arial" w:hAnsi="Arial"/>
          <w:sz w:val="18"/>
          <w:szCs w:val="18"/>
          <w:color w:val="auto"/>
        </w:rPr>
        <w:t>LCS GP has not undertaken any transactions in the Shares during the past 60 days.</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 Trilogy</w:t>
      </w:r>
    </w:p>
    <w:p>
      <w:pPr>
        <w:spacing w:after="0" w:line="225" w:lineRule="exact"/>
        <w:rPr>
          <w:rFonts w:ascii="Arial" w:cs="Arial" w:eastAsia="Arial" w:hAnsi="Arial"/>
          <w:sz w:val="18"/>
          <w:szCs w:val="18"/>
          <w:color w:val="auto"/>
        </w:rPr>
      </w:pPr>
    </w:p>
    <w:p>
      <w:pPr>
        <w:ind w:left="1300" w:right="3580" w:hanging="644"/>
        <w:spacing w:after="0" w:line="501" w:lineRule="auto"/>
        <w:tabs>
          <w:tab w:leader="none" w:pos="1157" w:val="left"/>
        </w:tabs>
        <w:numPr>
          <w:ilvl w:val="1"/>
          <w:numId w:val="10"/>
        </w:numPr>
        <w:rPr>
          <w:rFonts w:ascii="Arial" w:cs="Arial" w:eastAsia="Arial" w:hAnsi="Arial"/>
          <w:sz w:val="18"/>
          <w:szCs w:val="18"/>
          <w:color w:val="auto"/>
        </w:rPr>
      </w:pPr>
      <w:r>
        <w:rPr>
          <w:rFonts w:ascii="Arial" w:cs="Arial" w:eastAsia="Arial" w:hAnsi="Arial"/>
          <w:sz w:val="18"/>
          <w:szCs w:val="18"/>
          <w:color w:val="auto"/>
        </w:rPr>
        <w:t>As of the close of business on January 10, 2018, Trilogy beneficially owned 82,884 Shares. Percentage: Less than 1.0%.</w:t>
      </w:r>
    </w:p>
    <w:p>
      <w:pPr>
        <w:ind w:left="1300" w:hanging="644"/>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Shared power to vote or direct vote: 82,884 *</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82,884 *</w:t>
      </w:r>
    </w:p>
    <w:p>
      <w:pPr>
        <w:spacing w:after="0" w:line="211" w:lineRule="exact"/>
        <w:rPr>
          <w:sz w:val="20"/>
          <w:szCs w:val="20"/>
          <w:color w:val="auto"/>
        </w:rPr>
      </w:pPr>
    </w:p>
    <w:p>
      <w:pPr>
        <w:ind w:firstLine="656"/>
        <w:spacing w:after="0" w:line="277" w:lineRule="auto"/>
        <w:tabs>
          <w:tab w:leader="none" w:pos="783"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the general partner to Trilogy, LCSL has shared voting and dispositive power over these Shares. As the investment advisor to Trilogy, LCS has shared voting and dispositive power over these Shares.</w:t>
      </w:r>
    </w:p>
    <w:p>
      <w:pPr>
        <w:spacing w:after="0" w:line="170" w:lineRule="exact"/>
        <w:rPr>
          <w:sz w:val="20"/>
          <w:szCs w:val="20"/>
          <w:color w:val="auto"/>
        </w:rPr>
      </w:pPr>
    </w:p>
    <w:p>
      <w:pPr>
        <w:ind w:left="1160" w:hanging="504"/>
        <w:spacing w:after="0"/>
        <w:tabs>
          <w:tab w:leader="none" w:pos="11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Trilogy has not undertaken any transactions in the Shares during the past 60 days.</w:t>
      </w:r>
    </w:p>
    <w:p>
      <w:pPr>
        <w:spacing w:after="0" w:line="225" w:lineRule="exact"/>
        <w:rPr>
          <w:rFonts w:ascii="Arial" w:cs="Arial" w:eastAsia="Arial" w:hAnsi="Arial"/>
          <w:sz w:val="18"/>
          <w:szCs w:val="18"/>
          <w:color w:val="auto"/>
        </w:rPr>
      </w:pPr>
    </w:p>
    <w:p>
      <w:pPr>
        <w:ind w:left="220" w:hanging="212"/>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LCSL</w:t>
      </w:r>
    </w:p>
    <w:p>
      <w:pPr>
        <w:spacing w:after="0" w:line="225" w:lineRule="exact"/>
        <w:rPr>
          <w:rFonts w:ascii="Arial" w:cs="Arial" w:eastAsia="Arial" w:hAnsi="Arial"/>
          <w:sz w:val="18"/>
          <w:szCs w:val="18"/>
          <w:color w:val="auto"/>
        </w:rPr>
      </w:pPr>
    </w:p>
    <w:p>
      <w:pPr>
        <w:ind w:left="1300" w:right="1440" w:hanging="644"/>
        <w:spacing w:after="0" w:line="501" w:lineRule="auto"/>
        <w:tabs>
          <w:tab w:leader="none" w:pos="1157" w:val="left"/>
        </w:tabs>
        <w:numPr>
          <w:ilvl w:val="1"/>
          <w:numId w:val="13"/>
        </w:numPr>
        <w:rPr>
          <w:rFonts w:ascii="Arial" w:cs="Arial" w:eastAsia="Arial" w:hAnsi="Arial"/>
          <w:sz w:val="18"/>
          <w:szCs w:val="18"/>
          <w:color w:val="auto"/>
        </w:rPr>
      </w:pPr>
      <w:r>
        <w:rPr>
          <w:rFonts w:ascii="Arial" w:cs="Arial" w:eastAsia="Arial" w:hAnsi="Arial"/>
          <w:sz w:val="18"/>
          <w:szCs w:val="18"/>
          <w:color w:val="auto"/>
        </w:rPr>
        <w:t>As the General Partner of Trilogy, LCSL is deemed to beneficially own the 82,884 Shares beneficially owned by Trilogy. Percentage: Less than 1.0%.</w:t>
      </w:r>
    </w:p>
    <w:p>
      <w:pPr>
        <w:jc w:val="center"/>
        <w:ind w:right="-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6" w:right="339" w:bottom="1440" w:gutter="0" w:footer="0" w:header="0"/>
        </w:sectPr>
      </w:pPr>
    </w:p>
    <w:bookmarkStart w:id="12" w:name="page13"/>
    <w:bookmarkEnd w:id="12"/>
    <w:p>
      <w:pPr>
        <w:spacing w:after="0"/>
        <w:rPr>
          <w:sz w:val="20"/>
          <w:szCs w:val="20"/>
          <w:color w:val="auto"/>
        </w:rPr>
      </w:pPr>
      <w:r>
        <w:rPr>
          <w:rFonts w:ascii="Arial" w:cs="Arial" w:eastAsia="Arial" w:hAnsi="Arial"/>
          <w:sz w:val="22"/>
          <w:szCs w:val="22"/>
          <w:color w:val="auto"/>
        </w:rPr>
        <w:t>CUSIP NO. 34385P108</w:t>
      </w:r>
    </w:p>
    <w:p>
      <w:pPr>
        <w:spacing w:after="0" w:line="213"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Shared power to vote or direct vote: 82,884 *</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82,884 *</w:t>
      </w:r>
    </w:p>
    <w:p>
      <w:pPr>
        <w:spacing w:after="0" w:line="211" w:lineRule="exact"/>
        <w:rPr>
          <w:sz w:val="20"/>
          <w:szCs w:val="20"/>
          <w:color w:val="auto"/>
        </w:rPr>
      </w:pPr>
    </w:p>
    <w:p>
      <w:pPr>
        <w:ind w:firstLine="656"/>
        <w:spacing w:after="0" w:line="277" w:lineRule="auto"/>
        <w:tabs>
          <w:tab w:leader="none" w:pos="783"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the general partner to Trilogy, LCSL has shared voting and dispositive power over these Shares. As the investment advisor to Trilogy, LCS has shared voting and dispositive power over these Shares.</w:t>
      </w:r>
    </w:p>
    <w:p>
      <w:pPr>
        <w:spacing w:after="0" w:line="170" w:lineRule="exact"/>
        <w:rPr>
          <w:sz w:val="20"/>
          <w:szCs w:val="20"/>
          <w:color w:val="auto"/>
        </w:rPr>
      </w:pPr>
    </w:p>
    <w:p>
      <w:pPr>
        <w:ind w:left="1180" w:hanging="524"/>
        <w:spacing w:after="0"/>
        <w:tabs>
          <w:tab w:leader="none" w:pos="11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LCSL has not undertaken any transactions in the Shares during the past 60 days.</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E. Levcap</w:t>
      </w:r>
    </w:p>
    <w:p>
      <w:pPr>
        <w:spacing w:after="0" w:line="225" w:lineRule="exact"/>
        <w:rPr>
          <w:rFonts w:ascii="Arial" w:cs="Arial" w:eastAsia="Arial" w:hAnsi="Arial"/>
          <w:sz w:val="18"/>
          <w:szCs w:val="18"/>
          <w:color w:val="auto"/>
        </w:rPr>
      </w:pPr>
    </w:p>
    <w:p>
      <w:pPr>
        <w:ind w:left="1300" w:right="3580" w:hanging="644"/>
        <w:spacing w:after="0" w:line="501" w:lineRule="auto"/>
        <w:tabs>
          <w:tab w:leader="none" w:pos="1157" w:val="left"/>
        </w:tabs>
        <w:numPr>
          <w:ilvl w:val="1"/>
          <w:numId w:val="17"/>
        </w:numPr>
        <w:rPr>
          <w:rFonts w:ascii="Arial" w:cs="Arial" w:eastAsia="Arial" w:hAnsi="Arial"/>
          <w:sz w:val="18"/>
          <w:szCs w:val="18"/>
          <w:color w:val="auto"/>
        </w:rPr>
      </w:pPr>
      <w:r>
        <w:rPr>
          <w:rFonts w:ascii="Arial" w:cs="Arial" w:eastAsia="Arial" w:hAnsi="Arial"/>
          <w:sz w:val="18"/>
          <w:szCs w:val="18"/>
          <w:color w:val="auto"/>
        </w:rPr>
        <w:t>As of the close of business on January 10, 2018, Levcap beneficially owned 56,820 Shares. Percentage: Less than 1.0%.</w:t>
      </w:r>
    </w:p>
    <w:p>
      <w:pPr>
        <w:ind w:left="1300" w:hanging="644"/>
        <w:spacing w:after="0"/>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17"/>
        </w:numPr>
        <w:rPr>
          <w:rFonts w:ascii="Arial" w:cs="Arial" w:eastAsia="Arial" w:hAnsi="Arial"/>
          <w:sz w:val="18"/>
          <w:szCs w:val="18"/>
          <w:color w:val="auto"/>
        </w:rPr>
      </w:pPr>
      <w:r>
        <w:rPr>
          <w:rFonts w:ascii="Arial" w:cs="Arial" w:eastAsia="Arial" w:hAnsi="Arial"/>
          <w:sz w:val="18"/>
          <w:szCs w:val="18"/>
          <w:color w:val="auto"/>
        </w:rPr>
        <w:t>Shared power to vote or direct vote: 56,820 *</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7"/>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7"/>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56,820*</w:t>
      </w:r>
    </w:p>
    <w:p>
      <w:pPr>
        <w:spacing w:after="0" w:line="211" w:lineRule="exact"/>
        <w:rPr>
          <w:sz w:val="20"/>
          <w:szCs w:val="20"/>
          <w:color w:val="auto"/>
        </w:rPr>
      </w:pPr>
    </w:p>
    <w:p>
      <w:pPr>
        <w:ind w:right="180" w:firstLine="656"/>
        <w:spacing w:after="0" w:line="277" w:lineRule="auto"/>
        <w:tabs>
          <w:tab w:leader="none" w:pos="783"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the general partner to Levcap, LCSEP has shared voting and dispositive power over these Shares. As the investment advisor to Levcap, LCS has shared voting and dispositive power over these Shares.</w:t>
      </w:r>
    </w:p>
    <w:p>
      <w:pPr>
        <w:spacing w:after="0" w:line="170" w:lineRule="exact"/>
        <w:rPr>
          <w:sz w:val="20"/>
          <w:szCs w:val="20"/>
          <w:color w:val="auto"/>
        </w:rPr>
      </w:pPr>
    </w:p>
    <w:p>
      <w:pPr>
        <w:ind w:left="1180" w:hanging="524"/>
        <w:spacing w:after="0"/>
        <w:tabs>
          <w:tab w:leader="none" w:pos="11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Levcap has not undertaken any transactions in the Shares during the past 60 days.</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F. LCSEP</w:t>
      </w:r>
    </w:p>
    <w:p>
      <w:pPr>
        <w:spacing w:after="0" w:line="225" w:lineRule="exact"/>
        <w:rPr>
          <w:rFonts w:ascii="Arial" w:cs="Arial" w:eastAsia="Arial" w:hAnsi="Arial"/>
          <w:sz w:val="18"/>
          <w:szCs w:val="18"/>
          <w:color w:val="auto"/>
        </w:rPr>
      </w:pPr>
    </w:p>
    <w:p>
      <w:pPr>
        <w:ind w:left="1300" w:right="1320" w:hanging="644"/>
        <w:spacing w:after="0" w:line="501" w:lineRule="auto"/>
        <w:tabs>
          <w:tab w:leader="none" w:pos="1157" w:val="left"/>
        </w:tabs>
        <w:numPr>
          <w:ilvl w:val="1"/>
          <w:numId w:val="20"/>
        </w:numPr>
        <w:rPr>
          <w:rFonts w:ascii="Arial" w:cs="Arial" w:eastAsia="Arial" w:hAnsi="Arial"/>
          <w:sz w:val="18"/>
          <w:szCs w:val="18"/>
          <w:color w:val="auto"/>
        </w:rPr>
      </w:pPr>
      <w:r>
        <w:rPr>
          <w:rFonts w:ascii="Arial" w:cs="Arial" w:eastAsia="Arial" w:hAnsi="Arial"/>
          <w:sz w:val="18"/>
          <w:szCs w:val="18"/>
          <w:color w:val="auto"/>
        </w:rPr>
        <w:t>As the General Partner of Levcap, LCSEP is deemed to beneficially own the 56,820 Shares beneficially owned by Levcap. Percentage: Less than 1.0%.</w:t>
      </w:r>
    </w:p>
    <w:p>
      <w:pPr>
        <w:ind w:left="1300" w:hanging="644"/>
        <w:spacing w:after="0"/>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20"/>
        </w:numPr>
        <w:rPr>
          <w:rFonts w:ascii="Arial" w:cs="Arial" w:eastAsia="Arial" w:hAnsi="Arial"/>
          <w:sz w:val="18"/>
          <w:szCs w:val="18"/>
          <w:color w:val="auto"/>
        </w:rPr>
      </w:pPr>
      <w:r>
        <w:rPr>
          <w:rFonts w:ascii="Arial" w:cs="Arial" w:eastAsia="Arial" w:hAnsi="Arial"/>
          <w:sz w:val="18"/>
          <w:szCs w:val="18"/>
          <w:color w:val="auto"/>
        </w:rPr>
        <w:t>Shared power to vote or direct vote: 56,820 *</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20"/>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20"/>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56,820*</w:t>
      </w:r>
    </w:p>
    <w:p>
      <w:pPr>
        <w:spacing w:after="0" w:line="211" w:lineRule="exact"/>
        <w:rPr>
          <w:sz w:val="20"/>
          <w:szCs w:val="20"/>
          <w:color w:val="auto"/>
        </w:rPr>
      </w:pPr>
    </w:p>
    <w:p>
      <w:pPr>
        <w:ind w:right="180" w:firstLine="656"/>
        <w:spacing w:after="0" w:line="277" w:lineRule="auto"/>
        <w:tabs>
          <w:tab w:leader="none" w:pos="783"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the general partner to Levcap, LCSEP has shared voting and dispositive power over these Shares. As the investment advisor to Levcap, LCS has shared voting and dispositive power over these Shares.</w:t>
      </w:r>
    </w:p>
    <w:p>
      <w:pPr>
        <w:spacing w:after="0" w:line="170" w:lineRule="exact"/>
        <w:rPr>
          <w:sz w:val="20"/>
          <w:szCs w:val="20"/>
          <w:color w:val="auto"/>
        </w:rPr>
      </w:pPr>
    </w:p>
    <w:p>
      <w:pPr>
        <w:ind w:left="1180" w:hanging="524"/>
        <w:spacing w:after="0"/>
        <w:tabs>
          <w:tab w:leader="none" w:pos="11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LCSEP has not undertaken any transactions in the Shares during the past 60 days.</w:t>
      </w:r>
    </w:p>
    <w:p>
      <w:pPr>
        <w:spacing w:after="0" w:line="225" w:lineRule="exact"/>
        <w:rPr>
          <w:rFonts w:ascii="Arial" w:cs="Arial" w:eastAsia="Arial" w:hAnsi="Arial"/>
          <w:sz w:val="18"/>
          <w:szCs w:val="18"/>
          <w:color w:val="auto"/>
        </w:rPr>
      </w:pPr>
    </w:p>
    <w:p>
      <w:pPr>
        <w:ind w:left="220" w:hanging="212"/>
        <w:spacing w:after="0"/>
        <w:tabs>
          <w:tab w:leader="none" w:pos="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Safinia</w:t>
      </w:r>
    </w:p>
    <w:p>
      <w:pPr>
        <w:spacing w:after="0" w:line="225" w:lineRule="exact"/>
        <w:rPr>
          <w:rFonts w:ascii="Arial" w:cs="Arial" w:eastAsia="Arial" w:hAnsi="Arial"/>
          <w:sz w:val="18"/>
          <w:szCs w:val="18"/>
          <w:color w:val="auto"/>
        </w:rPr>
      </w:pPr>
    </w:p>
    <w:p>
      <w:pPr>
        <w:ind w:left="1300" w:right="3600" w:hanging="644"/>
        <w:spacing w:after="0" w:line="501" w:lineRule="auto"/>
        <w:tabs>
          <w:tab w:leader="none" w:pos="1157" w:val="left"/>
        </w:tabs>
        <w:numPr>
          <w:ilvl w:val="1"/>
          <w:numId w:val="23"/>
        </w:numPr>
        <w:rPr>
          <w:rFonts w:ascii="Arial" w:cs="Arial" w:eastAsia="Arial" w:hAnsi="Arial"/>
          <w:sz w:val="18"/>
          <w:szCs w:val="18"/>
          <w:color w:val="auto"/>
        </w:rPr>
      </w:pPr>
      <w:r>
        <w:rPr>
          <w:rFonts w:ascii="Arial" w:cs="Arial" w:eastAsia="Arial" w:hAnsi="Arial"/>
          <w:sz w:val="18"/>
          <w:szCs w:val="18"/>
          <w:color w:val="auto"/>
        </w:rPr>
        <w:t>As of the close of business on January 10, 2018, Safinia beneficially owned 19,818 Shares. Percentage: Less than 1.0%.</w:t>
      </w:r>
    </w:p>
    <w:p>
      <w:pPr>
        <w:jc w:val="center"/>
        <w:ind w:right="-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6" w:right="339" w:bottom="1440" w:gutter="0" w:footer="0" w:header="0"/>
        </w:sectPr>
      </w:pPr>
    </w:p>
    <w:bookmarkStart w:id="13" w:name="page14"/>
    <w:bookmarkEnd w:id="13"/>
    <w:p>
      <w:pPr>
        <w:spacing w:after="0"/>
        <w:rPr>
          <w:sz w:val="20"/>
          <w:szCs w:val="20"/>
          <w:color w:val="auto"/>
        </w:rPr>
      </w:pPr>
      <w:r>
        <w:rPr>
          <w:rFonts w:ascii="Arial" w:cs="Arial" w:eastAsia="Arial" w:hAnsi="Arial"/>
          <w:sz w:val="22"/>
          <w:szCs w:val="22"/>
          <w:color w:val="auto"/>
        </w:rPr>
        <w:t>CUSIP NO. 34385P108</w:t>
      </w:r>
    </w:p>
    <w:p>
      <w:pPr>
        <w:spacing w:after="0" w:line="213"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Shared power to vote or direct vote: 19,818 *</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Shared power to dispose or direct the disposition:19,818 *</w:t>
      </w:r>
    </w:p>
    <w:p>
      <w:pPr>
        <w:spacing w:after="0" w:line="211" w:lineRule="exact"/>
        <w:rPr>
          <w:sz w:val="20"/>
          <w:szCs w:val="20"/>
          <w:color w:val="auto"/>
        </w:rPr>
      </w:pPr>
    </w:p>
    <w:p>
      <w:pPr>
        <w:ind w:firstLine="656"/>
        <w:spacing w:after="0" w:line="277" w:lineRule="auto"/>
        <w:tabs>
          <w:tab w:leader="none" w:pos="783"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the general partner to Safinia, LCSLS has shared voting and dispositive power over these Shares. As the investment advisor to Safinia, LCS has shared voting and dispositive power over these Shares.</w:t>
      </w:r>
    </w:p>
    <w:p>
      <w:pPr>
        <w:spacing w:after="0" w:line="170" w:lineRule="exact"/>
        <w:rPr>
          <w:sz w:val="20"/>
          <w:szCs w:val="20"/>
          <w:color w:val="auto"/>
        </w:rPr>
      </w:pPr>
    </w:p>
    <w:p>
      <w:pPr>
        <w:ind w:left="1180" w:hanging="524"/>
        <w:spacing w:after="0"/>
        <w:tabs>
          <w:tab w:leader="none" w:pos="11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Safinia has not undertaken any transactions in the Shares during the past 60 days.</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H. LCSLS</w:t>
      </w:r>
    </w:p>
    <w:p>
      <w:pPr>
        <w:spacing w:after="0" w:line="225" w:lineRule="exact"/>
        <w:rPr>
          <w:rFonts w:ascii="Arial" w:cs="Arial" w:eastAsia="Arial" w:hAnsi="Arial"/>
          <w:sz w:val="18"/>
          <w:szCs w:val="18"/>
          <w:color w:val="auto"/>
        </w:rPr>
      </w:pPr>
    </w:p>
    <w:p>
      <w:pPr>
        <w:ind w:left="1300" w:right="1440" w:hanging="644"/>
        <w:spacing w:after="0" w:line="501" w:lineRule="auto"/>
        <w:tabs>
          <w:tab w:leader="none" w:pos="1157" w:val="left"/>
        </w:tabs>
        <w:numPr>
          <w:ilvl w:val="1"/>
          <w:numId w:val="27"/>
        </w:numPr>
        <w:rPr>
          <w:rFonts w:ascii="Arial" w:cs="Arial" w:eastAsia="Arial" w:hAnsi="Arial"/>
          <w:sz w:val="18"/>
          <w:szCs w:val="18"/>
          <w:color w:val="auto"/>
        </w:rPr>
      </w:pPr>
      <w:r>
        <w:rPr>
          <w:rFonts w:ascii="Arial" w:cs="Arial" w:eastAsia="Arial" w:hAnsi="Arial"/>
          <w:sz w:val="18"/>
          <w:szCs w:val="18"/>
          <w:color w:val="auto"/>
        </w:rPr>
        <w:t>As the General Partner of Safinia, LCSLS is deemed to beneficially own the 19,818 Shares beneficially owned by Safinia. Percentage: Less than 1.0%.</w:t>
      </w:r>
    </w:p>
    <w:p>
      <w:pPr>
        <w:ind w:left="1300" w:hanging="644"/>
        <w:spacing w:after="0"/>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27"/>
        </w:numPr>
        <w:rPr>
          <w:rFonts w:ascii="Arial" w:cs="Arial" w:eastAsia="Arial" w:hAnsi="Arial"/>
          <w:sz w:val="18"/>
          <w:szCs w:val="18"/>
          <w:color w:val="auto"/>
        </w:rPr>
      </w:pPr>
      <w:r>
        <w:rPr>
          <w:rFonts w:ascii="Arial" w:cs="Arial" w:eastAsia="Arial" w:hAnsi="Arial"/>
          <w:sz w:val="18"/>
          <w:szCs w:val="18"/>
          <w:color w:val="auto"/>
        </w:rPr>
        <w:t>Shared power to vote or direct vote: 19,818 *</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27"/>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27"/>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19,818 *</w:t>
      </w:r>
    </w:p>
    <w:p>
      <w:pPr>
        <w:spacing w:after="0" w:line="211" w:lineRule="exact"/>
        <w:rPr>
          <w:sz w:val="20"/>
          <w:szCs w:val="20"/>
          <w:color w:val="auto"/>
        </w:rPr>
      </w:pPr>
    </w:p>
    <w:p>
      <w:pPr>
        <w:ind w:firstLine="656"/>
        <w:spacing w:after="0" w:line="277" w:lineRule="auto"/>
        <w:tabs>
          <w:tab w:leader="none" w:pos="783"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the general partner to Safinia, LCSLS has shared voting and dispositive power over these Shares. As the investment advisor to Safinia, LCS has shared voting and dispositive power over these Shares.</w:t>
      </w:r>
    </w:p>
    <w:p>
      <w:pPr>
        <w:spacing w:after="0" w:line="170" w:lineRule="exact"/>
        <w:rPr>
          <w:sz w:val="20"/>
          <w:szCs w:val="20"/>
          <w:color w:val="auto"/>
        </w:rPr>
      </w:pPr>
    </w:p>
    <w:p>
      <w:pPr>
        <w:ind w:left="1180" w:hanging="524"/>
        <w:spacing w:after="0"/>
        <w:tabs>
          <w:tab w:leader="none" w:pos="11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LCSLS has not undertaken any transactions in the Shares during the past 60 days.</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John Levin</w:t>
      </w:r>
    </w:p>
    <w:p>
      <w:pPr>
        <w:spacing w:after="0" w:line="225" w:lineRule="exact"/>
        <w:rPr>
          <w:rFonts w:ascii="Arial" w:cs="Arial" w:eastAsia="Arial" w:hAnsi="Arial"/>
          <w:sz w:val="18"/>
          <w:szCs w:val="18"/>
          <w:color w:val="auto"/>
        </w:rPr>
      </w:pPr>
    </w:p>
    <w:p>
      <w:pPr>
        <w:ind w:firstLine="656"/>
        <w:spacing w:after="0" w:line="277" w:lineRule="auto"/>
        <w:tabs>
          <w:tab w:leader="none" w:pos="1153" w:val="left"/>
        </w:tabs>
        <w:numPr>
          <w:ilvl w:val="1"/>
          <w:numId w:val="30"/>
        </w:numPr>
        <w:rPr>
          <w:rFonts w:ascii="Arial" w:cs="Arial" w:eastAsia="Arial" w:hAnsi="Arial"/>
          <w:sz w:val="18"/>
          <w:szCs w:val="18"/>
          <w:color w:val="auto"/>
        </w:rPr>
      </w:pPr>
      <w:r>
        <w:rPr>
          <w:rFonts w:ascii="Arial" w:cs="Arial" w:eastAsia="Arial" w:hAnsi="Arial"/>
          <w:sz w:val="18"/>
          <w:szCs w:val="18"/>
          <w:color w:val="auto"/>
        </w:rPr>
        <w:t>As the Chief Executive Officer of LCS and the Managing Member of each of LCSL, LCSEP and LCSLS, Mr. Levin is deemed to beneficially own 11,872,775 Shares beneficially owned by LCS.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Percentage: Approximately 30.7%.</w:t>
      </w:r>
    </w:p>
    <w:p>
      <w:pPr>
        <w:spacing w:after="0" w:line="225" w:lineRule="exact"/>
        <w:rPr>
          <w:sz w:val="20"/>
          <w:szCs w:val="20"/>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Shared power to vote or direct vote: 8,893,339</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11,872,775</w:t>
      </w:r>
    </w:p>
    <w:p>
      <w:pPr>
        <w:spacing w:after="0" w:line="210" w:lineRule="exact"/>
        <w:rPr>
          <w:rFonts w:ascii="Arial" w:cs="Arial" w:eastAsia="Arial" w:hAnsi="Arial"/>
          <w:sz w:val="18"/>
          <w:szCs w:val="18"/>
          <w:color w:val="auto"/>
        </w:rPr>
      </w:pPr>
    </w:p>
    <w:p>
      <w:pPr>
        <w:ind w:left="5620" w:right="4160" w:hanging="4964"/>
        <w:spacing w:after="0" w:line="528" w:lineRule="auto"/>
        <w:tabs>
          <w:tab w:leader="none" w:pos="1167"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Levin has not undertaken any transactions in the Shares during the past 60 days.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4" w:name="page15"/>
    <w:bookmarkEnd w:id="14"/>
    <w:p>
      <w:pPr>
        <w:spacing w:after="0"/>
        <w:rPr>
          <w:sz w:val="20"/>
          <w:szCs w:val="20"/>
          <w:color w:val="auto"/>
        </w:rPr>
      </w:pPr>
      <w:r>
        <w:rPr>
          <w:rFonts w:ascii="Arial" w:cs="Arial" w:eastAsia="Arial" w:hAnsi="Arial"/>
          <w:sz w:val="22"/>
          <w:szCs w:val="22"/>
          <w:color w:val="auto"/>
        </w:rPr>
        <w:t>CUSIP NO. 34385P108</w:t>
      </w:r>
    </w:p>
    <w:p>
      <w:pPr>
        <w:spacing w:after="0" w:line="21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filing of this Schedule 13D shall not be construed as an admission that the Reporting Persons are, for purposes of Section 13(d) of the Securities Exchange Act of 1934, as amended, the beneficial owners of any of the securities reported herein. Each of the Reporting Persons specifically disclaims beneficial ownership of the securities reported herein that are not directly owned by such Reporting Person, except to the extent of their pecuniary interest therein.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To the best of the Reporting Persons’ knowledge, none of the persons listed on Appendix A beneficially owns any securities of the Issuer.</w:t>
      </w:r>
    </w:p>
    <w:p>
      <w:pPr>
        <w:spacing w:after="0" w:line="237" w:lineRule="exact"/>
        <w:rPr>
          <w:sz w:val="20"/>
          <w:szCs w:val="20"/>
          <w:color w:val="auto"/>
        </w:rPr>
      </w:pPr>
    </w:p>
    <w:p>
      <w:pPr>
        <w:ind w:right="20" w:firstLine="656"/>
        <w:spacing w:after="0" w:line="264" w:lineRule="auto"/>
        <w:tabs>
          <w:tab w:leader="none" w:pos="1163"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separately managed account, Transamerica, a registered investment company under the Investment Company Act of 1940, as amended, for which LCS acts as sub-investment advisor, has the right to receive dividends from, and the proceeds from the sale of, 1,275,129 Shares. Voting and dispositive power over such Shares is deemed to be shared between LCS and Transamerica.</w:t>
      </w:r>
    </w:p>
    <w:p>
      <w:pPr>
        <w:spacing w:after="0" w:line="181" w:lineRule="exact"/>
        <w:rPr>
          <w:sz w:val="20"/>
          <w:szCs w:val="20"/>
          <w:color w:val="auto"/>
        </w:rPr>
      </w:pPr>
    </w:p>
    <w:p>
      <w:pPr>
        <w:jc w:val="both"/>
        <w:ind w:right="180" w:firstLine="1297"/>
        <w:spacing w:after="0" w:line="264" w:lineRule="auto"/>
        <w:rPr>
          <w:sz w:val="20"/>
          <w:szCs w:val="20"/>
          <w:color w:val="auto"/>
        </w:rPr>
      </w:pPr>
      <w:r>
        <w:rPr>
          <w:rFonts w:ascii="Arial" w:cs="Arial" w:eastAsia="Arial" w:hAnsi="Arial"/>
          <w:sz w:val="18"/>
          <w:szCs w:val="18"/>
          <w:color w:val="auto"/>
        </w:rPr>
        <w:t>Various other separately managed accounts for whom LCS acts as investment manager have the right to receive dividends from, and the proceeds from the sale of 10,438,124 Shares. Dispositive power over such Shares is shared. Voting power over such Shares is deemed shared between such managed accounts and LCS with respect to 7,501,688 Shares.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26" w:right="299" w:bottom="1440" w:gutter="0" w:footer="0" w:header="0"/>
        </w:sectPr>
      </w:pPr>
    </w:p>
    <w:bookmarkStart w:id="15" w:name="page16"/>
    <w:bookmarkEnd w:id="15"/>
    <w:p>
      <w:pPr>
        <w:spacing w:after="0"/>
        <w:rPr>
          <w:sz w:val="20"/>
          <w:szCs w:val="20"/>
          <w:color w:val="auto"/>
        </w:rPr>
      </w:pPr>
      <w:r>
        <w:rPr>
          <w:rFonts w:ascii="Arial" w:cs="Arial" w:eastAsia="Arial" w:hAnsi="Arial"/>
          <w:sz w:val="22"/>
          <w:szCs w:val="22"/>
          <w:color w:val="auto"/>
        </w:rPr>
        <w:t>CUSIP NO. 34385P108</w:t>
      </w:r>
    </w:p>
    <w:p>
      <w:pPr>
        <w:spacing w:after="0" w:line="3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11, 2018</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Levin Capital Strategies, L.P.</w:t>
      </w:r>
    </w:p>
    <w:p>
      <w:pPr>
        <w:spacing w:after="0" w:line="225" w:lineRule="exact"/>
        <w:rPr>
          <w:sz w:val="20"/>
          <w:szCs w:val="20"/>
          <w:color w:val="auto"/>
        </w:rPr>
      </w:pPr>
    </w:p>
    <w:tbl>
      <w:tblPr>
        <w:tblLayout w:type="fixed"/>
        <w:tblInd w:w="594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A. Levin</w:t>
            </w:r>
          </w:p>
        </w:tc>
      </w:tr>
      <w:tr>
        <w:trPr>
          <w:trHeight w:val="195"/>
        </w:trPr>
        <w:tc>
          <w:tcPr>
            <w:tcW w:w="680" w:type="dxa"/>
            <w:vAlign w:val="bottom"/>
          </w:tcPr>
          <w:p>
            <w:pPr>
              <w:spacing w:after="0"/>
              <w:rPr>
                <w:sz w:val="16"/>
                <w:szCs w:val="16"/>
                <w:color w:val="auto"/>
              </w:rPr>
            </w:pPr>
          </w:p>
        </w:tc>
        <w:tc>
          <w:tcPr>
            <w:tcW w:w="9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80" w:type="dxa"/>
            <w:vAlign w:val="bottom"/>
          </w:tcPr>
          <w:p>
            <w:pPr>
              <w:ind w:left="100"/>
              <w:spacing w:after="0" w:line="195" w:lineRule="exact"/>
              <w:rPr>
                <w:sz w:val="20"/>
                <w:szCs w:val="20"/>
                <w:color w:val="auto"/>
              </w:rPr>
            </w:pPr>
            <w:r>
              <w:rPr>
                <w:rFonts w:ascii="Arial" w:cs="Arial" w:eastAsia="Arial" w:hAnsi="Arial"/>
                <w:sz w:val="18"/>
                <w:szCs w:val="18"/>
                <w:color w:val="auto"/>
              </w:rPr>
              <w:t>John A. Levin</w:t>
            </w:r>
          </w:p>
        </w:tc>
      </w:tr>
      <w:tr>
        <w:trPr>
          <w:trHeight w:val="230"/>
        </w:trPr>
        <w:tc>
          <w:tcPr>
            <w:tcW w:w="68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648"/>
        </w:trPr>
        <w:tc>
          <w:tcPr>
            <w:tcW w:w="5380" w:type="dxa"/>
            <w:vAlign w:val="bottom"/>
            <w:gridSpan w:val="3"/>
          </w:tcPr>
          <w:p>
            <w:pPr>
              <w:spacing w:after="0"/>
              <w:rPr>
                <w:sz w:val="20"/>
                <w:szCs w:val="20"/>
                <w:color w:val="auto"/>
              </w:rPr>
            </w:pPr>
            <w:r>
              <w:rPr>
                <w:rFonts w:ascii="Arial" w:cs="Arial" w:eastAsia="Arial" w:hAnsi="Arial"/>
                <w:sz w:val="18"/>
                <w:szCs w:val="18"/>
                <w:color w:val="auto"/>
              </w:rPr>
              <w:t>Levin Capital Strategies GP, LLC</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gridSpan w:val="2"/>
          </w:tcPr>
          <w:p>
            <w:pPr>
              <w:spacing w:after="0"/>
              <w:rPr>
                <w:sz w:val="20"/>
                <w:szCs w:val="20"/>
                <w:color w:val="auto"/>
              </w:rPr>
            </w:pPr>
            <w:r>
              <w:rPr>
                <w:rFonts w:ascii="Arial" w:cs="Arial" w:eastAsia="Arial" w:hAnsi="Arial"/>
                <w:sz w:val="18"/>
                <w:szCs w:val="18"/>
                <w:color w:val="auto"/>
              </w:rPr>
              <w:t>John A. Levin 2005 GRAT Separation Trust, as Managing</w:t>
            </w:r>
          </w:p>
        </w:tc>
      </w:tr>
      <w:tr>
        <w:trPr>
          <w:trHeight w:val="230"/>
        </w:trPr>
        <w:tc>
          <w:tcPr>
            <w:tcW w:w="68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Member</w:t>
            </w:r>
          </w:p>
        </w:tc>
        <w:tc>
          <w:tcPr>
            <w:tcW w:w="3780" w:type="dxa"/>
            <w:vAlign w:val="bottom"/>
          </w:tcPr>
          <w:p>
            <w:pPr>
              <w:spacing w:after="0"/>
              <w:rPr>
                <w:sz w:val="20"/>
                <w:szCs w:val="20"/>
                <w:color w:val="auto"/>
              </w:rPr>
            </w:pP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Elisabeth Levin</w:t>
            </w:r>
          </w:p>
        </w:tc>
      </w:tr>
      <w:tr>
        <w:trPr>
          <w:trHeight w:val="195"/>
        </w:trPr>
        <w:tc>
          <w:tcPr>
            <w:tcW w:w="680" w:type="dxa"/>
            <w:vAlign w:val="bottom"/>
          </w:tcPr>
          <w:p>
            <w:pPr>
              <w:spacing w:after="0"/>
              <w:rPr>
                <w:sz w:val="16"/>
                <w:szCs w:val="16"/>
                <w:color w:val="auto"/>
              </w:rPr>
            </w:pPr>
          </w:p>
        </w:tc>
        <w:tc>
          <w:tcPr>
            <w:tcW w:w="9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80" w:type="dxa"/>
            <w:vAlign w:val="bottom"/>
          </w:tcPr>
          <w:p>
            <w:pPr>
              <w:ind w:left="100"/>
              <w:spacing w:after="0" w:line="195" w:lineRule="exact"/>
              <w:rPr>
                <w:sz w:val="20"/>
                <w:szCs w:val="20"/>
                <w:color w:val="auto"/>
              </w:rPr>
            </w:pPr>
            <w:r>
              <w:rPr>
                <w:rFonts w:ascii="Arial" w:cs="Arial" w:eastAsia="Arial" w:hAnsi="Arial"/>
                <w:sz w:val="18"/>
                <w:szCs w:val="18"/>
                <w:color w:val="auto"/>
              </w:rPr>
              <w:t>Elisabeth Levin</w:t>
            </w:r>
          </w:p>
        </w:tc>
      </w:tr>
      <w:tr>
        <w:trPr>
          <w:trHeight w:val="230"/>
        </w:trPr>
        <w:tc>
          <w:tcPr>
            <w:tcW w:w="68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ind w:left="100"/>
              <w:spacing w:after="0"/>
              <w:rPr>
                <w:sz w:val="20"/>
                <w:szCs w:val="20"/>
                <w:color w:val="auto"/>
              </w:rPr>
            </w:pPr>
            <w:r>
              <w:rPr>
                <w:rFonts w:ascii="Arial" w:cs="Arial" w:eastAsia="Arial" w:hAnsi="Arial"/>
                <w:sz w:val="18"/>
                <w:szCs w:val="18"/>
                <w:color w:val="auto"/>
              </w:rPr>
              <w:t>Trustee</w:t>
            </w:r>
          </w:p>
        </w:tc>
      </w:tr>
      <w:tr>
        <w:trPr>
          <w:trHeight w:val="648"/>
        </w:trPr>
        <w:tc>
          <w:tcPr>
            <w:tcW w:w="5380" w:type="dxa"/>
            <w:vAlign w:val="bottom"/>
            <w:gridSpan w:val="3"/>
          </w:tcPr>
          <w:p>
            <w:pPr>
              <w:spacing w:after="0"/>
              <w:rPr>
                <w:sz w:val="20"/>
                <w:szCs w:val="20"/>
                <w:color w:val="auto"/>
              </w:rPr>
            </w:pPr>
            <w:r>
              <w:rPr>
                <w:rFonts w:ascii="Arial" w:cs="Arial" w:eastAsia="Arial" w:hAnsi="Arial"/>
                <w:sz w:val="18"/>
                <w:szCs w:val="18"/>
                <w:color w:val="auto"/>
              </w:rPr>
              <w:t>Levin Capital Trilogy Master Fund, Ltd.</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gridSpan w:val="2"/>
          </w:tcPr>
          <w:p>
            <w:pPr>
              <w:spacing w:after="0"/>
              <w:rPr>
                <w:sz w:val="20"/>
                <w:szCs w:val="20"/>
                <w:color w:val="auto"/>
              </w:rPr>
            </w:pPr>
            <w:r>
              <w:rPr>
                <w:rFonts w:ascii="Arial" w:cs="Arial" w:eastAsia="Arial" w:hAnsi="Arial"/>
                <w:sz w:val="18"/>
                <w:szCs w:val="18"/>
                <w:color w:val="auto"/>
              </w:rPr>
              <w:t>LCS, LLC, its General Partner</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A. Levin</w:t>
            </w:r>
          </w:p>
        </w:tc>
      </w:tr>
      <w:tr>
        <w:trPr>
          <w:trHeight w:val="195"/>
        </w:trPr>
        <w:tc>
          <w:tcPr>
            <w:tcW w:w="680" w:type="dxa"/>
            <w:vAlign w:val="bottom"/>
          </w:tcPr>
          <w:p>
            <w:pPr>
              <w:spacing w:after="0"/>
              <w:rPr>
                <w:sz w:val="16"/>
                <w:szCs w:val="16"/>
                <w:color w:val="auto"/>
              </w:rPr>
            </w:pPr>
          </w:p>
        </w:tc>
        <w:tc>
          <w:tcPr>
            <w:tcW w:w="9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80" w:type="dxa"/>
            <w:vAlign w:val="bottom"/>
          </w:tcPr>
          <w:p>
            <w:pPr>
              <w:ind w:left="100"/>
              <w:spacing w:after="0" w:line="195" w:lineRule="exact"/>
              <w:rPr>
                <w:sz w:val="20"/>
                <w:szCs w:val="20"/>
                <w:color w:val="auto"/>
              </w:rPr>
            </w:pPr>
            <w:r>
              <w:rPr>
                <w:rFonts w:ascii="Arial" w:cs="Arial" w:eastAsia="Arial" w:hAnsi="Arial"/>
                <w:sz w:val="18"/>
                <w:szCs w:val="18"/>
                <w:color w:val="auto"/>
              </w:rPr>
              <w:t>John A. Levin</w:t>
            </w:r>
          </w:p>
        </w:tc>
      </w:tr>
      <w:tr>
        <w:trPr>
          <w:trHeight w:val="230"/>
        </w:trPr>
        <w:tc>
          <w:tcPr>
            <w:tcW w:w="68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ind w:left="100"/>
              <w:spacing w:after="0"/>
              <w:rPr>
                <w:sz w:val="20"/>
                <w:szCs w:val="20"/>
                <w:color w:val="auto"/>
              </w:rPr>
            </w:pPr>
            <w:r>
              <w:rPr>
                <w:rFonts w:ascii="Arial" w:cs="Arial" w:eastAsia="Arial" w:hAnsi="Arial"/>
                <w:sz w:val="18"/>
                <w:szCs w:val="18"/>
                <w:color w:val="auto"/>
              </w:rPr>
              <w:t>Managing Member</w:t>
            </w:r>
          </w:p>
        </w:tc>
      </w:tr>
      <w:tr>
        <w:trPr>
          <w:trHeight w:val="648"/>
        </w:trPr>
        <w:tc>
          <w:tcPr>
            <w:tcW w:w="1600" w:type="dxa"/>
            <w:vAlign w:val="bottom"/>
            <w:gridSpan w:val="2"/>
          </w:tcPr>
          <w:p>
            <w:pPr>
              <w:spacing w:after="0"/>
              <w:rPr>
                <w:sz w:val="20"/>
                <w:szCs w:val="20"/>
                <w:color w:val="auto"/>
              </w:rPr>
            </w:pPr>
            <w:r>
              <w:rPr>
                <w:rFonts w:ascii="Arial" w:cs="Arial" w:eastAsia="Arial" w:hAnsi="Arial"/>
                <w:sz w:val="18"/>
                <w:szCs w:val="18"/>
                <w:color w:val="auto"/>
              </w:rPr>
              <w:t>LCS, LLC</w:t>
            </w:r>
          </w:p>
        </w:tc>
        <w:tc>
          <w:tcPr>
            <w:tcW w:w="3780" w:type="dxa"/>
            <w:vAlign w:val="bottom"/>
          </w:tcPr>
          <w:p>
            <w:pPr>
              <w:spacing w:after="0"/>
              <w:rPr>
                <w:sz w:val="24"/>
                <w:szCs w:val="24"/>
                <w:color w:val="auto"/>
              </w:rPr>
            </w:pP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A. Levin</w:t>
            </w:r>
          </w:p>
        </w:tc>
      </w:tr>
      <w:tr>
        <w:trPr>
          <w:trHeight w:val="195"/>
        </w:trPr>
        <w:tc>
          <w:tcPr>
            <w:tcW w:w="680" w:type="dxa"/>
            <w:vAlign w:val="bottom"/>
          </w:tcPr>
          <w:p>
            <w:pPr>
              <w:spacing w:after="0"/>
              <w:rPr>
                <w:sz w:val="16"/>
                <w:szCs w:val="16"/>
                <w:color w:val="auto"/>
              </w:rPr>
            </w:pPr>
          </w:p>
        </w:tc>
        <w:tc>
          <w:tcPr>
            <w:tcW w:w="9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80" w:type="dxa"/>
            <w:vAlign w:val="bottom"/>
          </w:tcPr>
          <w:p>
            <w:pPr>
              <w:ind w:left="100"/>
              <w:spacing w:after="0" w:line="195" w:lineRule="exact"/>
              <w:rPr>
                <w:sz w:val="20"/>
                <w:szCs w:val="20"/>
                <w:color w:val="auto"/>
              </w:rPr>
            </w:pPr>
            <w:r>
              <w:rPr>
                <w:rFonts w:ascii="Arial" w:cs="Arial" w:eastAsia="Arial" w:hAnsi="Arial"/>
                <w:sz w:val="18"/>
                <w:szCs w:val="18"/>
                <w:color w:val="auto"/>
              </w:rPr>
              <w:t>John A. Levin</w:t>
            </w:r>
          </w:p>
        </w:tc>
      </w:tr>
      <w:tr>
        <w:trPr>
          <w:trHeight w:val="230"/>
        </w:trPr>
        <w:tc>
          <w:tcPr>
            <w:tcW w:w="68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ind w:left="100"/>
              <w:spacing w:after="0"/>
              <w:rPr>
                <w:sz w:val="20"/>
                <w:szCs w:val="20"/>
                <w:color w:val="auto"/>
              </w:rPr>
            </w:pPr>
            <w:r>
              <w:rPr>
                <w:rFonts w:ascii="Arial" w:cs="Arial" w:eastAsia="Arial" w:hAnsi="Arial"/>
                <w:sz w:val="18"/>
                <w:szCs w:val="18"/>
                <w:color w:val="auto"/>
              </w:rPr>
              <w:t>Managing Member</w:t>
            </w:r>
          </w:p>
        </w:tc>
      </w:tr>
      <w:tr>
        <w:trPr>
          <w:trHeight w:val="648"/>
        </w:trPr>
        <w:tc>
          <w:tcPr>
            <w:tcW w:w="5380" w:type="dxa"/>
            <w:vAlign w:val="bottom"/>
            <w:gridSpan w:val="3"/>
          </w:tcPr>
          <w:p>
            <w:pPr>
              <w:spacing w:after="0"/>
              <w:rPr>
                <w:sz w:val="20"/>
                <w:szCs w:val="20"/>
                <w:color w:val="auto"/>
              </w:rPr>
            </w:pPr>
            <w:r>
              <w:rPr>
                <w:rFonts w:ascii="Arial" w:cs="Arial" w:eastAsia="Arial" w:hAnsi="Arial"/>
                <w:sz w:val="18"/>
                <w:szCs w:val="18"/>
                <w:color w:val="auto"/>
              </w:rPr>
              <w:t>Levcap Alternative Fund, L.P</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gridSpan w:val="2"/>
          </w:tcPr>
          <w:p>
            <w:pPr>
              <w:spacing w:after="0"/>
              <w:rPr>
                <w:sz w:val="20"/>
                <w:szCs w:val="20"/>
                <w:color w:val="auto"/>
              </w:rPr>
            </w:pPr>
            <w:r>
              <w:rPr>
                <w:rFonts w:ascii="Arial" w:cs="Arial" w:eastAsia="Arial" w:hAnsi="Arial"/>
                <w:sz w:val="18"/>
                <w:szCs w:val="18"/>
                <w:color w:val="auto"/>
              </w:rPr>
              <w:t>LCS Event Partners, LLC, its General Partner</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A. Levin</w:t>
            </w:r>
          </w:p>
        </w:tc>
      </w:tr>
      <w:tr>
        <w:trPr>
          <w:trHeight w:val="195"/>
        </w:trPr>
        <w:tc>
          <w:tcPr>
            <w:tcW w:w="680" w:type="dxa"/>
            <w:vAlign w:val="bottom"/>
          </w:tcPr>
          <w:p>
            <w:pPr>
              <w:spacing w:after="0"/>
              <w:rPr>
                <w:sz w:val="16"/>
                <w:szCs w:val="16"/>
                <w:color w:val="auto"/>
              </w:rPr>
            </w:pPr>
          </w:p>
        </w:tc>
        <w:tc>
          <w:tcPr>
            <w:tcW w:w="9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80" w:type="dxa"/>
            <w:vAlign w:val="bottom"/>
          </w:tcPr>
          <w:p>
            <w:pPr>
              <w:ind w:left="100"/>
              <w:spacing w:after="0" w:line="195" w:lineRule="exact"/>
              <w:rPr>
                <w:sz w:val="20"/>
                <w:szCs w:val="20"/>
                <w:color w:val="auto"/>
              </w:rPr>
            </w:pPr>
            <w:r>
              <w:rPr>
                <w:rFonts w:ascii="Arial" w:cs="Arial" w:eastAsia="Arial" w:hAnsi="Arial"/>
                <w:sz w:val="18"/>
                <w:szCs w:val="18"/>
                <w:color w:val="auto"/>
              </w:rPr>
              <w:t>John A. Levin</w:t>
            </w:r>
          </w:p>
        </w:tc>
      </w:tr>
      <w:tr>
        <w:trPr>
          <w:trHeight w:val="230"/>
        </w:trPr>
        <w:tc>
          <w:tcPr>
            <w:tcW w:w="68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ind w:left="100"/>
              <w:spacing w:after="0"/>
              <w:rPr>
                <w:sz w:val="20"/>
                <w:szCs w:val="20"/>
                <w:color w:val="auto"/>
              </w:rPr>
            </w:pPr>
            <w:r>
              <w:rPr>
                <w:rFonts w:ascii="Arial" w:cs="Arial" w:eastAsia="Arial" w:hAnsi="Arial"/>
                <w:sz w:val="18"/>
                <w:szCs w:val="18"/>
                <w:color w:val="auto"/>
              </w:rPr>
              <w:t>Managing Member</w:t>
            </w:r>
          </w:p>
        </w:tc>
      </w:tr>
      <w:tr>
        <w:trPr>
          <w:trHeight w:val="648"/>
        </w:trPr>
        <w:tc>
          <w:tcPr>
            <w:tcW w:w="5380" w:type="dxa"/>
            <w:vAlign w:val="bottom"/>
            <w:gridSpan w:val="3"/>
          </w:tcPr>
          <w:p>
            <w:pPr>
              <w:spacing w:after="0"/>
              <w:rPr>
                <w:sz w:val="20"/>
                <w:szCs w:val="20"/>
                <w:color w:val="auto"/>
              </w:rPr>
            </w:pPr>
            <w:r>
              <w:rPr>
                <w:rFonts w:ascii="Arial" w:cs="Arial" w:eastAsia="Arial" w:hAnsi="Arial"/>
                <w:sz w:val="18"/>
                <w:szCs w:val="18"/>
                <w:color w:val="auto"/>
              </w:rPr>
              <w:t>LCS Event Partners, LLC</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A. Levin</w:t>
            </w:r>
          </w:p>
        </w:tc>
      </w:tr>
      <w:tr>
        <w:trPr>
          <w:trHeight w:val="195"/>
        </w:trPr>
        <w:tc>
          <w:tcPr>
            <w:tcW w:w="680" w:type="dxa"/>
            <w:vAlign w:val="bottom"/>
          </w:tcPr>
          <w:p>
            <w:pPr>
              <w:spacing w:after="0"/>
              <w:rPr>
                <w:sz w:val="16"/>
                <w:szCs w:val="16"/>
                <w:color w:val="auto"/>
              </w:rPr>
            </w:pPr>
          </w:p>
        </w:tc>
        <w:tc>
          <w:tcPr>
            <w:tcW w:w="9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80" w:type="dxa"/>
            <w:vAlign w:val="bottom"/>
          </w:tcPr>
          <w:p>
            <w:pPr>
              <w:ind w:left="100"/>
              <w:spacing w:after="0" w:line="195" w:lineRule="exact"/>
              <w:rPr>
                <w:sz w:val="20"/>
                <w:szCs w:val="20"/>
                <w:color w:val="auto"/>
              </w:rPr>
            </w:pPr>
            <w:r>
              <w:rPr>
                <w:rFonts w:ascii="Arial" w:cs="Arial" w:eastAsia="Arial" w:hAnsi="Arial"/>
                <w:sz w:val="18"/>
                <w:szCs w:val="18"/>
                <w:color w:val="auto"/>
              </w:rPr>
              <w:t>John A. Levin</w:t>
            </w:r>
          </w:p>
        </w:tc>
      </w:tr>
      <w:tr>
        <w:trPr>
          <w:trHeight w:val="230"/>
        </w:trPr>
        <w:tc>
          <w:tcPr>
            <w:tcW w:w="68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ind w:left="100"/>
              <w:spacing w:after="0"/>
              <w:rPr>
                <w:sz w:val="20"/>
                <w:szCs w:val="20"/>
                <w:color w:val="auto"/>
              </w:rPr>
            </w:pPr>
            <w:r>
              <w:rPr>
                <w:rFonts w:ascii="Arial" w:cs="Arial" w:eastAsia="Arial" w:hAnsi="Arial"/>
                <w:sz w:val="18"/>
                <w:szCs w:val="18"/>
                <w:color w:val="auto"/>
              </w:rPr>
              <w:t>Managing Member</w:t>
            </w:r>
          </w:p>
        </w:tc>
      </w:tr>
      <w:tr>
        <w:trPr>
          <w:trHeight w:val="648"/>
        </w:trPr>
        <w:tc>
          <w:tcPr>
            <w:tcW w:w="1600" w:type="dxa"/>
            <w:vAlign w:val="bottom"/>
            <w:gridSpan w:val="2"/>
          </w:tcPr>
          <w:p>
            <w:pPr>
              <w:spacing w:after="0"/>
              <w:rPr>
                <w:sz w:val="20"/>
                <w:szCs w:val="20"/>
                <w:color w:val="auto"/>
              </w:rPr>
            </w:pPr>
            <w:r>
              <w:rPr>
                <w:rFonts w:ascii="Arial" w:cs="Arial" w:eastAsia="Arial" w:hAnsi="Arial"/>
                <w:sz w:val="18"/>
                <w:szCs w:val="18"/>
                <w:color w:val="auto"/>
                <w:w w:val="92"/>
              </w:rPr>
              <w:t>Safinia Partners, L.P.</w:t>
            </w:r>
          </w:p>
        </w:tc>
        <w:tc>
          <w:tcPr>
            <w:tcW w:w="3780" w:type="dxa"/>
            <w:vAlign w:val="bottom"/>
          </w:tcPr>
          <w:p>
            <w:pPr>
              <w:spacing w:after="0"/>
              <w:rPr>
                <w:sz w:val="24"/>
                <w:szCs w:val="24"/>
                <w:color w:val="auto"/>
              </w:rPr>
            </w:pP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gridSpan w:val="2"/>
          </w:tcPr>
          <w:p>
            <w:pPr>
              <w:spacing w:after="0"/>
              <w:rPr>
                <w:sz w:val="20"/>
                <w:szCs w:val="20"/>
                <w:color w:val="auto"/>
              </w:rPr>
            </w:pPr>
            <w:r>
              <w:rPr>
                <w:rFonts w:ascii="Arial" w:cs="Arial" w:eastAsia="Arial" w:hAnsi="Arial"/>
                <w:sz w:val="18"/>
                <w:szCs w:val="18"/>
                <w:color w:val="auto"/>
              </w:rPr>
              <w:t>LCS L/S, LLC, its General Partner</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A. Levin</w:t>
            </w:r>
          </w:p>
        </w:tc>
      </w:tr>
      <w:tr>
        <w:trPr>
          <w:trHeight w:val="195"/>
        </w:trPr>
        <w:tc>
          <w:tcPr>
            <w:tcW w:w="680" w:type="dxa"/>
            <w:vAlign w:val="bottom"/>
          </w:tcPr>
          <w:p>
            <w:pPr>
              <w:spacing w:after="0"/>
              <w:rPr>
                <w:sz w:val="16"/>
                <w:szCs w:val="16"/>
                <w:color w:val="auto"/>
              </w:rPr>
            </w:pPr>
          </w:p>
        </w:tc>
        <w:tc>
          <w:tcPr>
            <w:tcW w:w="9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80" w:type="dxa"/>
            <w:vAlign w:val="bottom"/>
          </w:tcPr>
          <w:p>
            <w:pPr>
              <w:ind w:left="100"/>
              <w:spacing w:after="0" w:line="195" w:lineRule="exact"/>
              <w:rPr>
                <w:sz w:val="20"/>
                <w:szCs w:val="20"/>
                <w:color w:val="auto"/>
              </w:rPr>
            </w:pPr>
            <w:r>
              <w:rPr>
                <w:rFonts w:ascii="Arial" w:cs="Arial" w:eastAsia="Arial" w:hAnsi="Arial"/>
                <w:sz w:val="18"/>
                <w:szCs w:val="18"/>
                <w:color w:val="auto"/>
              </w:rPr>
              <w:t>John A. Levin</w:t>
            </w:r>
          </w:p>
        </w:tc>
      </w:tr>
      <w:tr>
        <w:trPr>
          <w:trHeight w:val="230"/>
        </w:trPr>
        <w:tc>
          <w:tcPr>
            <w:tcW w:w="68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ind w:left="100"/>
              <w:spacing w:after="0"/>
              <w:rPr>
                <w:sz w:val="20"/>
                <w:szCs w:val="20"/>
                <w:color w:val="auto"/>
              </w:rPr>
            </w:pPr>
            <w:r>
              <w:rPr>
                <w:rFonts w:ascii="Arial" w:cs="Arial" w:eastAsia="Arial" w:hAnsi="Arial"/>
                <w:sz w:val="18"/>
                <w:szCs w:val="18"/>
                <w:color w:val="auto"/>
              </w:rPr>
              <w:t>Managing Member</w:t>
            </w:r>
          </w:p>
        </w:tc>
      </w:tr>
      <w:tr>
        <w:trPr>
          <w:trHeight w:val="648"/>
        </w:trPr>
        <w:tc>
          <w:tcPr>
            <w:tcW w:w="1600" w:type="dxa"/>
            <w:vAlign w:val="bottom"/>
            <w:gridSpan w:val="2"/>
          </w:tcPr>
          <w:p>
            <w:pPr>
              <w:spacing w:after="0"/>
              <w:rPr>
                <w:sz w:val="20"/>
                <w:szCs w:val="20"/>
                <w:color w:val="auto"/>
              </w:rPr>
            </w:pPr>
            <w:r>
              <w:rPr>
                <w:rFonts w:ascii="Arial" w:cs="Arial" w:eastAsia="Arial" w:hAnsi="Arial"/>
                <w:sz w:val="18"/>
                <w:szCs w:val="18"/>
                <w:color w:val="auto"/>
              </w:rPr>
              <w:t>LCS L/S, LLC</w:t>
            </w:r>
          </w:p>
        </w:tc>
        <w:tc>
          <w:tcPr>
            <w:tcW w:w="3780" w:type="dxa"/>
            <w:vAlign w:val="bottom"/>
          </w:tcPr>
          <w:p>
            <w:pPr>
              <w:spacing w:after="0"/>
              <w:rPr>
                <w:sz w:val="24"/>
                <w:szCs w:val="24"/>
                <w:color w:val="auto"/>
              </w:rPr>
            </w:pP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A. Levin</w:t>
            </w:r>
          </w:p>
        </w:tc>
      </w:tr>
      <w:tr>
        <w:trPr>
          <w:trHeight w:val="195"/>
        </w:trPr>
        <w:tc>
          <w:tcPr>
            <w:tcW w:w="680" w:type="dxa"/>
            <w:vAlign w:val="bottom"/>
          </w:tcPr>
          <w:p>
            <w:pPr>
              <w:spacing w:after="0"/>
              <w:rPr>
                <w:sz w:val="16"/>
                <w:szCs w:val="16"/>
                <w:color w:val="auto"/>
              </w:rPr>
            </w:pPr>
          </w:p>
        </w:tc>
        <w:tc>
          <w:tcPr>
            <w:tcW w:w="9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80" w:type="dxa"/>
            <w:vAlign w:val="bottom"/>
          </w:tcPr>
          <w:p>
            <w:pPr>
              <w:ind w:left="100"/>
              <w:spacing w:after="0" w:line="195" w:lineRule="exact"/>
              <w:rPr>
                <w:sz w:val="20"/>
                <w:szCs w:val="20"/>
                <w:color w:val="auto"/>
              </w:rPr>
            </w:pPr>
            <w:r>
              <w:rPr>
                <w:rFonts w:ascii="Arial" w:cs="Arial" w:eastAsia="Arial" w:hAnsi="Arial"/>
                <w:sz w:val="18"/>
                <w:szCs w:val="18"/>
                <w:color w:val="auto"/>
              </w:rPr>
              <w:t>John A. Levin</w:t>
            </w:r>
          </w:p>
        </w:tc>
      </w:tr>
      <w:tr>
        <w:trPr>
          <w:trHeight w:val="230"/>
        </w:trPr>
        <w:tc>
          <w:tcPr>
            <w:tcW w:w="68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ind w:left="100"/>
              <w:spacing w:after="0"/>
              <w:rPr>
                <w:sz w:val="20"/>
                <w:szCs w:val="20"/>
                <w:color w:val="auto"/>
              </w:rPr>
            </w:pPr>
            <w:r>
              <w:rPr>
                <w:rFonts w:ascii="Arial" w:cs="Arial" w:eastAsia="Arial" w:hAnsi="Arial"/>
                <w:sz w:val="18"/>
                <w:szCs w:val="18"/>
                <w:color w:val="auto"/>
              </w:rPr>
              <w:t>Managing Member</w:t>
            </w:r>
          </w:p>
        </w:tc>
      </w:tr>
    </w:tbl>
    <w:p>
      <w:pPr>
        <w:sectPr>
          <w:pgSz w:w="11900" w:h="16838" w:orient="portrait"/>
          <w:cols w:equalWidth="0" w:num="1">
            <w:col w:w="11320"/>
          </w:cols>
          <w:pgMar w:left="240" w:top="226" w:right="339" w:bottom="198" w:gutter="0" w:footer="0" w:header="0"/>
        </w:sectPr>
      </w:pPr>
    </w:p>
    <w:bookmarkStart w:id="16" w:name="page17"/>
    <w:bookmarkEnd w:id="16"/>
    <w:p>
      <w:pPr>
        <w:ind w:left="4740"/>
        <w:spacing w:after="0"/>
        <w:rPr>
          <w:sz w:val="20"/>
          <w:szCs w:val="20"/>
          <w:color w:val="auto"/>
        </w:rPr>
      </w:pPr>
      <w:r>
        <w:rPr>
          <w:rFonts w:ascii="Arial" w:cs="Arial" w:eastAsia="Arial" w:hAnsi="Arial"/>
          <w:sz w:val="16"/>
          <w:szCs w:val="16"/>
          <w:color w:val="auto"/>
        </w:rPr>
        <w:t>/s/ John A. Levin</w:t>
      </w:r>
    </w:p>
    <w:p>
      <w:pPr>
        <w:spacing w:after="0" w:line="46"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3007995</wp:posOffset>
            </wp:positionH>
            <wp:positionV relativeFrom="paragraph">
              <wp:posOffset>-130810</wp:posOffset>
            </wp:positionV>
            <wp:extent cx="34131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 w:name="page18"/>
    <w:bookmarkEnd w:id="17"/>
    <w:p>
      <w:pPr>
        <w:spacing w:after="0"/>
        <w:rPr>
          <w:sz w:val="20"/>
          <w:szCs w:val="20"/>
          <w:color w:val="auto"/>
        </w:rPr>
      </w:pPr>
      <w:r>
        <w:rPr>
          <w:rFonts w:ascii="Arial" w:cs="Arial" w:eastAsia="Arial" w:hAnsi="Arial"/>
          <w:sz w:val="22"/>
          <w:szCs w:val="22"/>
          <w:color w:val="auto"/>
        </w:rPr>
        <w:t>CUSIP NO. 34385P108</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Transactions in the Shares During the Past Sixty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4227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4227830"/>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740" w:type="dxa"/>
            <w:vAlign w:val="bottom"/>
            <w:vMerge w:val="restart"/>
            <w:shd w:val="clear" w:color="auto" w:fill="C0C0C0"/>
          </w:tcPr>
          <w:p>
            <w:pPr>
              <w:jc w:val="right"/>
              <w:ind w:right="610"/>
              <w:spacing w:after="0"/>
              <w:rPr>
                <w:sz w:val="20"/>
                <w:szCs w:val="20"/>
                <w:color w:val="auto"/>
              </w:rPr>
            </w:pPr>
            <w:r>
              <w:rPr>
                <w:rFonts w:ascii="Arial" w:cs="Arial" w:eastAsia="Arial" w:hAnsi="Arial"/>
                <w:sz w:val="18"/>
                <w:szCs w:val="18"/>
                <w:color w:val="auto"/>
              </w:rPr>
              <w:t>Date</w:t>
            </w:r>
          </w:p>
        </w:tc>
        <w:tc>
          <w:tcPr>
            <w:tcW w:w="1220" w:type="dxa"/>
            <w:vAlign w:val="bottom"/>
            <w:vMerge w:val="restart"/>
            <w:shd w:val="clear" w:color="auto" w:fill="C0C0C0"/>
          </w:tcPr>
          <w:p>
            <w:pPr>
              <w:ind w:left="160"/>
              <w:spacing w:after="0"/>
              <w:rPr>
                <w:sz w:val="20"/>
                <w:szCs w:val="20"/>
                <w:color w:val="auto"/>
              </w:rPr>
            </w:pPr>
            <w:r>
              <w:rPr>
                <w:rFonts w:ascii="Arial" w:cs="Arial" w:eastAsia="Arial" w:hAnsi="Arial"/>
                <w:sz w:val="18"/>
                <w:szCs w:val="18"/>
                <w:color w:val="auto"/>
              </w:rPr>
              <w:t>Buy or Sell</w:t>
            </w:r>
          </w:p>
        </w:tc>
        <w:tc>
          <w:tcPr>
            <w:tcW w:w="1180" w:type="dxa"/>
            <w:vAlign w:val="bottom"/>
            <w:vMerge w:val="restart"/>
            <w:shd w:val="clear" w:color="auto" w:fill="C0C0C0"/>
          </w:tcPr>
          <w:p>
            <w:pPr>
              <w:jc w:val="right"/>
              <w:ind w:right="230"/>
              <w:spacing w:after="0"/>
              <w:rPr>
                <w:sz w:val="20"/>
                <w:szCs w:val="20"/>
                <w:color w:val="auto"/>
              </w:rPr>
            </w:pPr>
            <w:r>
              <w:rPr>
                <w:rFonts w:ascii="Arial" w:cs="Arial" w:eastAsia="Arial" w:hAnsi="Arial"/>
                <w:sz w:val="18"/>
                <w:szCs w:val="18"/>
                <w:color w:val="auto"/>
              </w:rPr>
              <w:t>Quantity</w:t>
            </w:r>
          </w:p>
        </w:tc>
        <w:tc>
          <w:tcPr>
            <w:tcW w:w="1920" w:type="dxa"/>
            <w:vAlign w:val="bottom"/>
            <w:shd w:val="clear" w:color="auto" w:fill="C0C0C0"/>
          </w:tcPr>
          <w:p>
            <w:pPr>
              <w:jc w:val="right"/>
              <w:ind w:right="30"/>
              <w:spacing w:after="0"/>
              <w:rPr>
                <w:sz w:val="20"/>
                <w:szCs w:val="20"/>
                <w:color w:val="auto"/>
              </w:rPr>
            </w:pPr>
            <w:r>
              <w:rPr>
                <w:rFonts w:ascii="Arial" w:cs="Arial" w:eastAsia="Arial" w:hAnsi="Arial"/>
                <w:sz w:val="18"/>
                <w:szCs w:val="18"/>
                <w:color w:val="auto"/>
                <w:w w:val="94"/>
              </w:rPr>
              <w:t>Price Per Share (before</w:t>
            </w:r>
          </w:p>
        </w:tc>
        <w:tc>
          <w:tcPr>
            <w:tcW w:w="5340" w:type="dxa"/>
            <w:vAlign w:val="bottom"/>
            <w:vMerge w:val="restart"/>
            <w:shd w:val="clear" w:color="auto" w:fill="C0C0C0"/>
          </w:tcPr>
          <w:p>
            <w:pPr>
              <w:ind w:left="2060"/>
              <w:spacing w:after="0"/>
              <w:rPr>
                <w:sz w:val="20"/>
                <w:szCs w:val="20"/>
                <w:color w:val="auto"/>
              </w:rPr>
            </w:pPr>
            <w:r>
              <w:rPr>
                <w:rFonts w:ascii="Arial" w:cs="Arial" w:eastAsia="Arial" w:hAnsi="Arial"/>
                <w:sz w:val="18"/>
                <w:szCs w:val="18"/>
                <w:color w:val="auto"/>
              </w:rPr>
              <w:t>Reporting Person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740" w:type="dxa"/>
            <w:vAlign w:val="bottom"/>
            <w:vMerge w:val="continue"/>
            <w:shd w:val="clear" w:color="auto" w:fill="C0C0C0"/>
          </w:tcPr>
          <w:p>
            <w:pPr>
              <w:spacing w:after="0"/>
              <w:rPr>
                <w:sz w:val="10"/>
                <w:szCs w:val="10"/>
                <w:color w:val="auto"/>
              </w:rPr>
            </w:pPr>
          </w:p>
        </w:tc>
        <w:tc>
          <w:tcPr>
            <w:tcW w:w="1220" w:type="dxa"/>
            <w:vAlign w:val="bottom"/>
            <w:vMerge w:val="continue"/>
            <w:shd w:val="clear" w:color="auto" w:fill="C0C0C0"/>
          </w:tcPr>
          <w:p>
            <w:pPr>
              <w:spacing w:after="0"/>
              <w:rPr>
                <w:sz w:val="10"/>
                <w:szCs w:val="10"/>
                <w:color w:val="auto"/>
              </w:rPr>
            </w:pPr>
          </w:p>
        </w:tc>
        <w:tc>
          <w:tcPr>
            <w:tcW w:w="1180" w:type="dxa"/>
            <w:vAlign w:val="bottom"/>
            <w:vMerge w:val="continue"/>
            <w:shd w:val="clear" w:color="auto" w:fill="C0C0C0"/>
          </w:tcPr>
          <w:p>
            <w:pPr>
              <w:spacing w:after="0"/>
              <w:rPr>
                <w:sz w:val="10"/>
                <w:szCs w:val="10"/>
                <w:color w:val="auto"/>
              </w:rPr>
            </w:pPr>
          </w:p>
        </w:tc>
        <w:tc>
          <w:tcPr>
            <w:tcW w:w="1920" w:type="dxa"/>
            <w:vAlign w:val="bottom"/>
            <w:vMerge w:val="restart"/>
            <w:shd w:val="clear" w:color="auto" w:fill="C0C0C0"/>
          </w:tcPr>
          <w:p>
            <w:pPr>
              <w:jc w:val="right"/>
              <w:ind w:right="410"/>
              <w:spacing w:after="0"/>
              <w:rPr>
                <w:sz w:val="20"/>
                <w:szCs w:val="20"/>
                <w:color w:val="auto"/>
              </w:rPr>
            </w:pPr>
            <w:r>
              <w:rPr>
                <w:rFonts w:ascii="Arial" w:cs="Arial" w:eastAsia="Arial" w:hAnsi="Arial"/>
                <w:sz w:val="18"/>
                <w:szCs w:val="18"/>
                <w:color w:val="auto"/>
              </w:rPr>
              <w:t>commission)</w:t>
            </w:r>
          </w:p>
        </w:tc>
        <w:tc>
          <w:tcPr>
            <w:tcW w:w="5340" w:type="dxa"/>
            <w:vAlign w:val="bottom"/>
            <w:vMerge w:val="continue"/>
            <w:shd w:val="clear" w:color="auto" w:fill="C0C0C0"/>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40" w:type="dxa"/>
            <w:vAlign w:val="bottom"/>
            <w:tcBorders>
              <w:bottom w:val="single" w:sz="8" w:color="auto"/>
            </w:tcBorders>
            <w:shd w:val="clear" w:color="auto" w:fill="C0C0C0"/>
          </w:tcPr>
          <w:p>
            <w:pPr>
              <w:spacing w:after="0"/>
              <w:rPr>
                <w:sz w:val="9"/>
                <w:szCs w:val="9"/>
                <w:color w:val="auto"/>
              </w:rPr>
            </w:pPr>
          </w:p>
        </w:tc>
        <w:tc>
          <w:tcPr>
            <w:tcW w:w="1220" w:type="dxa"/>
            <w:vAlign w:val="bottom"/>
            <w:tcBorders>
              <w:bottom w:val="single" w:sz="8" w:color="auto"/>
            </w:tcBorders>
            <w:shd w:val="clear" w:color="auto" w:fill="C0C0C0"/>
          </w:tcPr>
          <w:p>
            <w:pPr>
              <w:spacing w:after="0"/>
              <w:rPr>
                <w:sz w:val="9"/>
                <w:szCs w:val="9"/>
                <w:color w:val="auto"/>
              </w:rPr>
            </w:pPr>
          </w:p>
        </w:tc>
        <w:tc>
          <w:tcPr>
            <w:tcW w:w="1180" w:type="dxa"/>
            <w:vAlign w:val="bottom"/>
            <w:tcBorders>
              <w:bottom w:val="single" w:sz="8" w:color="auto"/>
            </w:tcBorders>
            <w:shd w:val="clear" w:color="auto" w:fill="C0C0C0"/>
          </w:tcPr>
          <w:p>
            <w:pPr>
              <w:spacing w:after="0"/>
              <w:rPr>
                <w:sz w:val="9"/>
                <w:szCs w:val="9"/>
                <w:color w:val="auto"/>
              </w:rPr>
            </w:pPr>
          </w:p>
        </w:tc>
        <w:tc>
          <w:tcPr>
            <w:tcW w:w="1920" w:type="dxa"/>
            <w:vAlign w:val="bottom"/>
            <w:tcBorders>
              <w:bottom w:val="single" w:sz="8" w:color="auto"/>
            </w:tcBorders>
            <w:vMerge w:val="continue"/>
            <w:shd w:val="clear" w:color="auto" w:fill="C0C0C0"/>
          </w:tcPr>
          <w:p>
            <w:pPr>
              <w:spacing w:after="0"/>
              <w:rPr>
                <w:sz w:val="9"/>
                <w:szCs w:val="9"/>
                <w:color w:val="auto"/>
              </w:rPr>
            </w:pPr>
          </w:p>
        </w:tc>
        <w:tc>
          <w:tcPr>
            <w:tcW w:w="5340" w:type="dxa"/>
            <w:vAlign w:val="bottom"/>
            <w:tcBorders>
              <w:bottom w:val="single" w:sz="8" w:color="auto"/>
            </w:tcBorders>
            <w:shd w:val="clear" w:color="auto" w:fill="C0C0C0"/>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1/10/2018</w:t>
            </w:r>
          </w:p>
        </w:tc>
        <w:tc>
          <w:tcPr>
            <w:tcW w:w="12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Buy</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35129</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6.1363</w:t>
            </w:r>
          </w:p>
        </w:tc>
        <w:tc>
          <w:tcPr>
            <w:tcW w:w="5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Levin Capital Strategies, L.P.*</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1/10/2018</w:t>
            </w:r>
          </w:p>
        </w:tc>
        <w:tc>
          <w:tcPr>
            <w:tcW w:w="1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Buy</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w:t>
            </w:r>
          </w:p>
        </w:tc>
        <w:tc>
          <w:tcPr>
            <w:tcW w:w="1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6.1264</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Levin Capital Strategies, L.P.</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1/9/2018</w:t>
            </w:r>
          </w:p>
        </w:tc>
        <w:tc>
          <w:tcPr>
            <w:tcW w:w="12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Buy</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47434</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6.445</w:t>
            </w:r>
          </w:p>
        </w:tc>
        <w:tc>
          <w:tcPr>
            <w:tcW w:w="5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Levin Capital Strategies, L.P.*</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1/9/2018</w:t>
            </w:r>
          </w:p>
        </w:tc>
        <w:tc>
          <w:tcPr>
            <w:tcW w:w="1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Buy</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17942</w:t>
            </w:r>
          </w:p>
        </w:tc>
        <w:tc>
          <w:tcPr>
            <w:tcW w:w="1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6.445</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Levin Capital Strategies, L.P.</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1/4/2018</w:t>
            </w:r>
          </w:p>
        </w:tc>
        <w:tc>
          <w:tcPr>
            <w:tcW w:w="12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Buy</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6.69</w:t>
            </w:r>
          </w:p>
        </w:tc>
        <w:tc>
          <w:tcPr>
            <w:tcW w:w="5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Levin Capital Strategies, L.P.</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1/3/2018</w:t>
            </w:r>
          </w:p>
        </w:tc>
        <w:tc>
          <w:tcPr>
            <w:tcW w:w="1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Buy</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w:t>
            </w:r>
          </w:p>
        </w:tc>
        <w:tc>
          <w:tcPr>
            <w:tcW w:w="1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6.63</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Levin Capital Strategies, L.P.</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12/29/2017</w:t>
            </w:r>
          </w:p>
        </w:tc>
        <w:tc>
          <w:tcPr>
            <w:tcW w:w="12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Buy</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11191</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5.9405</w:t>
            </w:r>
          </w:p>
        </w:tc>
        <w:tc>
          <w:tcPr>
            <w:tcW w:w="5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Levin Capital Strategies, L.P.*</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12/29/2017</w:t>
            </w:r>
          </w:p>
        </w:tc>
        <w:tc>
          <w:tcPr>
            <w:tcW w:w="1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Buy</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5.94</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Levin Capital Strategies, L.P.</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12/28/2017</w:t>
            </w:r>
          </w:p>
        </w:tc>
        <w:tc>
          <w:tcPr>
            <w:tcW w:w="12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Buy</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5.82</w:t>
            </w:r>
          </w:p>
        </w:tc>
        <w:tc>
          <w:tcPr>
            <w:tcW w:w="5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Levin Capital Strategies, L.P.*</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12/27/2017</w:t>
            </w:r>
          </w:p>
        </w:tc>
        <w:tc>
          <w:tcPr>
            <w:tcW w:w="1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Buy</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14388</w:t>
            </w:r>
          </w:p>
        </w:tc>
        <w:tc>
          <w:tcPr>
            <w:tcW w:w="1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5.8138</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Levin Capital Strategies, L.P.*</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12/27/2017</w:t>
            </w:r>
          </w:p>
        </w:tc>
        <w:tc>
          <w:tcPr>
            <w:tcW w:w="12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Buy</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5.8142</w:t>
            </w:r>
          </w:p>
        </w:tc>
        <w:tc>
          <w:tcPr>
            <w:tcW w:w="5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Levin Capital Strategies, L.P.</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12/27/2017</w:t>
            </w:r>
          </w:p>
        </w:tc>
        <w:tc>
          <w:tcPr>
            <w:tcW w:w="1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Buy</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6945</w:t>
            </w:r>
          </w:p>
        </w:tc>
        <w:tc>
          <w:tcPr>
            <w:tcW w:w="1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5.9526</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Levin Capital Strategies, L.P.</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12/26/2017</w:t>
            </w:r>
          </w:p>
        </w:tc>
        <w:tc>
          <w:tcPr>
            <w:tcW w:w="12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Buy</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705</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5.989</w:t>
            </w:r>
          </w:p>
        </w:tc>
        <w:tc>
          <w:tcPr>
            <w:tcW w:w="5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Levin Capital Strategies, L.P.</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12/26/2017</w:t>
            </w:r>
          </w:p>
        </w:tc>
        <w:tc>
          <w:tcPr>
            <w:tcW w:w="1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Buy</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5050</w:t>
            </w:r>
          </w:p>
        </w:tc>
        <w:tc>
          <w:tcPr>
            <w:tcW w:w="1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5.9961</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Levin Capital Strategies, L.P.</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12/15/2017</w:t>
            </w:r>
          </w:p>
        </w:tc>
        <w:tc>
          <w:tcPr>
            <w:tcW w:w="12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Buy</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3795</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5.9389</w:t>
            </w:r>
          </w:p>
        </w:tc>
        <w:tc>
          <w:tcPr>
            <w:tcW w:w="5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Levin Capital Strategies, L.P.</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12/14/2017</w:t>
            </w:r>
          </w:p>
        </w:tc>
        <w:tc>
          <w:tcPr>
            <w:tcW w:w="1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Buy</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20380</w:t>
            </w:r>
          </w:p>
        </w:tc>
        <w:tc>
          <w:tcPr>
            <w:tcW w:w="1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5.8157</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Levin Capital Strategies, L.P.</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12/13/2017</w:t>
            </w:r>
          </w:p>
        </w:tc>
        <w:tc>
          <w:tcPr>
            <w:tcW w:w="12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Buy</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5.757</w:t>
            </w:r>
          </w:p>
        </w:tc>
        <w:tc>
          <w:tcPr>
            <w:tcW w:w="5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Levin Capital Strategies, L.P.</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12/12/2017</w:t>
            </w:r>
          </w:p>
        </w:tc>
        <w:tc>
          <w:tcPr>
            <w:tcW w:w="1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Buy</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10838</w:t>
            </w:r>
          </w:p>
        </w:tc>
        <w:tc>
          <w:tcPr>
            <w:tcW w:w="1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5.822</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Levin Capital Strategies, L.P.</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12/11/2017</w:t>
            </w:r>
          </w:p>
        </w:tc>
        <w:tc>
          <w:tcPr>
            <w:tcW w:w="12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Buy</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7731</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5.8608</w:t>
            </w:r>
          </w:p>
        </w:tc>
        <w:tc>
          <w:tcPr>
            <w:tcW w:w="5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Levin Capital Strategies, L.P.</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12/4/2017</w:t>
            </w:r>
          </w:p>
        </w:tc>
        <w:tc>
          <w:tcPr>
            <w:tcW w:w="1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Buy</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8409</w:t>
            </w:r>
          </w:p>
        </w:tc>
        <w:tc>
          <w:tcPr>
            <w:tcW w:w="1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5.4759</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Levin Capital Strategies, L.P.</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11/30/2017</w:t>
            </w:r>
          </w:p>
        </w:tc>
        <w:tc>
          <w:tcPr>
            <w:tcW w:w="12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Buy</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76629</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5.95</w:t>
            </w:r>
          </w:p>
        </w:tc>
        <w:tc>
          <w:tcPr>
            <w:tcW w:w="5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Levin Capital Strategies, L.P.</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11/29/2017</w:t>
            </w:r>
          </w:p>
        </w:tc>
        <w:tc>
          <w:tcPr>
            <w:tcW w:w="1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Buy</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5731</w:t>
            </w:r>
          </w:p>
        </w:tc>
        <w:tc>
          <w:tcPr>
            <w:tcW w:w="1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5.5431</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Levin Capital Strategies, L.P.*</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11/29/2017</w:t>
            </w:r>
          </w:p>
        </w:tc>
        <w:tc>
          <w:tcPr>
            <w:tcW w:w="12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Buy</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4649</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5.5431</w:t>
            </w:r>
          </w:p>
        </w:tc>
        <w:tc>
          <w:tcPr>
            <w:tcW w:w="5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Levin Capital Strategies, L.P.</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11/28/2017</w:t>
            </w:r>
          </w:p>
        </w:tc>
        <w:tc>
          <w:tcPr>
            <w:tcW w:w="1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Buy</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15000</w:t>
            </w:r>
          </w:p>
        </w:tc>
        <w:tc>
          <w:tcPr>
            <w:tcW w:w="1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5.7956</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Levin Capital Strategies, L.P.</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11/28/2017</w:t>
            </w:r>
          </w:p>
        </w:tc>
        <w:tc>
          <w:tcPr>
            <w:tcW w:w="12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Buy</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5.8768</w:t>
            </w:r>
          </w:p>
        </w:tc>
        <w:tc>
          <w:tcPr>
            <w:tcW w:w="5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Levin Capital Strategies, L.P.</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11/17/2017</w:t>
            </w:r>
          </w:p>
        </w:tc>
        <w:tc>
          <w:tcPr>
            <w:tcW w:w="1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Buy</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14831</w:t>
            </w:r>
          </w:p>
        </w:tc>
        <w:tc>
          <w:tcPr>
            <w:tcW w:w="1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5.05</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Levin Capital Strategies, L.P.</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11/17/2017</w:t>
            </w:r>
          </w:p>
        </w:tc>
        <w:tc>
          <w:tcPr>
            <w:tcW w:w="1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Buy</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4385</w:t>
            </w:r>
          </w:p>
        </w:tc>
        <w:tc>
          <w:tcPr>
            <w:tcW w:w="1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5.0487</w:t>
            </w:r>
          </w:p>
        </w:tc>
        <w:tc>
          <w:tcPr>
            <w:tcW w:w="5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Levin Capital Strategies, L.P.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22"/>
          <w:szCs w:val="22"/>
          <w:color w:val="auto"/>
        </w:rPr>
        <w:t>* Trade made on behalf of separately managed account Transamerica Large Cap Value Fund.</w:t>
      </w:r>
    </w:p>
    <w:sectPr>
      <w:pgSz w:w="11900" w:h="16838" w:orient="portrait"/>
      <w:cols w:equalWidth="0" w:num="1">
        <w:col w:w="11420"/>
      </w:cols>
      <w:pgMar w:left="240" w:top="2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bullet"/>
      <w:start w:val="1"/>
    </w:lvl>
  </w:abstractNum>
  <w:abstractNum w:abstractNumId="2">
    <w:nsid w:val="519B500D"/>
    <w:multiLevelType w:val="hybridMultilevel"/>
    <w:lvl w:ilvl="0">
      <w:lvlJc w:val="left"/>
      <w:lvlText w:val="%1"/>
      <w:numFmt w:val="decimal"/>
      <w:start w:val="14"/>
    </w:lvl>
  </w:abstractNum>
  <w:abstractNum w:abstractNumId="3">
    <w:nsid w:val="431BD7B7"/>
    <w:multiLevelType w:val="hybridMultilevel"/>
    <w:lvl w:ilvl="0">
      <w:lvlJc w:val="left"/>
      <w:lvlText w:val="%1"/>
      <w:numFmt w:val="decimal"/>
      <w:start w:val="14"/>
    </w:lvl>
  </w:abstractNum>
  <w:abstractNum w:abstractNumId="4">
    <w:nsid w:val="3F2DBA31"/>
    <w:multiLevelType w:val="hybridMultilevel"/>
    <w:lvl w:ilvl="0">
      <w:lvlJc w:val="left"/>
      <w:lvlText w:val="%1"/>
      <w:numFmt w:val="decimal"/>
      <w:start w:val="14"/>
    </w:lvl>
  </w:abstractNum>
  <w:abstractNum w:abstractNumId="5">
    <w:nsid w:val="7C83E458"/>
    <w:multiLevelType w:val="hybridMultilevel"/>
    <w:lvl w:ilvl="0">
      <w:lvlJc w:val="left"/>
      <w:lvlText w:val="(%1)"/>
      <w:numFmt w:val="lowerLetter"/>
      <w:start w:val="1"/>
    </w:lvl>
  </w:abstractNum>
  <w:abstractNum w:abstractNumId="6">
    <w:nsid w:val="257130A3"/>
    <w:multiLevelType w:val="hybridMultilevel"/>
    <w:lvl w:ilvl="0">
      <w:lvlJc w:val="left"/>
      <w:lvlText w:val="%1"/>
      <w:numFmt w:val="upperLetter"/>
      <w:start w:val="1"/>
    </w:lvl>
    <w:lvl w:ilvl="1">
      <w:lvlJc w:val="left"/>
      <w:lvlText w:val="(%2)"/>
      <w:numFmt w:val="lowerLetter"/>
      <w:start w:val="2"/>
    </w:lvl>
    <w:lvl w:ilvl="2">
      <w:lvlJc w:val="left"/>
      <w:lvlText w:val="%3."/>
      <w:numFmt w:val="decimal"/>
      <w:start w:val="2"/>
    </w:lvl>
  </w:abstractNum>
  <w:abstractNum w:abstractNumId="7">
    <w:nsid w:val="62BBD95A"/>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1"/>
    </w:lvl>
  </w:abstractNum>
  <w:abstractNum w:abstractNumId="8">
    <w:nsid w:val="436C6125"/>
    <w:multiLevelType w:val="hybridMultilevel"/>
    <w:lvl w:ilvl="0">
      <w:lvlJc w:val="left"/>
      <w:lvlText w:val="%1"/>
      <w:numFmt w:val="upperLetter"/>
      <w:start w:val="1"/>
    </w:lvl>
    <w:lvl w:ilvl="1">
      <w:lvlJc w:val="left"/>
      <w:lvlText w:val="(%2)"/>
      <w:numFmt w:val="lowerLetter"/>
      <w:start w:val="2"/>
    </w:lvl>
    <w:lvl w:ilvl="2">
      <w:lvlJc w:val="left"/>
      <w:lvlText w:val="%3."/>
      <w:numFmt w:val="decimal"/>
      <w:start w:val="2"/>
    </w:lvl>
  </w:abstractNum>
  <w:abstractNum w:abstractNumId="9">
    <w:nsid w:val="628C895D"/>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2"/>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1"/>
      <w:numFmt w:val="upperLetter"/>
      <w:start w:val="1"/>
    </w:lvl>
    <w:lvl w:ilvl="1">
      <w:lvlJc w:val="left"/>
      <w:lvlText w:val="(%2)"/>
      <w:numFmt w:val="lowerLetter"/>
      <w:start w:val="3"/>
    </w:lvl>
  </w:abstractNum>
  <w:abstractNum w:abstractNumId="12">
    <w:nsid w:val="2443A858"/>
    <w:multiLevelType w:val="hybridMultilevel"/>
    <w:lvl w:ilvl="0">
      <w:lvlJc w:val="left"/>
      <w:lvlText w:val="%1."/>
      <w:numFmt w:val="upperLetter"/>
      <w:start w:val="4"/>
    </w:lvl>
    <w:lvl w:ilvl="1">
      <w:lvlJc w:val="left"/>
      <w:lvlText w:val="(%2)"/>
      <w:numFmt w:val="lowerLetter"/>
      <w:start w:val="1"/>
    </w:lvl>
  </w:abstractNum>
  <w:abstractNum w:abstractNumId="13">
    <w:nsid w:val="2D1D5AE9"/>
    <w:multiLevelType w:val="hybridMultilevel"/>
    <w:lvl w:ilvl="0">
      <w:lvlJc w:val="left"/>
      <w:lvlText w:val="(%1)"/>
      <w:numFmt w:val="lowerLetter"/>
      <w:start w:val="2"/>
    </w:lvl>
    <w:lvl w:ilvl="1">
      <w:lvlJc w:val="left"/>
      <w:lvlText w:val="%2."/>
      <w:numFmt w:val="decimal"/>
      <w:start w:val="2"/>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1"/>
      <w:numFmt w:val="upperLetter"/>
      <w:start w:val="1"/>
    </w:lvl>
    <w:lvl w:ilvl="1">
      <w:lvlJc w:val="left"/>
      <w:lvlText w:val="(%2)"/>
      <w:numFmt w:val="lowerLetter"/>
      <w:start w:val="3"/>
    </w:lvl>
    <w:lvl w:ilvl="2">
      <w:lvlJc w:val="left"/>
      <w:lvlText w:val="%3"/>
      <w:numFmt w:val="decimal"/>
      <w:start w:val="1"/>
    </w:lvl>
  </w:abstractNum>
  <w:abstractNum w:abstractNumId="16">
    <w:nsid w:val="8EDBDAB"/>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2"/>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1"/>
      <w:numFmt w:val="upperLetter"/>
      <w:start w:val="1"/>
    </w:lvl>
    <w:lvl w:ilvl="1">
      <w:lvlJc w:val="left"/>
      <w:lvlText w:val="(%2)"/>
      <w:numFmt w:val="lowerLetter"/>
      <w:start w:val="3"/>
    </w:lvl>
    <w:lvl w:ilvl="2">
      <w:lvlJc w:val="left"/>
      <w:lvlText w:val="%3"/>
      <w:numFmt w:val="decimal"/>
      <w:start w:val="1"/>
    </w:lvl>
  </w:abstractNum>
  <w:abstractNum w:abstractNumId="19">
    <w:nsid w:val="B03E0C6"/>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2"/>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1"/>
      <w:numFmt w:val="upperLetter"/>
      <w:start w:val="1"/>
    </w:lvl>
    <w:lvl w:ilvl="1">
      <w:lvlJc w:val="left"/>
      <w:lvlText w:val="(%2)"/>
      <w:numFmt w:val="lowerLetter"/>
      <w:start w:val="3"/>
    </w:lvl>
  </w:abstractNum>
  <w:abstractNum w:abstractNumId="22">
    <w:nsid w:val="71F32454"/>
    <w:multiLevelType w:val="hybridMultilevel"/>
    <w:lvl w:ilvl="0">
      <w:lvlJc w:val="left"/>
      <w:lvlText w:val="%1."/>
      <w:numFmt w:val="upperLetter"/>
      <w:start w:val="7"/>
    </w:lvl>
    <w:lvl w:ilvl="1">
      <w:lvlJc w:val="left"/>
      <w:lvlText w:val="(%2)"/>
      <w:numFmt w:val="lowerLetter"/>
      <w:start w:val="1"/>
    </w:lvl>
  </w:abstractNum>
  <w:abstractNum w:abstractNumId="23">
    <w:nsid w:val="2CA88611"/>
    <w:multiLevelType w:val="hybridMultilevel"/>
    <w:lvl w:ilvl="0">
      <w:lvlJc w:val="left"/>
      <w:lvlText w:val="(%1)"/>
      <w:numFmt w:val="lowerLetter"/>
      <w:start w:val="2"/>
    </w:lvl>
    <w:lvl w:ilvl="1">
      <w:lvlJc w:val="left"/>
      <w:lvlText w:val="%2."/>
      <w:numFmt w:val="decimal"/>
      <w:start w:val="2"/>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1"/>
      <w:numFmt w:val="upperLetter"/>
      <w:start w:val="1"/>
    </w:lvl>
    <w:lvl w:ilvl="1">
      <w:lvlJc w:val="left"/>
      <w:lvlText w:val="(%2)"/>
      <w:numFmt w:val="lowerLetter"/>
      <w:start w:val="3"/>
    </w:lvl>
    <w:lvl w:ilvl="2">
      <w:lvlJc w:val="left"/>
      <w:lvlText w:val="%3"/>
      <w:numFmt w:val="decimal"/>
      <w:start w:val="1"/>
    </w:lvl>
  </w:abstractNum>
  <w:abstractNum w:abstractNumId="26">
    <w:nsid w:val="3A95F874"/>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2"/>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upperLetter"/>
      <w:start w:val="1"/>
    </w:lvl>
    <w:lvl w:ilvl="1">
      <w:lvlJc w:val="left"/>
      <w:lvlText w:val="(%2)"/>
      <w:numFmt w:val="lowerLetter"/>
      <w:start w:val="3"/>
    </w:lvl>
  </w:abstractNum>
  <w:abstractNum w:abstractNumId="29">
    <w:nsid w:val="7C3DBD3D"/>
    <w:multiLevelType w:val="hybridMultilevel"/>
    <w:lvl w:ilvl="0">
      <w:lvlJc w:val="left"/>
      <w:lvlText w:val="%1."/>
      <w:numFmt w:val="upperLetter"/>
      <w:start w:val="9"/>
    </w:lvl>
    <w:lvl w:ilvl="1">
      <w:lvlJc w:val="left"/>
      <w:lvlText w:val="(%2)"/>
      <w:numFmt w:val="lowerLetter"/>
      <w:start w:val="1"/>
    </w:lvl>
  </w:abstractNum>
  <w:abstractNum w:abstractNumId="30">
    <w:nsid w:val="737B8DDC"/>
    <w:multiLevelType w:val="hybridMultilevel"/>
    <w:lvl w:ilvl="0">
      <w:lvlJc w:val="left"/>
      <w:lvlText w:val="(%1)"/>
      <w:numFmt w:val="lowerLetter"/>
      <w:start w:val="2"/>
    </w:lvl>
    <w:lvl w:ilvl="1">
      <w:lvlJc w:val="left"/>
      <w:lvlText w:val="%2."/>
      <w:numFmt w:val="decimal"/>
      <w:start w:val="2"/>
    </w:lvl>
  </w:abstractNum>
  <w:abstractNum w:abstractNumId="31">
    <w:nsid w:val="6CEAF087"/>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2019-12-06T19:16:10Z</dcterms:created>
  <dcterms:modified xsi:type="dcterms:W3CDTF">2019-12-06T19:16:10Z</dcterms:modified>
</cp:coreProperties>
</file>