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February 10, 2021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40"/>
          </w:cols>
          <w:pgMar w:left="320" w:top="72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320"/>
          </w:cols>
          <w:pgMar w:left="320" w:top="724" w:right="3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280" w:firstLine="291"/>
        <w:spacing w:after="0" w:line="50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On February 10, 2021, Fluidigm Corporation issued a press release reporting its financial results for the quarter and full year ended December 31, 2020. A copy of the press release is furnished herewith as Exhibit 99.1.</w:t>
      </w:r>
    </w:p>
    <w:p>
      <w:pPr>
        <w:spacing w:after="0" w:line="170"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foregoing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Such information shall not be incorporated by reference in any filing under the Exchange Act or the Securities Act of 1933, as amended, regardless of any general incorporation language in such filing, except as expressly set forth by specific reference in such future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283"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Fluidigm Corporation Press Release dated February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820" w:type="dxa"/>
            <w:vAlign w:val="bottom"/>
            <w:gridSpan w:val="3"/>
          </w:tcPr>
          <w:p>
            <w:pPr>
              <w:ind w:left="184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February 10, 2021</w:t>
            </w:r>
          </w:p>
        </w:tc>
        <w:tc>
          <w:tcPr>
            <w:tcW w:w="3820" w:type="dxa"/>
            <w:vAlign w:val="bottom"/>
            <w:gridSpan w:val="3"/>
          </w:tcPr>
          <w:p>
            <w:pPr>
              <w:ind w:left="1840"/>
              <w:spacing w:after="0"/>
              <w:rPr>
                <w:sz w:val="20"/>
                <w:szCs w:val="20"/>
                <w:color w:val="auto"/>
              </w:rPr>
            </w:pPr>
            <w:r>
              <w:rPr>
                <w:rFonts w:ascii="Arial" w:cs="Arial" w:eastAsia="Arial" w:hAnsi="Arial"/>
                <w:sz w:val="18"/>
                <w:szCs w:val="18"/>
                <w:color w:val="auto"/>
              </w:rPr>
              <w:t>By: /s/ Vikram Jog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Fluidigm Announces Fourth Quarter and Full Year 2020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Total Revenue Increased 38 Percent to $44.6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Product and Service Revenue Increased 26 Percent to $40.5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Full Year Total Revenue Increased 18 Percent to $138.1 million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Collaboration with PLT Tech to Market CyTOF Technology to Clinical Labs in China</w:t>
      </w:r>
    </w:p>
    <w:p>
      <w:pPr>
        <w:spacing w:after="0" w:line="206"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SOUTH SAN FRANCISCO, Calif., Feb. 10, 2021 (GLOBE NEWSWIRE) -- Fluidigm Corporation (Nasdaq:FLDM), an innovative biotechnology tools provider with a vision to improve life through comprehensive health insight, today announced financial results for the fourth quarter and full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Fourth Quarter 2020</w:t>
      </w:r>
    </w:p>
    <w:p>
      <w:pPr>
        <w:spacing w:after="0" w:line="206" w:lineRule="exact"/>
        <w:rPr>
          <w:sz w:val="20"/>
          <w:szCs w:val="20"/>
          <w:color w:val="auto"/>
        </w:rPr>
      </w:pPr>
    </w:p>
    <w:p>
      <w:pPr>
        <w:ind w:left="540" w:right="100"/>
        <w:spacing w:after="0" w:line="276" w:lineRule="auto"/>
        <w:rPr>
          <w:sz w:val="20"/>
          <w:szCs w:val="20"/>
          <w:color w:val="auto"/>
        </w:rPr>
      </w:pPr>
      <w:r>
        <w:rPr>
          <w:rFonts w:ascii="Arial" w:cs="Arial" w:eastAsia="Arial" w:hAnsi="Arial"/>
          <w:sz w:val="19"/>
          <w:szCs w:val="19"/>
          <w:color w:val="auto"/>
        </w:rPr>
        <w:t>Fourth quarter revenue increased 38 percent to $44.6 million from $32.4 million in the fourth quarter of 2019. Product and service revenue increased 26 percent to $40.5 million. Total revenue included $4.1 million of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40"/>
        <w:spacing w:after="0" w:line="230" w:lineRule="auto"/>
        <w:rPr>
          <w:sz w:val="20"/>
          <w:szCs w:val="20"/>
          <w:color w:val="auto"/>
        </w:rPr>
      </w:pPr>
      <w:r>
        <w:rPr>
          <w:rFonts w:ascii="Arial" w:cs="Arial" w:eastAsia="Arial" w:hAnsi="Arial"/>
          <w:sz w:val="22"/>
          <w:szCs w:val="22"/>
          <w:color w:val="auto"/>
        </w:rPr>
        <w:t>GAAP net loss for the quarter was $18.0 million, compared with a GAAP net loss of $12.7 million for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560"/>
        <w:spacing w:after="0" w:line="236" w:lineRule="auto"/>
        <w:rPr>
          <w:sz w:val="20"/>
          <w:szCs w:val="20"/>
          <w:color w:val="auto"/>
        </w:rPr>
      </w:pPr>
      <w:r>
        <w:rPr>
          <w:rFonts w:ascii="Arial" w:cs="Arial" w:eastAsia="Arial" w:hAnsi="Arial"/>
          <w:sz w:val="22"/>
          <w:szCs w:val="22"/>
          <w:color w:val="auto"/>
        </w:rPr>
        <w:t>Non-GAAP net loss was $9.8 million for the quarter, compared with a $2.3 million non-GAAP net loss for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-253365</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Full Year 2020</w:t>
      </w:r>
    </w:p>
    <w:p>
      <w:pPr>
        <w:spacing w:after="0" w:line="206" w:lineRule="exact"/>
        <w:rPr>
          <w:sz w:val="20"/>
          <w:szCs w:val="20"/>
          <w:color w:val="auto"/>
        </w:rPr>
      </w:pPr>
    </w:p>
    <w:p>
      <w:pPr>
        <w:ind w:left="540" w:right="660"/>
        <w:spacing w:after="0" w:line="239" w:lineRule="auto"/>
        <w:rPr>
          <w:sz w:val="20"/>
          <w:szCs w:val="20"/>
          <w:color w:val="auto"/>
        </w:rPr>
      </w:pPr>
      <w:r>
        <w:rPr>
          <w:rFonts w:ascii="Arial" w:cs="Arial" w:eastAsia="Arial" w:hAnsi="Arial"/>
          <w:sz w:val="22"/>
          <w:szCs w:val="22"/>
          <w:color w:val="auto"/>
        </w:rPr>
        <w:t>Revenue increased 18 percent to $138.1 million from $117.2 million in full year 2019. Total revenue included $15.6 million of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220"/>
        <w:spacing w:after="0" w:line="234" w:lineRule="auto"/>
        <w:rPr>
          <w:sz w:val="20"/>
          <w:szCs w:val="20"/>
          <w:color w:val="auto"/>
        </w:rPr>
      </w:pPr>
      <w:r>
        <w:rPr>
          <w:rFonts w:ascii="Arial" w:cs="Arial" w:eastAsia="Arial" w:hAnsi="Arial"/>
          <w:sz w:val="22"/>
          <w:szCs w:val="22"/>
          <w:color w:val="auto"/>
        </w:rPr>
        <w:t>GAAP net loss was $53.0 million, compared with a GAAP net loss of $64.8 million for the full year of 2019. Non-GAAP net loss was $21.8 million for the full year, compared with a non-GAAP net loss of $23.7 million for the full year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-407035</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-252730</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“Revenue in the fourth quarter was the highest in the company’s history, driven by exceptional performance in microfluidics as well as sequential improvement in mass cytometry,” said Chris Linthwaite, President and CEO. “Demand for our saliva-based COVID-19 tests was notable, and we saw broad-based improvement in our core business lines compared to earlier periods in the pandemic. For the full year, we delivered record-breaking revenue while navigating an incredibly volatile operating environment that impacted all facets of our business. We made excellent progress in our molecular diagnostics and immune research strategies, expanding our customer base and driving growth in our recurring revenue sources. In addition, we strengthened our balance sheet and secured new partnerships to build new capabilities, access new markets and develop new products.”</w:t>
      </w:r>
    </w:p>
    <w:p>
      <w:pPr>
        <w:spacing w:after="0" w:line="15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Linthwaite added, “Although COVID-19 caused significant disruption to our business, our agility and responsiveness paved the way for accelerating growth and increased opportunities in 2021 and beyond. We anticipate further progress in transforming our microfluidics franchise into a durable diagnostics platform with new product releases and partnerships. Additionally, our mass cytometry franchise is moving closer to healthcare decision making with a strong increase in publications, clinical studies, and an exciting new collaboration to enter regulated markets in China. We anticipate that new product innovation, new collaborations and partnerships, and a growing body of research and clinical trial insights will drive growth as we pioneer new fields of scientific exploration in human biology.”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2020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 and category: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Total by Category</w:t>
            </w:r>
          </w:p>
        </w:tc>
        <w:tc>
          <w:tcPr>
            <w:tcW w:w="4000" w:type="dxa"/>
            <w:vAlign w:val="bottom"/>
            <w:tcBorders>
              <w:top w:val="single" w:sz="8" w:color="auto"/>
            </w:tcBorders>
          </w:tcPr>
          <w:p>
            <w:pPr>
              <w:jc w:val="center"/>
              <w:ind w:left="2912"/>
              <w:spacing w:after="0" w:line="243" w:lineRule="exact"/>
              <w:rPr>
                <w:sz w:val="20"/>
                <w:szCs w:val="20"/>
                <w:color w:val="auto"/>
              </w:rPr>
            </w:pPr>
            <w:r>
              <w:rPr>
                <w:rFonts w:ascii="Arial" w:cs="Arial" w:eastAsia="Arial" w:hAnsi="Arial"/>
                <w:sz w:val="22"/>
                <w:szCs w:val="22"/>
                <w:b w:val="1"/>
                <w:bCs w:val="1"/>
                <w:color w:val="auto"/>
                <w:w w:val="85"/>
              </w:rPr>
              <w:t>Revenue</w:t>
            </w:r>
          </w:p>
        </w:tc>
        <w:tc>
          <w:tcPr>
            <w:tcW w:w="1320" w:type="dxa"/>
            <w:vAlign w:val="bottom"/>
            <w:tcBorders>
              <w:top w:val="single" w:sz="8" w:color="auto"/>
            </w:tcBorders>
          </w:tcPr>
          <w:p>
            <w:pPr>
              <w:jc w:val="right"/>
              <w:ind w:right="92"/>
              <w:spacing w:after="0" w:line="243" w:lineRule="exact"/>
              <w:rPr>
                <w:sz w:val="20"/>
                <w:szCs w:val="20"/>
                <w:color w:val="auto"/>
              </w:rPr>
            </w:pPr>
            <w:r>
              <w:rPr>
                <w:rFonts w:ascii="Arial" w:cs="Arial" w:eastAsia="Arial" w:hAnsi="Arial"/>
                <w:sz w:val="22"/>
                <w:szCs w:val="22"/>
                <w:b w:val="1"/>
                <w:bCs w:val="1"/>
                <w:color w:val="auto"/>
              </w:rPr>
              <w:t>Year-over-</w:t>
            </w:r>
          </w:p>
        </w:tc>
        <w:tc>
          <w:tcPr>
            <w:tcW w:w="1160" w:type="dxa"/>
            <w:vAlign w:val="bottom"/>
            <w:tcBorders>
              <w:top w:val="single" w:sz="8" w:color="auto"/>
            </w:tcBorders>
          </w:tcPr>
          <w:p>
            <w:pPr>
              <w:jc w:val="right"/>
              <w:ind w:right="12"/>
              <w:spacing w:after="0" w:line="243" w:lineRule="exact"/>
              <w:rPr>
                <w:sz w:val="20"/>
                <w:szCs w:val="20"/>
                <w:color w:val="auto"/>
              </w:rPr>
            </w:pPr>
            <w:r>
              <w:rPr>
                <w:rFonts w:ascii="Arial" w:cs="Arial" w:eastAsia="Arial" w:hAnsi="Arial"/>
                <w:sz w:val="22"/>
                <w:szCs w:val="22"/>
                <w:b w:val="1"/>
                <w:bCs w:val="1"/>
                <w:color w:val="auto"/>
                <w:w w:val="96"/>
              </w:rPr>
              <w:t>% of Total</w:t>
            </w:r>
          </w:p>
        </w:tc>
      </w:tr>
      <w:tr>
        <w:trPr>
          <w:trHeight w:val="243"/>
        </w:trPr>
        <w:tc>
          <w:tcPr>
            <w:tcW w:w="4760" w:type="dxa"/>
            <w:vAlign w:val="bottom"/>
          </w:tcPr>
          <w:p>
            <w:pPr>
              <w:spacing w:after="0"/>
              <w:rPr>
                <w:sz w:val="21"/>
                <w:szCs w:val="21"/>
                <w:color w:val="auto"/>
              </w:rPr>
            </w:pPr>
          </w:p>
        </w:tc>
        <w:tc>
          <w:tcPr>
            <w:tcW w:w="4000" w:type="dxa"/>
            <w:vAlign w:val="bottom"/>
          </w:tcPr>
          <w:p>
            <w:pPr>
              <w:jc w:val="center"/>
              <w:ind w:left="2912"/>
              <w:spacing w:after="0" w:line="243" w:lineRule="exact"/>
              <w:rPr>
                <w:sz w:val="20"/>
                <w:szCs w:val="20"/>
                <w:color w:val="auto"/>
              </w:rPr>
            </w:pPr>
            <w:r>
              <w:rPr>
                <w:rFonts w:ascii="Arial" w:cs="Arial" w:eastAsia="Arial" w:hAnsi="Arial"/>
                <w:sz w:val="22"/>
                <w:szCs w:val="22"/>
                <w:b w:val="1"/>
                <w:bCs w:val="1"/>
                <w:color w:val="auto"/>
                <w:w w:val="85"/>
              </w:rPr>
              <w:t>by</w:t>
            </w:r>
          </w:p>
        </w:tc>
        <w:tc>
          <w:tcPr>
            <w:tcW w:w="13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90"/>
              </w:rPr>
              <w:t>Year Change</w:t>
            </w:r>
          </w:p>
        </w:tc>
        <w:tc>
          <w:tcPr>
            <w:tcW w:w="1160" w:type="dxa"/>
            <w:vAlign w:val="bottom"/>
          </w:tcPr>
          <w:p>
            <w:pPr>
              <w:jc w:val="right"/>
              <w:ind w:right="92"/>
              <w:spacing w:after="0" w:line="243" w:lineRule="exact"/>
              <w:rPr>
                <w:sz w:val="20"/>
                <w:szCs w:val="20"/>
                <w:color w:val="auto"/>
              </w:rPr>
            </w:pPr>
            <w:r>
              <w:rPr>
                <w:rFonts w:ascii="Arial" w:cs="Arial" w:eastAsia="Arial" w:hAnsi="Arial"/>
                <w:sz w:val="22"/>
                <w:szCs w:val="22"/>
                <w:b w:val="1"/>
                <w:bCs w:val="1"/>
                <w:color w:val="auto"/>
              </w:rPr>
              <w:t>Revenue</w:t>
            </w:r>
          </w:p>
        </w:tc>
      </w:tr>
      <w:tr>
        <w:trPr>
          <w:trHeight w:val="282"/>
        </w:trPr>
        <w:tc>
          <w:tcPr>
            <w:tcW w:w="4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left="2912"/>
              <w:spacing w:after="0"/>
              <w:rPr>
                <w:sz w:val="20"/>
                <w:szCs w:val="20"/>
                <w:color w:val="auto"/>
              </w:rPr>
            </w:pPr>
            <w:r>
              <w:rPr>
                <w:rFonts w:ascii="Arial" w:cs="Arial" w:eastAsia="Arial" w:hAnsi="Arial"/>
                <w:sz w:val="22"/>
                <w:szCs w:val="22"/>
                <w:b w:val="1"/>
                <w:bCs w:val="1"/>
                <w:color w:val="auto"/>
                <w:w w:val="90"/>
              </w:rPr>
              <w:t>Category</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4000" w:type="dxa"/>
            <w:vAlign w:val="bottom"/>
          </w:tcPr>
          <w:p>
            <w:pPr>
              <w:jc w:val="center"/>
              <w:ind w:left="2912"/>
              <w:spacing w:after="0" w:line="230" w:lineRule="exact"/>
              <w:rPr>
                <w:sz w:val="20"/>
                <w:szCs w:val="20"/>
                <w:color w:val="auto"/>
              </w:rPr>
            </w:pPr>
            <w:r>
              <w:rPr>
                <w:rFonts w:ascii="Arial" w:cs="Arial" w:eastAsia="Arial" w:hAnsi="Arial"/>
                <w:sz w:val="22"/>
                <w:szCs w:val="22"/>
                <w:color w:val="auto"/>
                <w:w w:val="90"/>
              </w:rPr>
              <w:t>$14.9</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(6)%</w:t>
            </w:r>
          </w:p>
        </w:tc>
        <w:tc>
          <w:tcPr>
            <w:tcW w:w="1160" w:type="dxa"/>
            <w:vAlign w:val="bottom"/>
          </w:tcPr>
          <w:p>
            <w:pPr>
              <w:jc w:val="right"/>
              <w:spacing w:after="0" w:line="230" w:lineRule="exact"/>
              <w:rPr>
                <w:sz w:val="20"/>
                <w:szCs w:val="20"/>
                <w:color w:val="auto"/>
              </w:rPr>
            </w:pPr>
            <w:r>
              <w:rPr>
                <w:rFonts w:ascii="Arial" w:cs="Arial" w:eastAsia="Arial" w:hAnsi="Arial"/>
                <w:sz w:val="22"/>
                <w:szCs w:val="22"/>
                <w:color w:val="auto"/>
              </w:rPr>
              <w:t>33%</w:t>
            </w:r>
          </w:p>
        </w:tc>
      </w:tr>
      <w:tr>
        <w:trPr>
          <w:trHeight w:val="270"/>
        </w:trPr>
        <w:tc>
          <w:tcPr>
            <w:tcW w:w="4760" w:type="dxa"/>
            <w:vAlign w:val="bottom"/>
          </w:tcPr>
          <w:p>
            <w:pPr>
              <w:spacing w:after="0"/>
              <w:rPr>
                <w:sz w:val="23"/>
                <w:szCs w:val="23"/>
                <w:color w:val="auto"/>
              </w:rPr>
            </w:pPr>
          </w:p>
        </w:tc>
        <w:tc>
          <w:tcPr>
            <w:tcW w:w="4000" w:type="dxa"/>
            <w:vAlign w:val="bottom"/>
          </w:tcPr>
          <w:p>
            <w:pPr>
              <w:jc w:val="center"/>
              <w:ind w:left="29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76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4000" w:type="dxa"/>
            <w:vAlign w:val="bottom"/>
          </w:tcPr>
          <w:p>
            <w:pPr>
              <w:jc w:val="center"/>
              <w:ind w:left="2912"/>
              <w:spacing w:after="0" w:line="243" w:lineRule="exact"/>
              <w:rPr>
                <w:sz w:val="20"/>
                <w:szCs w:val="20"/>
                <w:color w:val="auto"/>
              </w:rPr>
            </w:pPr>
            <w:r>
              <w:rPr>
                <w:rFonts w:ascii="Arial" w:cs="Arial" w:eastAsia="Arial" w:hAnsi="Arial"/>
                <w:sz w:val="22"/>
                <w:szCs w:val="22"/>
                <w:color w:val="auto"/>
                <w:w w:val="90"/>
              </w:rPr>
              <w:t>$19.5</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79%</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0"/>
        </w:trPr>
        <w:tc>
          <w:tcPr>
            <w:tcW w:w="4760" w:type="dxa"/>
            <w:vAlign w:val="bottom"/>
          </w:tcPr>
          <w:p>
            <w:pPr>
              <w:spacing w:after="0"/>
              <w:rPr>
                <w:sz w:val="23"/>
                <w:szCs w:val="23"/>
                <w:color w:val="auto"/>
              </w:rPr>
            </w:pPr>
          </w:p>
        </w:tc>
        <w:tc>
          <w:tcPr>
            <w:tcW w:w="4000" w:type="dxa"/>
            <w:vAlign w:val="bottom"/>
          </w:tcPr>
          <w:p>
            <w:pPr>
              <w:jc w:val="center"/>
              <w:ind w:left="29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76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4000" w:type="dxa"/>
            <w:vAlign w:val="bottom"/>
          </w:tcPr>
          <w:p>
            <w:pPr>
              <w:jc w:val="center"/>
              <w:ind w:left="2912"/>
              <w:spacing w:after="0" w:line="243" w:lineRule="exact"/>
              <w:rPr>
                <w:sz w:val="20"/>
                <w:szCs w:val="20"/>
                <w:color w:val="auto"/>
              </w:rPr>
            </w:pPr>
            <w:r>
              <w:rPr>
                <w:rFonts w:ascii="Arial" w:cs="Arial" w:eastAsia="Arial" w:hAnsi="Arial"/>
                <w:sz w:val="22"/>
                <w:szCs w:val="22"/>
                <w:color w:val="auto"/>
                <w:w w:val="88"/>
              </w:rPr>
              <w:t>$6.1</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13%</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70"/>
        </w:trPr>
        <w:tc>
          <w:tcPr>
            <w:tcW w:w="4760" w:type="dxa"/>
            <w:vAlign w:val="bottom"/>
          </w:tcPr>
          <w:p>
            <w:pPr>
              <w:spacing w:after="0"/>
              <w:rPr>
                <w:sz w:val="23"/>
                <w:szCs w:val="23"/>
                <w:color w:val="auto"/>
              </w:rPr>
            </w:pPr>
          </w:p>
        </w:tc>
        <w:tc>
          <w:tcPr>
            <w:tcW w:w="4000" w:type="dxa"/>
            <w:vAlign w:val="bottom"/>
          </w:tcPr>
          <w:p>
            <w:pPr>
              <w:jc w:val="center"/>
              <w:ind w:left="29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760" w:type="dxa"/>
            <w:vAlign w:val="bottom"/>
          </w:tcPr>
          <w:p>
            <w:pPr>
              <w:ind w:left="20"/>
              <w:spacing w:after="0" w:line="243" w:lineRule="exact"/>
              <w:rPr>
                <w:sz w:val="20"/>
                <w:szCs w:val="20"/>
                <w:color w:val="auto"/>
              </w:rPr>
            </w:pPr>
            <w:r>
              <w:rPr>
                <w:rFonts w:ascii="Arial" w:cs="Arial" w:eastAsia="Arial" w:hAnsi="Arial"/>
                <w:sz w:val="22"/>
                <w:szCs w:val="22"/>
                <w:color w:val="auto"/>
              </w:rPr>
              <w:t>Other</w:t>
            </w:r>
          </w:p>
        </w:tc>
        <w:tc>
          <w:tcPr>
            <w:tcW w:w="4000" w:type="dxa"/>
            <w:vAlign w:val="bottom"/>
          </w:tcPr>
          <w:p>
            <w:pPr>
              <w:jc w:val="center"/>
              <w:ind w:left="2912"/>
              <w:spacing w:after="0" w:line="243" w:lineRule="exact"/>
              <w:rPr>
                <w:sz w:val="20"/>
                <w:szCs w:val="20"/>
                <w:color w:val="auto"/>
              </w:rPr>
            </w:pPr>
            <w:r>
              <w:rPr>
                <w:rFonts w:ascii="Arial" w:cs="Arial" w:eastAsia="Arial" w:hAnsi="Arial"/>
                <w:sz w:val="22"/>
                <w:szCs w:val="22"/>
                <w:color w:val="auto"/>
                <w:w w:val="88"/>
              </w:rPr>
              <w:t>$4.1</w:t>
            </w:r>
          </w:p>
        </w:tc>
        <w:tc>
          <w:tcPr>
            <w:tcW w:w="132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N/A</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76"/>
        </w:trPr>
        <w:tc>
          <w:tcPr>
            <w:tcW w:w="4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left="291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0"/>
        </w:trPr>
        <w:tc>
          <w:tcPr>
            <w:tcW w:w="4760" w:type="dxa"/>
            <w:vAlign w:val="bottom"/>
          </w:tcPr>
          <w:p>
            <w:pPr>
              <w:ind w:left="20"/>
              <w:spacing w:after="0"/>
              <w:rPr>
                <w:sz w:val="20"/>
                <w:szCs w:val="20"/>
                <w:color w:val="auto"/>
              </w:rPr>
            </w:pPr>
            <w:r>
              <w:rPr>
                <w:rFonts w:ascii="Arial" w:cs="Arial" w:eastAsia="Arial" w:hAnsi="Arial"/>
                <w:sz w:val="22"/>
                <w:szCs w:val="22"/>
                <w:color w:val="auto"/>
              </w:rPr>
              <w:t>Total revenue</w:t>
            </w:r>
          </w:p>
        </w:tc>
        <w:tc>
          <w:tcPr>
            <w:tcW w:w="4000" w:type="dxa"/>
            <w:vAlign w:val="bottom"/>
          </w:tcPr>
          <w:p>
            <w:pPr>
              <w:jc w:val="center"/>
              <w:ind w:left="2912"/>
              <w:spacing w:after="0"/>
              <w:rPr>
                <w:sz w:val="20"/>
                <w:szCs w:val="20"/>
                <w:color w:val="auto"/>
              </w:rPr>
            </w:pPr>
            <w:r>
              <w:rPr>
                <w:rFonts w:ascii="Arial" w:cs="Arial" w:eastAsia="Arial" w:hAnsi="Arial"/>
                <w:sz w:val="22"/>
                <w:szCs w:val="22"/>
                <w:color w:val="auto"/>
                <w:w w:val="90"/>
              </w:rPr>
              <w:t>$44.6</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rPr>
              <w:t>38%</w:t>
            </w:r>
          </w:p>
        </w:tc>
        <w:tc>
          <w:tcPr>
            <w:tcW w:w="1160" w:type="dxa"/>
            <w:vAlign w:val="bottom"/>
          </w:tcPr>
          <w:p>
            <w:pPr>
              <w:jc w:val="right"/>
              <w:spacing w:after="0"/>
              <w:rPr>
                <w:sz w:val="20"/>
                <w:szCs w:val="20"/>
                <w:color w:val="auto"/>
              </w:rPr>
            </w:pPr>
            <w:r>
              <w:rPr>
                <w:rFonts w:ascii="Arial" w:cs="Arial" w:eastAsia="Arial" w:hAnsi="Arial"/>
                <w:sz w:val="22"/>
                <w:szCs w:val="22"/>
                <w:color w:val="auto"/>
              </w:rPr>
              <w:t>100%</w:t>
            </w:r>
          </w:p>
        </w:tc>
      </w:tr>
    </w:tbl>
    <w:p>
      <w:pPr>
        <w:sectPr>
          <w:pgSz w:w="11900" w:h="16838"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5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670"/>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6800" w:type="dxa"/>
            <w:vAlign w:val="bottom"/>
          </w:tcPr>
          <w:p>
            <w:pPr>
              <w:ind w:left="20"/>
              <w:spacing w:after="0" w:line="223" w:lineRule="exact"/>
              <w:rPr>
                <w:sz w:val="20"/>
                <w:szCs w:val="20"/>
                <w:color w:val="auto"/>
              </w:rPr>
            </w:pPr>
            <w:r>
              <w:rPr>
                <w:rFonts w:ascii="Arial" w:cs="Arial" w:eastAsia="Arial" w:hAnsi="Arial"/>
                <w:sz w:val="22"/>
                <w:szCs w:val="22"/>
                <w:b w:val="1"/>
                <w:bCs w:val="1"/>
                <w:color w:val="auto"/>
              </w:rPr>
              <w:t>Mass Cytometry by Category</w:t>
            </w:r>
          </w:p>
        </w:tc>
        <w:tc>
          <w:tcPr>
            <w:tcW w:w="1980" w:type="dxa"/>
            <w:vAlign w:val="bottom"/>
          </w:tcPr>
          <w:p>
            <w:pPr>
              <w:jc w:val="center"/>
              <w:ind w:left="852"/>
              <w:spacing w:after="0" w:line="223" w:lineRule="exact"/>
              <w:rPr>
                <w:sz w:val="20"/>
                <w:szCs w:val="20"/>
                <w:color w:val="auto"/>
              </w:rPr>
            </w:pPr>
            <w:r>
              <w:rPr>
                <w:rFonts w:ascii="Arial" w:cs="Arial" w:eastAsia="Arial" w:hAnsi="Arial"/>
                <w:sz w:val="22"/>
                <w:szCs w:val="22"/>
                <w:b w:val="1"/>
                <w:bCs w:val="1"/>
                <w:color w:val="auto"/>
                <w:w w:val="85"/>
              </w:rPr>
              <w:t>Revenue</w:t>
            </w:r>
          </w:p>
        </w:tc>
        <w:tc>
          <w:tcPr>
            <w:tcW w:w="1320" w:type="dxa"/>
            <w:vAlign w:val="bottom"/>
          </w:tcPr>
          <w:p>
            <w:pPr>
              <w:jc w:val="right"/>
              <w:ind w:right="112"/>
              <w:spacing w:after="0" w:line="223" w:lineRule="exact"/>
              <w:rPr>
                <w:sz w:val="20"/>
                <w:szCs w:val="20"/>
                <w:color w:val="auto"/>
              </w:rPr>
            </w:pPr>
            <w:r>
              <w:rPr>
                <w:rFonts w:ascii="Arial" w:cs="Arial" w:eastAsia="Arial" w:hAnsi="Arial"/>
                <w:sz w:val="22"/>
                <w:szCs w:val="22"/>
                <w:b w:val="1"/>
                <w:bCs w:val="1"/>
                <w:color w:val="auto"/>
                <w:w w:val="99"/>
              </w:rPr>
              <w:t>Year-over-</w:t>
            </w:r>
          </w:p>
        </w:tc>
        <w:tc>
          <w:tcPr>
            <w:tcW w:w="114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91"/>
              </w:rPr>
              <w:t>% of Total</w:t>
            </w:r>
          </w:p>
        </w:tc>
      </w:tr>
      <w:tr>
        <w:trPr>
          <w:trHeight w:val="243"/>
        </w:trPr>
        <w:tc>
          <w:tcPr>
            <w:tcW w:w="6800" w:type="dxa"/>
            <w:vAlign w:val="bottom"/>
          </w:tcPr>
          <w:p>
            <w:pPr>
              <w:spacing w:after="0"/>
              <w:rPr>
                <w:sz w:val="21"/>
                <w:szCs w:val="21"/>
                <w:color w:val="auto"/>
              </w:rPr>
            </w:pPr>
          </w:p>
        </w:tc>
        <w:tc>
          <w:tcPr>
            <w:tcW w:w="1980" w:type="dxa"/>
            <w:vAlign w:val="bottom"/>
          </w:tcPr>
          <w:p>
            <w:pPr>
              <w:jc w:val="center"/>
              <w:ind w:left="852"/>
              <w:spacing w:after="0" w:line="243" w:lineRule="exact"/>
              <w:rPr>
                <w:sz w:val="20"/>
                <w:szCs w:val="20"/>
                <w:color w:val="auto"/>
              </w:rPr>
            </w:pPr>
            <w:r>
              <w:rPr>
                <w:rFonts w:ascii="Arial" w:cs="Arial" w:eastAsia="Arial" w:hAnsi="Arial"/>
                <w:sz w:val="22"/>
                <w:szCs w:val="22"/>
                <w:b w:val="1"/>
                <w:bCs w:val="1"/>
                <w:color w:val="auto"/>
                <w:w w:val="85"/>
              </w:rPr>
              <w:t>by</w:t>
            </w:r>
          </w:p>
        </w:tc>
        <w:tc>
          <w:tcPr>
            <w:tcW w:w="13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89"/>
              </w:rPr>
              <w:t>Year Change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Revenue</w:t>
            </w:r>
          </w:p>
        </w:tc>
      </w:tr>
      <w:tr>
        <w:trPr>
          <w:trHeight w:val="282"/>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52"/>
              <w:spacing w:after="0"/>
              <w:rPr>
                <w:sz w:val="20"/>
                <w:szCs w:val="20"/>
                <w:color w:val="auto"/>
              </w:rPr>
            </w:pPr>
            <w:r>
              <w:rPr>
                <w:rFonts w:ascii="Arial" w:cs="Arial" w:eastAsia="Arial" w:hAnsi="Arial"/>
                <w:sz w:val="22"/>
                <w:szCs w:val="22"/>
                <w:b w:val="1"/>
                <w:bCs w:val="1"/>
                <w:color w:val="auto"/>
                <w:w w:val="90"/>
              </w:rPr>
              <w:t>Category</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1980" w:type="dxa"/>
            <w:vAlign w:val="bottom"/>
          </w:tcPr>
          <w:p>
            <w:pPr>
              <w:jc w:val="center"/>
              <w:ind w:left="852"/>
              <w:spacing w:after="0" w:line="230" w:lineRule="exact"/>
              <w:rPr>
                <w:sz w:val="20"/>
                <w:szCs w:val="20"/>
                <w:color w:val="auto"/>
              </w:rPr>
            </w:pPr>
            <w:r>
              <w:rPr>
                <w:rFonts w:ascii="Arial" w:cs="Arial" w:eastAsia="Arial" w:hAnsi="Arial"/>
                <w:sz w:val="22"/>
                <w:szCs w:val="22"/>
                <w:color w:val="auto"/>
                <w:w w:val="88"/>
              </w:rPr>
              <w:t>$9.8</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(24)%</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50%</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85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1980" w:type="dxa"/>
            <w:vAlign w:val="bottom"/>
          </w:tcPr>
          <w:p>
            <w:pPr>
              <w:jc w:val="center"/>
              <w:ind w:left="852"/>
              <w:spacing w:after="0" w:line="243" w:lineRule="exact"/>
              <w:rPr>
                <w:sz w:val="20"/>
                <w:szCs w:val="20"/>
                <w:color w:val="auto"/>
              </w:rPr>
            </w:pPr>
            <w:r>
              <w:rPr>
                <w:rFonts w:ascii="Arial" w:cs="Arial" w:eastAsia="Arial" w:hAnsi="Arial"/>
                <w:sz w:val="22"/>
                <w:szCs w:val="22"/>
                <w:color w:val="auto"/>
                <w:w w:val="88"/>
              </w:rPr>
              <w:t>$5.4</w:t>
            </w:r>
          </w:p>
        </w:tc>
        <w:tc>
          <w:tcPr>
            <w:tcW w:w="13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9%</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85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1980" w:type="dxa"/>
            <w:vAlign w:val="bottom"/>
          </w:tcPr>
          <w:p>
            <w:pPr>
              <w:jc w:val="center"/>
              <w:ind w:left="852"/>
              <w:spacing w:after="0" w:line="243" w:lineRule="exact"/>
              <w:rPr>
                <w:sz w:val="20"/>
                <w:szCs w:val="20"/>
                <w:color w:val="auto"/>
              </w:rPr>
            </w:pPr>
            <w:r>
              <w:rPr>
                <w:rFonts w:ascii="Arial" w:cs="Arial" w:eastAsia="Arial" w:hAnsi="Arial"/>
                <w:sz w:val="22"/>
                <w:szCs w:val="22"/>
                <w:color w:val="auto"/>
                <w:w w:val="88"/>
              </w:rPr>
              <w:t>$4.3</w:t>
            </w:r>
          </w:p>
        </w:tc>
        <w:tc>
          <w:tcPr>
            <w:tcW w:w="13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15%</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5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Total</w:t>
            </w:r>
          </w:p>
        </w:tc>
        <w:tc>
          <w:tcPr>
            <w:tcW w:w="1980" w:type="dxa"/>
            <w:vAlign w:val="bottom"/>
          </w:tcPr>
          <w:p>
            <w:pPr>
              <w:jc w:val="center"/>
              <w:ind w:left="852"/>
              <w:spacing w:after="0" w:line="230" w:lineRule="exact"/>
              <w:rPr>
                <w:sz w:val="20"/>
                <w:szCs w:val="20"/>
                <w:color w:val="auto"/>
              </w:rPr>
            </w:pPr>
            <w:r>
              <w:rPr>
                <w:rFonts w:ascii="Arial" w:cs="Arial" w:eastAsia="Arial" w:hAnsi="Arial"/>
                <w:sz w:val="22"/>
                <w:szCs w:val="22"/>
                <w:color w:val="auto"/>
                <w:w w:val="90"/>
              </w:rPr>
              <w:t>$19.5</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(9)%</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5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670"/>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6800" w:type="dxa"/>
            <w:vAlign w:val="bottom"/>
          </w:tcPr>
          <w:p>
            <w:pPr>
              <w:ind w:left="20"/>
              <w:spacing w:after="0" w:line="223" w:lineRule="exact"/>
              <w:rPr>
                <w:sz w:val="20"/>
                <w:szCs w:val="20"/>
                <w:color w:val="auto"/>
              </w:rPr>
            </w:pPr>
            <w:r>
              <w:rPr>
                <w:rFonts w:ascii="Arial" w:cs="Arial" w:eastAsia="Arial" w:hAnsi="Arial"/>
                <w:sz w:val="22"/>
                <w:szCs w:val="22"/>
                <w:b w:val="1"/>
                <w:bCs w:val="1"/>
                <w:color w:val="auto"/>
              </w:rPr>
              <w:t>Microfluidics</w:t>
            </w:r>
          </w:p>
        </w:tc>
        <w:tc>
          <w:tcPr>
            <w:tcW w:w="198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auto"/>
                <w:w w:val="87"/>
              </w:rPr>
              <w:t>Revenue</w:t>
            </w:r>
          </w:p>
        </w:tc>
        <w:tc>
          <w:tcPr>
            <w:tcW w:w="132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88"/>
              </w:rPr>
              <w:t>Year-over-</w:t>
            </w:r>
          </w:p>
        </w:tc>
        <w:tc>
          <w:tcPr>
            <w:tcW w:w="114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91"/>
              </w:rPr>
              <w:t>% of Total</w:t>
            </w: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by Category*</w:t>
            </w:r>
          </w:p>
        </w:tc>
        <w:tc>
          <w:tcPr>
            <w:tcW w:w="1980" w:type="dxa"/>
            <w:vAlign w:val="bottom"/>
          </w:tcPr>
          <w:p>
            <w:pPr>
              <w:jc w:val="center"/>
              <w:ind w:left="992"/>
              <w:spacing w:after="0" w:line="243" w:lineRule="exact"/>
              <w:rPr>
                <w:sz w:val="20"/>
                <w:szCs w:val="20"/>
                <w:color w:val="auto"/>
              </w:rPr>
            </w:pPr>
            <w:r>
              <w:rPr>
                <w:rFonts w:ascii="Arial" w:cs="Arial" w:eastAsia="Arial" w:hAnsi="Arial"/>
                <w:sz w:val="22"/>
                <w:szCs w:val="22"/>
                <w:b w:val="1"/>
                <w:bCs w:val="1"/>
                <w:color w:val="auto"/>
                <w:w w:val="93"/>
              </w:rPr>
              <w:t>by</w:t>
            </w: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Year</w:t>
            </w:r>
          </w:p>
        </w:tc>
        <w:tc>
          <w:tcPr>
            <w:tcW w:w="1140" w:type="dxa"/>
            <w:vAlign w:val="bottom"/>
          </w:tcPr>
          <w:p>
            <w:pPr>
              <w:spacing w:after="0"/>
              <w:rPr>
                <w:sz w:val="21"/>
                <w:szCs w:val="21"/>
                <w:color w:val="auto"/>
              </w:rPr>
            </w:pPr>
          </w:p>
        </w:tc>
      </w:tr>
      <w:tr>
        <w:trPr>
          <w:trHeight w:val="282"/>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992"/>
              <w:spacing w:after="0"/>
              <w:rPr>
                <w:sz w:val="20"/>
                <w:szCs w:val="20"/>
                <w:color w:val="auto"/>
              </w:rPr>
            </w:pPr>
            <w:r>
              <w:rPr>
                <w:rFonts w:ascii="Arial" w:cs="Arial" w:eastAsia="Arial" w:hAnsi="Arial"/>
                <w:sz w:val="22"/>
                <w:szCs w:val="22"/>
                <w:b w:val="1"/>
                <w:bCs w:val="1"/>
                <w:color w:val="auto"/>
                <w:w w:val="88"/>
              </w:rPr>
              <w:t>Category</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Change</w:t>
            </w: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1980" w:type="dxa"/>
            <w:vAlign w:val="bottom"/>
          </w:tcPr>
          <w:p>
            <w:pPr>
              <w:jc w:val="center"/>
              <w:ind w:left="972"/>
              <w:spacing w:after="0" w:line="230" w:lineRule="exact"/>
              <w:rPr>
                <w:sz w:val="20"/>
                <w:szCs w:val="20"/>
                <w:color w:val="auto"/>
              </w:rPr>
            </w:pPr>
            <w:r>
              <w:rPr>
                <w:rFonts w:ascii="Arial" w:cs="Arial" w:eastAsia="Arial" w:hAnsi="Arial"/>
                <w:sz w:val="22"/>
                <w:szCs w:val="22"/>
                <w:color w:val="auto"/>
                <w:w w:val="88"/>
              </w:rPr>
              <w:t>$5.1</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71%</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24%</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97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1980" w:type="dxa"/>
            <w:vAlign w:val="bottom"/>
          </w:tcPr>
          <w:p>
            <w:pPr>
              <w:jc w:val="center"/>
              <w:ind w:left="992"/>
              <w:spacing w:after="0" w:line="243" w:lineRule="exact"/>
              <w:rPr>
                <w:sz w:val="20"/>
                <w:szCs w:val="20"/>
                <w:color w:val="auto"/>
              </w:rPr>
            </w:pPr>
            <w:r>
              <w:rPr>
                <w:rFonts w:ascii="Arial" w:cs="Arial" w:eastAsia="Arial" w:hAnsi="Arial"/>
                <w:sz w:val="22"/>
                <w:szCs w:val="22"/>
                <w:color w:val="auto"/>
                <w:w w:val="87"/>
              </w:rPr>
              <w:t>$14.1</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97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1980" w:type="dxa"/>
            <w:vAlign w:val="bottom"/>
          </w:tcPr>
          <w:p>
            <w:pPr>
              <w:jc w:val="center"/>
              <w:ind w:left="972"/>
              <w:spacing w:after="0" w:line="243" w:lineRule="exact"/>
              <w:rPr>
                <w:sz w:val="20"/>
                <w:szCs w:val="20"/>
                <w:color w:val="auto"/>
              </w:rPr>
            </w:pPr>
            <w:r>
              <w:rPr>
                <w:rFonts w:ascii="Arial" w:cs="Arial" w:eastAsia="Arial" w:hAnsi="Arial"/>
                <w:sz w:val="22"/>
                <w:szCs w:val="22"/>
                <w:color w:val="auto"/>
                <w:w w:val="88"/>
              </w:rPr>
              <w:t>$1.8</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97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Total</w:t>
            </w:r>
          </w:p>
        </w:tc>
        <w:tc>
          <w:tcPr>
            <w:tcW w:w="1980" w:type="dxa"/>
            <w:vAlign w:val="bottom"/>
          </w:tcPr>
          <w:p>
            <w:pPr>
              <w:jc w:val="center"/>
              <w:ind w:left="992"/>
              <w:spacing w:after="0" w:line="230" w:lineRule="exact"/>
              <w:rPr>
                <w:sz w:val="20"/>
                <w:szCs w:val="20"/>
                <w:color w:val="auto"/>
              </w:rPr>
            </w:pPr>
            <w:r>
              <w:rPr>
                <w:rFonts w:ascii="Arial" w:cs="Arial" w:eastAsia="Arial" w:hAnsi="Arial"/>
                <w:sz w:val="22"/>
                <w:szCs w:val="22"/>
                <w:color w:val="auto"/>
                <w:w w:val="87"/>
              </w:rPr>
              <w:t>$21.0</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98%</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97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64"/>
        </w:trPr>
        <w:tc>
          <w:tcPr>
            <w:tcW w:w="6800" w:type="dxa"/>
            <w:vAlign w:val="bottom"/>
          </w:tcPr>
          <w:p>
            <w:pPr>
              <w:spacing w:after="0"/>
              <w:rPr>
                <w:sz w:val="20"/>
                <w:szCs w:val="20"/>
                <w:color w:val="auto"/>
              </w:rPr>
            </w:pPr>
            <w:r>
              <w:rPr>
                <w:rFonts w:ascii="Arial" w:cs="Arial" w:eastAsia="Arial" w:hAnsi="Arial"/>
                <w:sz w:val="22"/>
                <w:szCs w:val="22"/>
                <w:i w:val="1"/>
                <w:iCs w:val="1"/>
                <w:color w:val="auto"/>
              </w:rPr>
              <w:t>*Microfluidics by category excludes Other Revenue of $4.1 million.</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22"/>
                <w:szCs w:val="22"/>
                <w:i w:val="1"/>
                <w:iCs w:val="1"/>
                <w:color w:val="auto"/>
              </w:rPr>
              <w:t>Revenue by geographic area:</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68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23"/>
        </w:trPr>
        <w:tc>
          <w:tcPr>
            <w:tcW w:w="6800" w:type="dxa"/>
            <w:vAlign w:val="bottom"/>
          </w:tcPr>
          <w:p>
            <w:pPr>
              <w:ind w:left="20"/>
              <w:spacing w:after="0" w:line="223" w:lineRule="exact"/>
              <w:rPr>
                <w:sz w:val="20"/>
                <w:szCs w:val="20"/>
                <w:color w:val="auto"/>
              </w:rPr>
            </w:pPr>
            <w:r>
              <w:rPr>
                <w:rFonts w:ascii="Arial" w:cs="Arial" w:eastAsia="Arial" w:hAnsi="Arial"/>
                <w:sz w:val="22"/>
                <w:szCs w:val="22"/>
                <w:b w:val="1"/>
                <w:bCs w:val="1"/>
                <w:color w:val="auto"/>
              </w:rPr>
              <w:t>Geographic Area</w:t>
            </w:r>
          </w:p>
        </w:tc>
        <w:tc>
          <w:tcPr>
            <w:tcW w:w="1980" w:type="dxa"/>
            <w:vAlign w:val="bottom"/>
          </w:tcPr>
          <w:p>
            <w:pPr>
              <w:jc w:val="center"/>
              <w:ind w:left="812"/>
              <w:spacing w:after="0" w:line="223" w:lineRule="exact"/>
              <w:rPr>
                <w:sz w:val="20"/>
                <w:szCs w:val="20"/>
                <w:color w:val="auto"/>
              </w:rPr>
            </w:pPr>
            <w:r>
              <w:rPr>
                <w:rFonts w:ascii="Arial" w:cs="Arial" w:eastAsia="Arial" w:hAnsi="Arial"/>
                <w:sz w:val="22"/>
                <w:szCs w:val="22"/>
                <w:b w:val="1"/>
                <w:bCs w:val="1"/>
                <w:color w:val="auto"/>
                <w:w w:val="85"/>
              </w:rPr>
              <w:t>Revenue</w:t>
            </w:r>
          </w:p>
        </w:tc>
        <w:tc>
          <w:tcPr>
            <w:tcW w:w="132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88"/>
              </w:rPr>
              <w:t>Year-over-</w:t>
            </w:r>
          </w:p>
        </w:tc>
        <w:tc>
          <w:tcPr>
            <w:tcW w:w="114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93"/>
              </w:rPr>
              <w:t>% of Total</w:t>
            </w:r>
          </w:p>
        </w:tc>
      </w:tr>
      <w:tr>
        <w:trPr>
          <w:trHeight w:val="243"/>
        </w:trPr>
        <w:tc>
          <w:tcPr>
            <w:tcW w:w="6800" w:type="dxa"/>
            <w:vAlign w:val="bottom"/>
          </w:tcPr>
          <w:p>
            <w:pPr>
              <w:spacing w:after="0"/>
              <w:rPr>
                <w:sz w:val="21"/>
                <w:szCs w:val="21"/>
                <w:color w:val="auto"/>
              </w:rPr>
            </w:pPr>
          </w:p>
        </w:tc>
        <w:tc>
          <w:tcPr>
            <w:tcW w:w="1980" w:type="dxa"/>
            <w:vAlign w:val="bottom"/>
          </w:tcPr>
          <w:p>
            <w:pPr>
              <w:jc w:val="center"/>
              <w:ind w:left="812"/>
              <w:spacing w:after="0" w:line="243" w:lineRule="exact"/>
              <w:rPr>
                <w:sz w:val="20"/>
                <w:szCs w:val="20"/>
                <w:color w:val="auto"/>
              </w:rPr>
            </w:pPr>
            <w:r>
              <w:rPr>
                <w:rFonts w:ascii="Arial" w:cs="Arial" w:eastAsia="Arial" w:hAnsi="Arial"/>
                <w:sz w:val="22"/>
                <w:szCs w:val="22"/>
                <w:b w:val="1"/>
                <w:bCs w:val="1"/>
                <w:color w:val="auto"/>
                <w:w w:val="85"/>
              </w:rPr>
              <w:t>by</w:t>
            </w: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Year Change</w:t>
            </w:r>
          </w:p>
        </w:tc>
        <w:tc>
          <w:tcPr>
            <w:tcW w:w="1140" w:type="dxa"/>
            <w:vAlign w:val="bottom"/>
          </w:tcPr>
          <w:p>
            <w:pPr>
              <w:spacing w:after="0"/>
              <w:rPr>
                <w:sz w:val="21"/>
                <w:szCs w:val="21"/>
                <w:color w:val="auto"/>
              </w:rPr>
            </w:pPr>
          </w:p>
        </w:tc>
      </w:tr>
      <w:tr>
        <w:trPr>
          <w:trHeight w:val="282"/>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12"/>
              <w:spacing w:after="0"/>
              <w:rPr>
                <w:sz w:val="20"/>
                <w:szCs w:val="20"/>
                <w:color w:val="auto"/>
              </w:rPr>
            </w:pPr>
            <w:r>
              <w:rPr>
                <w:rFonts w:ascii="Arial" w:cs="Arial" w:eastAsia="Arial" w:hAnsi="Arial"/>
                <w:sz w:val="22"/>
                <w:szCs w:val="22"/>
                <w:b w:val="1"/>
                <w:bCs w:val="1"/>
                <w:color w:val="auto"/>
                <w:w w:val="87"/>
              </w:rPr>
              <w:t>Geography</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Americas*</w:t>
            </w:r>
          </w:p>
        </w:tc>
        <w:tc>
          <w:tcPr>
            <w:tcW w:w="1980" w:type="dxa"/>
            <w:vAlign w:val="bottom"/>
          </w:tcPr>
          <w:p>
            <w:pPr>
              <w:jc w:val="center"/>
              <w:ind w:left="812"/>
              <w:spacing w:after="0" w:line="230" w:lineRule="exact"/>
              <w:rPr>
                <w:sz w:val="20"/>
                <w:szCs w:val="20"/>
                <w:color w:val="auto"/>
              </w:rPr>
            </w:pPr>
            <w:r>
              <w:rPr>
                <w:rFonts w:ascii="Arial" w:cs="Arial" w:eastAsia="Arial" w:hAnsi="Arial"/>
                <w:sz w:val="22"/>
                <w:szCs w:val="22"/>
                <w:color w:val="auto"/>
                <w:w w:val="90"/>
              </w:rPr>
              <w:t>$22.1</w:t>
            </w:r>
          </w:p>
        </w:tc>
        <w:tc>
          <w:tcPr>
            <w:tcW w:w="1320" w:type="dxa"/>
            <w:vAlign w:val="bottom"/>
          </w:tcPr>
          <w:p>
            <w:pPr>
              <w:jc w:val="right"/>
              <w:ind w:right="32"/>
              <w:spacing w:after="0" w:line="230" w:lineRule="exact"/>
              <w:rPr>
                <w:sz w:val="20"/>
                <w:szCs w:val="20"/>
                <w:color w:val="auto"/>
              </w:rPr>
            </w:pPr>
            <w:r>
              <w:rPr>
                <w:rFonts w:ascii="Arial" w:cs="Arial" w:eastAsia="Arial" w:hAnsi="Arial"/>
                <w:sz w:val="22"/>
                <w:szCs w:val="22"/>
                <w:color w:val="auto"/>
              </w:rPr>
              <w:t>87%</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50%</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8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EMEA</w:t>
            </w:r>
          </w:p>
        </w:tc>
        <w:tc>
          <w:tcPr>
            <w:tcW w:w="1980" w:type="dxa"/>
            <w:vAlign w:val="bottom"/>
          </w:tcPr>
          <w:p>
            <w:pPr>
              <w:jc w:val="center"/>
              <w:ind w:left="812"/>
              <w:spacing w:after="0" w:line="243" w:lineRule="exact"/>
              <w:rPr>
                <w:sz w:val="20"/>
                <w:szCs w:val="20"/>
                <w:color w:val="auto"/>
              </w:rPr>
            </w:pPr>
            <w:r>
              <w:rPr>
                <w:rFonts w:ascii="Arial" w:cs="Arial" w:eastAsia="Arial" w:hAnsi="Arial"/>
                <w:sz w:val="22"/>
                <w:szCs w:val="22"/>
                <w:color w:val="auto"/>
                <w:w w:val="90"/>
              </w:rPr>
              <w:t>$14.3</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24%</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70"/>
        </w:trPr>
        <w:tc>
          <w:tcPr>
            <w:tcW w:w="6800" w:type="dxa"/>
            <w:vAlign w:val="bottom"/>
          </w:tcPr>
          <w:p>
            <w:pPr>
              <w:spacing w:after="0"/>
              <w:rPr>
                <w:sz w:val="23"/>
                <w:szCs w:val="23"/>
                <w:color w:val="auto"/>
              </w:rPr>
            </w:pPr>
          </w:p>
        </w:tc>
        <w:tc>
          <w:tcPr>
            <w:tcW w:w="1980" w:type="dxa"/>
            <w:vAlign w:val="bottom"/>
          </w:tcPr>
          <w:p>
            <w:pPr>
              <w:jc w:val="center"/>
              <w:ind w:left="8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00" w:type="dxa"/>
            <w:vAlign w:val="bottom"/>
          </w:tcPr>
          <w:p>
            <w:pPr>
              <w:ind w:left="20"/>
              <w:spacing w:after="0" w:line="243" w:lineRule="exact"/>
              <w:rPr>
                <w:sz w:val="20"/>
                <w:szCs w:val="20"/>
                <w:color w:val="auto"/>
              </w:rPr>
            </w:pPr>
            <w:r>
              <w:rPr>
                <w:rFonts w:ascii="Arial" w:cs="Arial" w:eastAsia="Arial" w:hAnsi="Arial"/>
                <w:sz w:val="22"/>
                <w:szCs w:val="22"/>
                <w:color w:val="auto"/>
              </w:rPr>
              <w:t>Asia-Pacific</w:t>
            </w:r>
          </w:p>
        </w:tc>
        <w:tc>
          <w:tcPr>
            <w:tcW w:w="1980" w:type="dxa"/>
            <w:vAlign w:val="bottom"/>
          </w:tcPr>
          <w:p>
            <w:pPr>
              <w:jc w:val="center"/>
              <w:ind w:left="812"/>
              <w:spacing w:after="0" w:line="243" w:lineRule="exact"/>
              <w:rPr>
                <w:sz w:val="20"/>
                <w:szCs w:val="20"/>
                <w:color w:val="auto"/>
              </w:rPr>
            </w:pPr>
            <w:r>
              <w:rPr>
                <w:rFonts w:ascii="Arial" w:cs="Arial" w:eastAsia="Arial" w:hAnsi="Arial"/>
                <w:sz w:val="22"/>
                <w:szCs w:val="22"/>
                <w:color w:val="auto"/>
                <w:w w:val="88"/>
              </w:rPr>
              <w:t>$8.2</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1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00" w:type="dxa"/>
            <w:vAlign w:val="bottom"/>
          </w:tcPr>
          <w:p>
            <w:pPr>
              <w:ind w:left="20"/>
              <w:spacing w:after="0" w:line="230" w:lineRule="exact"/>
              <w:rPr>
                <w:sz w:val="20"/>
                <w:szCs w:val="20"/>
                <w:color w:val="auto"/>
              </w:rPr>
            </w:pPr>
            <w:r>
              <w:rPr>
                <w:rFonts w:ascii="Arial" w:cs="Arial" w:eastAsia="Arial" w:hAnsi="Arial"/>
                <w:sz w:val="22"/>
                <w:szCs w:val="22"/>
                <w:color w:val="auto"/>
              </w:rPr>
              <w:t>Total revenue</w:t>
            </w:r>
          </w:p>
        </w:tc>
        <w:tc>
          <w:tcPr>
            <w:tcW w:w="1980" w:type="dxa"/>
            <w:vAlign w:val="bottom"/>
          </w:tcPr>
          <w:p>
            <w:pPr>
              <w:jc w:val="center"/>
              <w:ind w:left="812"/>
              <w:spacing w:after="0" w:line="230" w:lineRule="exact"/>
              <w:rPr>
                <w:sz w:val="20"/>
                <w:szCs w:val="20"/>
                <w:color w:val="auto"/>
              </w:rPr>
            </w:pPr>
            <w:r>
              <w:rPr>
                <w:rFonts w:ascii="Arial" w:cs="Arial" w:eastAsia="Arial" w:hAnsi="Arial"/>
                <w:sz w:val="22"/>
                <w:szCs w:val="22"/>
                <w:color w:val="auto"/>
                <w:w w:val="90"/>
              </w:rPr>
              <w:t>$44.6</w:t>
            </w:r>
          </w:p>
        </w:tc>
        <w:tc>
          <w:tcPr>
            <w:tcW w:w="1320" w:type="dxa"/>
            <w:vAlign w:val="bottom"/>
          </w:tcPr>
          <w:p>
            <w:pPr>
              <w:jc w:val="right"/>
              <w:ind w:right="32"/>
              <w:spacing w:after="0" w:line="230" w:lineRule="exact"/>
              <w:rPr>
                <w:sz w:val="20"/>
                <w:szCs w:val="20"/>
                <w:color w:val="auto"/>
              </w:rPr>
            </w:pPr>
            <w:r>
              <w:rPr>
                <w:rFonts w:ascii="Arial" w:cs="Arial" w:eastAsia="Arial" w:hAnsi="Arial"/>
                <w:sz w:val="22"/>
                <w:szCs w:val="22"/>
                <w:color w:val="auto"/>
              </w:rPr>
              <w:t>38%</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6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81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*Americas geographic area includes Other Revenue of $4.1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Loss from operations:</w:t>
      </w:r>
    </w:p>
    <w:p>
      <w:pPr>
        <w:spacing w:after="0" w:line="8"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GAAP loss from operations for the fourth quarter was $16.9 million, compared with a GAAP loss from operations of $9.2 million for the fourth quarter of 2019. Non-GAAP loss from operations was $8.8 million for the fourth quarter, compared with a $1.7 million non-GAAP loss from operations for the fourth quarter of 2019.</w:t>
      </w:r>
    </w:p>
    <w:p>
      <w:pPr>
        <w:spacing w:after="0" w:line="18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GAAP loss from operations for the full year 2020 was $51.0 million, compared with a GAAP loss from operations of $51.8 million for the full year 2019. Non-GAAP loss from operations was $20.4 million for the full year 2020, compared with a $24.1 million non-GAAP loss from operations for the full year 2019.</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and cash equivalents and restricted cash as of December 31, 2020:</w:t>
      </w:r>
    </w:p>
    <w:p>
      <w:pPr>
        <w:spacing w:after="0" w:line="8"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Cash and cash equivalents and restricted cash as of December 31, 2020, totaled $69.5 million, compared to $73.4 million as of September 30, 2020. Cash and cash equivalents, available-for-sale securities and restricted cash as of December 31, 2019, totaled $60.7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Microfluidics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Thirty instruments are now generating patient testing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254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5" w:name="page6"/>
    <w:bookmarkEnd w:id="5"/>
    <w:p>
      <w:pPr>
        <w:spacing w:after="0" w:line="3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company received a CE-IVD mark for its Advanta™ Dx SARS-CoV-2 RT-PCR Assay for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-85725</wp:posOffset>
            </wp:positionV>
            <wp:extent cx="4254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60"/>
        <w:spacing w:after="0" w:line="230" w:lineRule="auto"/>
        <w:rPr>
          <w:sz w:val="20"/>
          <w:szCs w:val="20"/>
          <w:color w:val="auto"/>
        </w:rPr>
      </w:pPr>
      <w:r>
        <w:rPr>
          <w:rFonts w:ascii="Arial" w:cs="Arial" w:eastAsia="Arial" w:hAnsi="Arial"/>
          <w:sz w:val="22"/>
          <w:szCs w:val="22"/>
          <w:color w:val="auto"/>
        </w:rPr>
        <w:t>Two private labs based in Missouri, Helix Specialty Diagnostics and Genomic LTC DX, are partnering to provide COVID-19 testing using the Advanta Dx Assay. Both are certified under the Clinical Laboratory Improvement Amendments (CLIA).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-398780</wp:posOffset>
            </wp:positionV>
            <wp:extent cx="4254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180"/>
        <w:spacing w:after="0" w:line="230" w:lineRule="auto"/>
        <w:rPr>
          <w:sz w:val="20"/>
          <w:szCs w:val="20"/>
          <w:color w:val="auto"/>
        </w:rPr>
      </w:pPr>
      <w:r>
        <w:rPr>
          <w:rFonts w:ascii="Arial" w:cs="Arial" w:eastAsia="Arial" w:hAnsi="Arial"/>
          <w:sz w:val="22"/>
          <w:szCs w:val="22"/>
          <w:color w:val="auto"/>
        </w:rPr>
        <w:t>University adoption progressed with George Mason University providing COVID-19 testing with the Advanta Dx SARS-CoV-2 RT-PCR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 growing body of peer-reviewed research is confirming the accuracy of saliva-based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Mass Cytometry:</w:t>
      </w:r>
    </w:p>
    <w:p>
      <w:pPr>
        <w:spacing w:after="0" w:line="219" w:lineRule="exact"/>
        <w:rPr>
          <w:sz w:val="20"/>
          <w:szCs w:val="20"/>
          <w:color w:val="auto"/>
        </w:rPr>
      </w:pPr>
    </w:p>
    <w:p>
      <w:pPr>
        <w:ind w:left="540" w:right="600"/>
        <w:spacing w:after="0" w:line="209" w:lineRule="auto"/>
        <w:rPr>
          <w:sz w:val="20"/>
          <w:szCs w:val="20"/>
          <w:color w:val="auto"/>
        </w:rPr>
      </w:pPr>
      <w:r>
        <w:rPr>
          <w:rFonts w:ascii="Arial" w:cs="Arial" w:eastAsia="Arial" w:hAnsi="Arial"/>
          <w:sz w:val="22"/>
          <w:szCs w:val="22"/>
          <w:color w:val="auto"/>
        </w:rPr>
        <w:t>The company announced a collaboration with Zhejiang PuLuoTing Health Technology Co. Ltd to market CyTOF</w:t>
      </w:r>
      <w:r>
        <w:rPr>
          <w:rFonts w:ascii="Arial" w:cs="Arial" w:eastAsia="Arial" w:hAnsi="Arial"/>
          <w:sz w:val="35"/>
          <w:szCs w:val="35"/>
          <w:color w:val="auto"/>
          <w:vertAlign w:val="superscript"/>
        </w:rPr>
        <w:t>®</w:t>
      </w:r>
      <w:r>
        <w:rPr>
          <w:rFonts w:ascii="Arial" w:cs="Arial" w:eastAsia="Arial" w:hAnsi="Arial"/>
          <w:sz w:val="22"/>
          <w:szCs w:val="22"/>
          <w:color w:val="auto"/>
        </w:rPr>
        <w:t xml:space="preserve"> technology to clinical labs in China. As part of the agreement, the companies are collaborating to seek approval for a CyTOF instrument authorized for diagnostic use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-398145</wp:posOffset>
            </wp:positionV>
            <wp:extent cx="4254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The National Institutes of Health is sponsoring a study at Stanford University School of Medicine utilizing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4254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0" w:lineRule="exact"/>
        <w:rPr>
          <w:sz w:val="20"/>
          <w:szCs w:val="20"/>
          <w:color w:val="auto"/>
        </w:rPr>
      </w:pPr>
    </w:p>
    <w:p>
      <w:pPr>
        <w:ind w:left="540" w:right="160"/>
        <w:spacing w:after="0" w:line="195" w:lineRule="auto"/>
        <w:rPr>
          <w:sz w:val="20"/>
          <w:szCs w:val="20"/>
          <w:color w:val="auto"/>
        </w:rPr>
      </w:pPr>
      <w:r>
        <w:rPr>
          <w:rFonts w:ascii="Arial" w:cs="Arial" w:eastAsia="Arial" w:hAnsi="Arial"/>
          <w:sz w:val="22"/>
          <w:szCs w:val="22"/>
          <w:color w:val="auto"/>
        </w:rPr>
        <w:t>and the company’s Maxpar</w:t>
      </w:r>
      <w:r>
        <w:rPr>
          <w:rFonts w:ascii="Arial" w:cs="Arial" w:eastAsia="Arial" w:hAnsi="Arial"/>
          <w:sz w:val="35"/>
          <w:szCs w:val="35"/>
          <w:color w:val="auto"/>
          <w:vertAlign w:val="superscript"/>
        </w:rPr>
        <w:t>®</w:t>
      </w:r>
      <w:r>
        <w:rPr>
          <w:rFonts w:ascii="Arial" w:cs="Arial" w:eastAsia="Arial" w:hAnsi="Arial"/>
          <w:sz w:val="22"/>
          <w:szCs w:val="22"/>
          <w:color w:val="auto"/>
        </w:rPr>
        <w:t xml:space="preserve"> Direct™ Immune Profiling Assay™ to evaluate immune responses in pediatric patients with COVID-19.</w:t>
      </w:r>
    </w:p>
    <w:p>
      <w:pPr>
        <w:spacing w:after="0" w:line="2" w:lineRule="exact"/>
        <w:rPr>
          <w:sz w:val="20"/>
          <w:szCs w:val="20"/>
          <w:color w:val="auto"/>
        </w:rPr>
      </w:pPr>
    </w:p>
    <w:p>
      <w:pPr>
        <w:ind w:left="540" w:right="160"/>
        <w:spacing w:after="0" w:line="230" w:lineRule="auto"/>
        <w:rPr>
          <w:sz w:val="20"/>
          <w:szCs w:val="20"/>
          <w:color w:val="auto"/>
        </w:rPr>
      </w:pPr>
      <w:r>
        <w:rPr>
          <w:rFonts w:ascii="Arial" w:cs="Arial" w:eastAsia="Arial" w:hAnsi="Arial"/>
          <w:sz w:val="22"/>
          <w:szCs w:val="22"/>
          <w:color w:val="auto"/>
        </w:rPr>
        <w:t>A new study published by Georgetown Lombardi Comprehensive Cancer Center validates the potential for Imaging Mass Cytometry™ to provide new insights into the interactions between pancreatic tumor cells and the immune system and to identify novel and actionable targets for pancreatic cancer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-398780</wp:posOffset>
            </wp:positionV>
            <wp:extent cx="4254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580"/>
        <w:spacing w:after="0" w:line="230" w:lineRule="auto"/>
        <w:rPr>
          <w:sz w:val="20"/>
          <w:szCs w:val="20"/>
          <w:color w:val="auto"/>
        </w:rPr>
      </w:pPr>
      <w:r>
        <w:rPr>
          <w:rFonts w:ascii="Arial" w:cs="Arial" w:eastAsia="Arial" w:hAnsi="Arial"/>
          <w:sz w:val="22"/>
          <w:szCs w:val="22"/>
          <w:color w:val="auto"/>
        </w:rPr>
        <w:t>The mass cytometry active installed instrument base increased to 328 at the end of 2020. This included 102 imaging-enabled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400"/>
        <w:spacing w:after="0" w:line="287" w:lineRule="auto"/>
        <w:rPr>
          <w:sz w:val="20"/>
          <w:szCs w:val="20"/>
          <w:color w:val="auto"/>
        </w:rPr>
      </w:pPr>
      <w:r>
        <w:rPr>
          <w:rFonts w:ascii="Arial" w:cs="Arial" w:eastAsia="Arial" w:hAnsi="Arial"/>
          <w:sz w:val="19"/>
          <w:szCs w:val="19"/>
          <w:color w:val="auto"/>
        </w:rPr>
        <w:t>Through January 2021, CyTOF technology was used in 129 clinical trials, including 8 for Imaging Mass Cytometry. As of the end of 2020, total publications and reviews involving CyTOF technology exceeded 1,380 total, including 88 publications and reviews for Imaging Mass Cytometry. Publications are up 100% percent compared to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-434975</wp:posOffset>
            </wp:positionV>
            <wp:extent cx="4254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-280670</wp:posOffset>
            </wp:positionV>
            <wp:extent cx="4254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recognition:</w:t>
      </w:r>
    </w:p>
    <w:p>
      <w:pPr>
        <w:spacing w:after="0" w:line="212" w:lineRule="exact"/>
        <w:rPr>
          <w:sz w:val="20"/>
          <w:szCs w:val="20"/>
          <w:color w:val="auto"/>
        </w:rPr>
      </w:pPr>
    </w:p>
    <w:p>
      <w:pPr>
        <w:ind w:left="540" w:right="400"/>
        <w:spacing w:after="0"/>
        <w:rPr>
          <w:sz w:val="20"/>
          <w:szCs w:val="20"/>
          <w:color w:val="auto"/>
        </w:rPr>
      </w:pPr>
      <w:r>
        <w:rPr>
          <w:rFonts w:ascii="Arial" w:cs="Arial" w:eastAsia="Arial" w:hAnsi="Arial"/>
          <w:sz w:val="22"/>
          <w:szCs w:val="22"/>
          <w:color w:val="auto"/>
        </w:rPr>
        <w:t>Fluidigm was named to Greater Toronto’s Top Employers for 2021, the second time in as many years the company was chosen for the annual listing of organizations with exceptionally positive and engaging environments that inspire and motivate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-407670</wp:posOffset>
            </wp:positionV>
            <wp:extent cx="4254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2020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category: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Category</w:t>
            </w:r>
          </w:p>
        </w:tc>
        <w:tc>
          <w:tcPr>
            <w:tcW w:w="4240" w:type="dxa"/>
            <w:vAlign w:val="bottom"/>
            <w:tcBorders>
              <w:top w:val="single" w:sz="8" w:color="auto"/>
            </w:tcBorders>
          </w:tcPr>
          <w:p>
            <w:pPr>
              <w:jc w:val="center"/>
              <w:ind w:left="3152"/>
              <w:spacing w:after="0" w:line="243" w:lineRule="exact"/>
              <w:rPr>
                <w:sz w:val="20"/>
                <w:szCs w:val="20"/>
                <w:color w:val="auto"/>
              </w:rPr>
            </w:pPr>
            <w:r>
              <w:rPr>
                <w:rFonts w:ascii="Arial" w:cs="Arial" w:eastAsia="Arial" w:hAnsi="Arial"/>
                <w:sz w:val="22"/>
                <w:szCs w:val="22"/>
                <w:b w:val="1"/>
                <w:bCs w:val="1"/>
                <w:color w:val="auto"/>
                <w:w w:val="85"/>
              </w:rPr>
              <w:t>Revenue</w:t>
            </w:r>
          </w:p>
        </w:tc>
        <w:tc>
          <w:tcPr>
            <w:tcW w:w="1320" w:type="dxa"/>
            <w:vAlign w:val="bottom"/>
            <w:tcBorders>
              <w:top w:val="single" w:sz="8" w:color="auto"/>
            </w:tcBorders>
          </w:tcPr>
          <w:p>
            <w:pPr>
              <w:jc w:val="right"/>
              <w:ind w:right="92"/>
              <w:spacing w:after="0" w:line="243" w:lineRule="exact"/>
              <w:rPr>
                <w:sz w:val="20"/>
                <w:szCs w:val="20"/>
                <w:color w:val="auto"/>
              </w:rPr>
            </w:pPr>
            <w:r>
              <w:rPr>
                <w:rFonts w:ascii="Arial" w:cs="Arial" w:eastAsia="Arial" w:hAnsi="Arial"/>
                <w:sz w:val="22"/>
                <w:szCs w:val="22"/>
                <w:b w:val="1"/>
                <w:bCs w:val="1"/>
                <w:color w:val="auto"/>
              </w:rPr>
              <w:t>Year-over-</w:t>
            </w:r>
          </w:p>
        </w:tc>
        <w:tc>
          <w:tcPr>
            <w:tcW w:w="1160" w:type="dxa"/>
            <w:vAlign w:val="bottom"/>
            <w:tcBorders>
              <w:top w:val="single" w:sz="8" w:color="auto"/>
            </w:tcBorders>
          </w:tcPr>
          <w:p>
            <w:pPr>
              <w:jc w:val="right"/>
              <w:ind w:right="12"/>
              <w:spacing w:after="0" w:line="243" w:lineRule="exact"/>
              <w:rPr>
                <w:sz w:val="20"/>
                <w:szCs w:val="20"/>
                <w:color w:val="auto"/>
              </w:rPr>
            </w:pPr>
            <w:r>
              <w:rPr>
                <w:rFonts w:ascii="Arial" w:cs="Arial" w:eastAsia="Arial" w:hAnsi="Arial"/>
                <w:sz w:val="22"/>
                <w:szCs w:val="22"/>
                <w:b w:val="1"/>
                <w:bCs w:val="1"/>
                <w:color w:val="auto"/>
                <w:w w:val="96"/>
              </w:rPr>
              <w:t>% of Total</w:t>
            </w:r>
          </w:p>
        </w:tc>
      </w:tr>
      <w:tr>
        <w:trPr>
          <w:trHeight w:val="243"/>
        </w:trPr>
        <w:tc>
          <w:tcPr>
            <w:tcW w:w="4520" w:type="dxa"/>
            <w:vAlign w:val="bottom"/>
          </w:tcPr>
          <w:p>
            <w:pPr>
              <w:spacing w:after="0"/>
              <w:rPr>
                <w:sz w:val="21"/>
                <w:szCs w:val="21"/>
                <w:color w:val="auto"/>
              </w:rPr>
            </w:pPr>
          </w:p>
        </w:tc>
        <w:tc>
          <w:tcPr>
            <w:tcW w:w="4240" w:type="dxa"/>
            <w:vAlign w:val="bottom"/>
          </w:tcPr>
          <w:p>
            <w:pPr>
              <w:jc w:val="center"/>
              <w:ind w:left="3152"/>
              <w:spacing w:after="0" w:line="243" w:lineRule="exact"/>
              <w:rPr>
                <w:sz w:val="20"/>
                <w:szCs w:val="20"/>
                <w:color w:val="auto"/>
              </w:rPr>
            </w:pPr>
            <w:r>
              <w:rPr>
                <w:rFonts w:ascii="Arial" w:cs="Arial" w:eastAsia="Arial" w:hAnsi="Arial"/>
                <w:sz w:val="22"/>
                <w:szCs w:val="22"/>
                <w:b w:val="1"/>
                <w:bCs w:val="1"/>
                <w:color w:val="auto"/>
                <w:w w:val="85"/>
              </w:rPr>
              <w:t>by</w:t>
            </w:r>
          </w:p>
        </w:tc>
        <w:tc>
          <w:tcPr>
            <w:tcW w:w="13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90"/>
              </w:rPr>
              <w:t>Year Change</w:t>
            </w:r>
          </w:p>
        </w:tc>
        <w:tc>
          <w:tcPr>
            <w:tcW w:w="1160" w:type="dxa"/>
            <w:vAlign w:val="bottom"/>
          </w:tcPr>
          <w:p>
            <w:pPr>
              <w:jc w:val="right"/>
              <w:ind w:right="92"/>
              <w:spacing w:after="0" w:line="243" w:lineRule="exact"/>
              <w:rPr>
                <w:sz w:val="20"/>
                <w:szCs w:val="20"/>
                <w:color w:val="auto"/>
              </w:rPr>
            </w:pPr>
            <w:r>
              <w:rPr>
                <w:rFonts w:ascii="Arial" w:cs="Arial" w:eastAsia="Arial" w:hAnsi="Arial"/>
                <w:sz w:val="22"/>
                <w:szCs w:val="22"/>
                <w:b w:val="1"/>
                <w:bCs w:val="1"/>
                <w:color w:val="auto"/>
              </w:rPr>
              <w:t>Revenue</w:t>
            </w:r>
          </w:p>
        </w:tc>
      </w:tr>
      <w:tr>
        <w:trPr>
          <w:trHeight w:val="282"/>
        </w:trPr>
        <w:tc>
          <w:tcPr>
            <w:tcW w:w="4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3152"/>
              <w:spacing w:after="0"/>
              <w:rPr>
                <w:sz w:val="20"/>
                <w:szCs w:val="20"/>
                <w:color w:val="auto"/>
              </w:rPr>
            </w:pPr>
            <w:r>
              <w:rPr>
                <w:rFonts w:ascii="Arial" w:cs="Arial" w:eastAsia="Arial" w:hAnsi="Arial"/>
                <w:sz w:val="22"/>
                <w:szCs w:val="22"/>
                <w:b w:val="1"/>
                <w:bCs w:val="1"/>
                <w:color w:val="auto"/>
                <w:w w:val="90"/>
              </w:rPr>
              <w:t>Category</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4240" w:type="dxa"/>
            <w:vAlign w:val="bottom"/>
          </w:tcPr>
          <w:p>
            <w:pPr>
              <w:jc w:val="center"/>
              <w:ind w:left="3152"/>
              <w:spacing w:after="0" w:line="230" w:lineRule="exact"/>
              <w:rPr>
                <w:sz w:val="20"/>
                <w:szCs w:val="20"/>
                <w:color w:val="auto"/>
              </w:rPr>
            </w:pPr>
            <w:r>
              <w:rPr>
                <w:rFonts w:ascii="Arial" w:cs="Arial" w:eastAsia="Arial" w:hAnsi="Arial"/>
                <w:sz w:val="22"/>
                <w:szCs w:val="22"/>
                <w:color w:val="auto"/>
                <w:w w:val="90"/>
              </w:rPr>
              <w:t>$45.5</w:t>
            </w:r>
          </w:p>
        </w:tc>
        <w:tc>
          <w:tcPr>
            <w:tcW w:w="1320" w:type="dxa"/>
            <w:vAlign w:val="bottom"/>
          </w:tcPr>
          <w:p>
            <w:pPr>
              <w:jc w:val="right"/>
              <w:spacing w:after="0" w:line="230" w:lineRule="exact"/>
              <w:rPr>
                <w:sz w:val="20"/>
                <w:szCs w:val="20"/>
                <w:color w:val="auto"/>
              </w:rPr>
            </w:pPr>
            <w:r>
              <w:rPr>
                <w:rFonts w:ascii="Arial" w:cs="Arial" w:eastAsia="Arial" w:hAnsi="Arial"/>
                <w:sz w:val="22"/>
                <w:szCs w:val="22"/>
                <w:color w:val="auto"/>
              </w:rPr>
              <w:t>(9)%</w:t>
            </w:r>
          </w:p>
        </w:tc>
        <w:tc>
          <w:tcPr>
            <w:tcW w:w="1160" w:type="dxa"/>
            <w:vAlign w:val="bottom"/>
          </w:tcPr>
          <w:p>
            <w:pPr>
              <w:jc w:val="right"/>
              <w:spacing w:after="0" w:line="230" w:lineRule="exact"/>
              <w:rPr>
                <w:sz w:val="20"/>
                <w:szCs w:val="20"/>
                <w:color w:val="auto"/>
              </w:rPr>
            </w:pPr>
            <w:r>
              <w:rPr>
                <w:rFonts w:ascii="Arial" w:cs="Arial" w:eastAsia="Arial" w:hAnsi="Arial"/>
                <w:sz w:val="22"/>
                <w:szCs w:val="22"/>
                <w:color w:val="auto"/>
              </w:rPr>
              <w:t>33%</w:t>
            </w:r>
          </w:p>
        </w:tc>
      </w:tr>
      <w:tr>
        <w:trPr>
          <w:trHeight w:val="270"/>
        </w:trPr>
        <w:tc>
          <w:tcPr>
            <w:tcW w:w="4520" w:type="dxa"/>
            <w:vAlign w:val="bottom"/>
          </w:tcPr>
          <w:p>
            <w:pPr>
              <w:spacing w:after="0"/>
              <w:rPr>
                <w:sz w:val="23"/>
                <w:szCs w:val="23"/>
                <w:color w:val="auto"/>
              </w:rPr>
            </w:pPr>
          </w:p>
        </w:tc>
        <w:tc>
          <w:tcPr>
            <w:tcW w:w="4240" w:type="dxa"/>
            <w:vAlign w:val="bottom"/>
          </w:tcPr>
          <w:p>
            <w:pPr>
              <w:jc w:val="center"/>
              <w:ind w:left="315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52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4240" w:type="dxa"/>
            <w:vAlign w:val="bottom"/>
          </w:tcPr>
          <w:p>
            <w:pPr>
              <w:jc w:val="center"/>
              <w:ind w:left="3152"/>
              <w:spacing w:after="0" w:line="243" w:lineRule="exact"/>
              <w:rPr>
                <w:sz w:val="20"/>
                <w:szCs w:val="20"/>
                <w:color w:val="auto"/>
              </w:rPr>
            </w:pPr>
            <w:r>
              <w:rPr>
                <w:rFonts w:ascii="Arial" w:cs="Arial" w:eastAsia="Arial" w:hAnsi="Arial"/>
                <w:sz w:val="22"/>
                <w:szCs w:val="22"/>
                <w:color w:val="auto"/>
                <w:w w:val="90"/>
              </w:rPr>
              <w:t>$54.4</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20%</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70"/>
        </w:trPr>
        <w:tc>
          <w:tcPr>
            <w:tcW w:w="4520" w:type="dxa"/>
            <w:vAlign w:val="bottom"/>
          </w:tcPr>
          <w:p>
            <w:pPr>
              <w:spacing w:after="0"/>
              <w:rPr>
                <w:sz w:val="23"/>
                <w:szCs w:val="23"/>
                <w:color w:val="auto"/>
              </w:rPr>
            </w:pPr>
          </w:p>
        </w:tc>
        <w:tc>
          <w:tcPr>
            <w:tcW w:w="4240" w:type="dxa"/>
            <w:vAlign w:val="bottom"/>
          </w:tcPr>
          <w:p>
            <w:pPr>
              <w:jc w:val="center"/>
              <w:ind w:left="315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52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4240" w:type="dxa"/>
            <w:vAlign w:val="bottom"/>
          </w:tcPr>
          <w:p>
            <w:pPr>
              <w:jc w:val="center"/>
              <w:ind w:left="3152"/>
              <w:spacing w:after="0" w:line="243" w:lineRule="exact"/>
              <w:rPr>
                <w:sz w:val="20"/>
                <w:szCs w:val="20"/>
                <w:color w:val="auto"/>
              </w:rPr>
            </w:pPr>
            <w:r>
              <w:rPr>
                <w:rFonts w:ascii="Arial" w:cs="Arial" w:eastAsia="Arial" w:hAnsi="Arial"/>
                <w:sz w:val="22"/>
                <w:szCs w:val="22"/>
                <w:color w:val="auto"/>
                <w:w w:val="90"/>
              </w:rPr>
              <w:t>$22.6</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6%</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0"/>
        </w:trPr>
        <w:tc>
          <w:tcPr>
            <w:tcW w:w="4520" w:type="dxa"/>
            <w:vAlign w:val="bottom"/>
          </w:tcPr>
          <w:p>
            <w:pPr>
              <w:spacing w:after="0"/>
              <w:rPr>
                <w:sz w:val="23"/>
                <w:szCs w:val="23"/>
                <w:color w:val="auto"/>
              </w:rPr>
            </w:pPr>
          </w:p>
        </w:tc>
        <w:tc>
          <w:tcPr>
            <w:tcW w:w="4240" w:type="dxa"/>
            <w:vAlign w:val="bottom"/>
          </w:tcPr>
          <w:p>
            <w:pPr>
              <w:jc w:val="center"/>
              <w:ind w:left="315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520" w:type="dxa"/>
            <w:vAlign w:val="bottom"/>
          </w:tcPr>
          <w:p>
            <w:pPr>
              <w:ind w:left="20"/>
              <w:spacing w:after="0" w:line="243" w:lineRule="exact"/>
              <w:rPr>
                <w:sz w:val="20"/>
                <w:szCs w:val="20"/>
                <w:color w:val="auto"/>
              </w:rPr>
            </w:pPr>
            <w:r>
              <w:rPr>
                <w:rFonts w:ascii="Arial" w:cs="Arial" w:eastAsia="Arial" w:hAnsi="Arial"/>
                <w:sz w:val="22"/>
                <w:szCs w:val="22"/>
                <w:color w:val="auto"/>
              </w:rPr>
              <w:t>Other</w:t>
            </w:r>
          </w:p>
        </w:tc>
        <w:tc>
          <w:tcPr>
            <w:tcW w:w="4240" w:type="dxa"/>
            <w:vAlign w:val="bottom"/>
          </w:tcPr>
          <w:p>
            <w:pPr>
              <w:jc w:val="center"/>
              <w:ind w:left="3152"/>
              <w:spacing w:after="0" w:line="243" w:lineRule="exact"/>
              <w:rPr>
                <w:sz w:val="20"/>
                <w:szCs w:val="20"/>
                <w:color w:val="auto"/>
              </w:rPr>
            </w:pPr>
            <w:r>
              <w:rPr>
                <w:rFonts w:ascii="Arial" w:cs="Arial" w:eastAsia="Arial" w:hAnsi="Arial"/>
                <w:sz w:val="22"/>
                <w:szCs w:val="22"/>
                <w:color w:val="auto"/>
                <w:w w:val="90"/>
              </w:rPr>
              <w:t>$15.6</w:t>
            </w:r>
          </w:p>
        </w:tc>
        <w:tc>
          <w:tcPr>
            <w:tcW w:w="132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N/A</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76"/>
        </w:trPr>
        <w:tc>
          <w:tcPr>
            <w:tcW w:w="4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315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22"/>
                <w:szCs w:val="22"/>
                <w:color w:val="auto"/>
              </w:rPr>
              <w:t>Total revenue</w:t>
            </w:r>
          </w:p>
        </w:tc>
        <w:tc>
          <w:tcPr>
            <w:tcW w:w="4240" w:type="dxa"/>
            <w:vAlign w:val="bottom"/>
          </w:tcPr>
          <w:p>
            <w:pPr>
              <w:jc w:val="center"/>
              <w:ind w:left="3152"/>
              <w:spacing w:after="0" w:line="230" w:lineRule="exact"/>
              <w:rPr>
                <w:sz w:val="20"/>
                <w:szCs w:val="20"/>
                <w:color w:val="auto"/>
              </w:rPr>
            </w:pPr>
            <w:r>
              <w:rPr>
                <w:rFonts w:ascii="Arial" w:cs="Arial" w:eastAsia="Arial" w:hAnsi="Arial"/>
                <w:sz w:val="22"/>
                <w:szCs w:val="22"/>
                <w:color w:val="auto"/>
                <w:w w:val="86"/>
              </w:rPr>
              <w:t>$138.1</w:t>
            </w:r>
          </w:p>
        </w:tc>
        <w:tc>
          <w:tcPr>
            <w:tcW w:w="1320" w:type="dxa"/>
            <w:vAlign w:val="bottom"/>
          </w:tcPr>
          <w:p>
            <w:pPr>
              <w:jc w:val="right"/>
              <w:ind w:right="32"/>
              <w:spacing w:after="0" w:line="230" w:lineRule="exact"/>
              <w:rPr>
                <w:sz w:val="20"/>
                <w:szCs w:val="20"/>
                <w:color w:val="auto"/>
              </w:rPr>
            </w:pPr>
            <w:r>
              <w:rPr>
                <w:rFonts w:ascii="Arial" w:cs="Arial" w:eastAsia="Arial" w:hAnsi="Arial"/>
                <w:sz w:val="22"/>
                <w:szCs w:val="22"/>
                <w:color w:val="auto"/>
              </w:rPr>
              <w:t>18%</w:t>
            </w:r>
          </w:p>
        </w:tc>
        <w:tc>
          <w:tcPr>
            <w:tcW w:w="116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4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315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Mass Cytometry by Category</w:t>
            </w:r>
          </w:p>
        </w:tc>
        <w:tc>
          <w:tcPr>
            <w:tcW w:w="3460" w:type="dxa"/>
            <w:vAlign w:val="bottom"/>
            <w:tcBorders>
              <w:top w:val="single" w:sz="8" w:color="auto"/>
            </w:tcBorders>
          </w:tcPr>
          <w:p>
            <w:pPr>
              <w:jc w:val="center"/>
              <w:ind w:left="2392"/>
              <w:spacing w:after="0" w:line="243" w:lineRule="exact"/>
              <w:rPr>
                <w:sz w:val="20"/>
                <w:szCs w:val="20"/>
                <w:color w:val="auto"/>
              </w:rPr>
            </w:pPr>
            <w:r>
              <w:rPr>
                <w:rFonts w:ascii="Arial" w:cs="Arial" w:eastAsia="Arial" w:hAnsi="Arial"/>
                <w:sz w:val="22"/>
                <w:szCs w:val="22"/>
                <w:b w:val="1"/>
                <w:bCs w:val="1"/>
                <w:color w:val="auto"/>
                <w:w w:val="87"/>
              </w:rPr>
              <w:t>Revenue</w:t>
            </w:r>
          </w:p>
        </w:tc>
        <w:tc>
          <w:tcPr>
            <w:tcW w:w="134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8"/>
              </w:rPr>
              <w:t>Year-over-</w:t>
            </w:r>
          </w:p>
        </w:tc>
        <w:tc>
          <w:tcPr>
            <w:tcW w:w="1140" w:type="dxa"/>
            <w:vAlign w:val="bottom"/>
            <w:tcBorders>
              <w:top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w w:val="96"/>
              </w:rPr>
              <w:t>% of Total</w:t>
            </w:r>
          </w:p>
        </w:tc>
      </w:tr>
      <w:tr>
        <w:trPr>
          <w:trHeight w:val="243"/>
        </w:trPr>
        <w:tc>
          <w:tcPr>
            <w:tcW w:w="5300" w:type="dxa"/>
            <w:vAlign w:val="bottom"/>
          </w:tcPr>
          <w:p>
            <w:pPr>
              <w:spacing w:after="0"/>
              <w:rPr>
                <w:sz w:val="21"/>
                <w:szCs w:val="21"/>
                <w:color w:val="auto"/>
              </w:rPr>
            </w:pPr>
          </w:p>
        </w:tc>
        <w:tc>
          <w:tcPr>
            <w:tcW w:w="3460" w:type="dxa"/>
            <w:vAlign w:val="bottom"/>
          </w:tcPr>
          <w:p>
            <w:pPr>
              <w:jc w:val="center"/>
              <w:ind w:left="2392"/>
              <w:spacing w:after="0" w:line="243" w:lineRule="exact"/>
              <w:rPr>
                <w:sz w:val="20"/>
                <w:szCs w:val="20"/>
                <w:color w:val="auto"/>
              </w:rPr>
            </w:pPr>
            <w:r>
              <w:rPr>
                <w:rFonts w:ascii="Arial" w:cs="Arial" w:eastAsia="Arial" w:hAnsi="Arial"/>
                <w:sz w:val="22"/>
                <w:szCs w:val="22"/>
                <w:b w:val="1"/>
                <w:bCs w:val="1"/>
                <w:color w:val="auto"/>
                <w:w w:val="93"/>
              </w:rPr>
              <w:t>by</w:t>
            </w:r>
          </w:p>
        </w:tc>
        <w:tc>
          <w:tcPr>
            <w:tcW w:w="1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Year Change</w:t>
            </w:r>
          </w:p>
        </w:tc>
        <w:tc>
          <w:tcPr>
            <w:tcW w:w="1140" w:type="dxa"/>
            <w:vAlign w:val="bottom"/>
          </w:tcPr>
          <w:p>
            <w:pPr>
              <w:spacing w:after="0"/>
              <w:rPr>
                <w:sz w:val="21"/>
                <w:szCs w:val="21"/>
                <w:color w:val="auto"/>
              </w:rPr>
            </w:pPr>
          </w:p>
        </w:tc>
      </w:tr>
      <w:tr>
        <w:trPr>
          <w:trHeight w:val="282"/>
        </w:trPr>
        <w:tc>
          <w:tcPr>
            <w:tcW w:w="5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left="2392"/>
              <w:spacing w:after="0"/>
              <w:rPr>
                <w:sz w:val="20"/>
                <w:szCs w:val="20"/>
                <w:color w:val="auto"/>
              </w:rPr>
            </w:pPr>
            <w:r>
              <w:rPr>
                <w:rFonts w:ascii="Arial" w:cs="Arial" w:eastAsia="Arial" w:hAnsi="Arial"/>
                <w:sz w:val="22"/>
                <w:szCs w:val="22"/>
                <w:b w:val="1"/>
                <w:bCs w:val="1"/>
                <w:color w:val="auto"/>
                <w:w w:val="88"/>
              </w:rPr>
              <w:t>Category</w:t>
            </w: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530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3460" w:type="dxa"/>
            <w:vAlign w:val="bottom"/>
          </w:tcPr>
          <w:p>
            <w:pPr>
              <w:jc w:val="center"/>
              <w:ind w:left="2392"/>
              <w:spacing w:after="0" w:line="230" w:lineRule="exact"/>
              <w:rPr>
                <w:sz w:val="20"/>
                <w:szCs w:val="20"/>
                <w:color w:val="auto"/>
              </w:rPr>
            </w:pPr>
            <w:r>
              <w:rPr>
                <w:rFonts w:ascii="Arial" w:cs="Arial" w:eastAsia="Arial" w:hAnsi="Arial"/>
                <w:sz w:val="22"/>
                <w:szCs w:val="22"/>
                <w:color w:val="auto"/>
                <w:w w:val="87"/>
              </w:rPr>
              <w:t>$28.5</w:t>
            </w:r>
          </w:p>
        </w:tc>
        <w:tc>
          <w:tcPr>
            <w:tcW w:w="1340" w:type="dxa"/>
            <w:vAlign w:val="bottom"/>
          </w:tcPr>
          <w:p>
            <w:pPr>
              <w:jc w:val="right"/>
              <w:spacing w:after="0" w:line="230" w:lineRule="exact"/>
              <w:rPr>
                <w:sz w:val="20"/>
                <w:szCs w:val="20"/>
                <w:color w:val="auto"/>
              </w:rPr>
            </w:pPr>
            <w:r>
              <w:rPr>
                <w:rFonts w:ascii="Arial" w:cs="Arial" w:eastAsia="Arial" w:hAnsi="Arial"/>
                <w:sz w:val="22"/>
                <w:szCs w:val="22"/>
                <w:color w:val="auto"/>
              </w:rPr>
              <w:t>(31)%</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46%</w:t>
            </w:r>
          </w:p>
        </w:tc>
      </w:tr>
      <w:tr>
        <w:trPr>
          <w:trHeight w:val="270"/>
        </w:trPr>
        <w:tc>
          <w:tcPr>
            <w:tcW w:w="5300" w:type="dxa"/>
            <w:vAlign w:val="bottom"/>
          </w:tcPr>
          <w:p>
            <w:pPr>
              <w:spacing w:after="0"/>
              <w:rPr>
                <w:sz w:val="23"/>
                <w:szCs w:val="23"/>
                <w:color w:val="auto"/>
              </w:rPr>
            </w:pPr>
          </w:p>
        </w:tc>
        <w:tc>
          <w:tcPr>
            <w:tcW w:w="3460" w:type="dxa"/>
            <w:vAlign w:val="bottom"/>
          </w:tcPr>
          <w:p>
            <w:pPr>
              <w:jc w:val="center"/>
              <w:ind w:left="2412"/>
              <w:spacing w:after="0"/>
              <w:rPr>
                <w:sz w:val="20"/>
                <w:szCs w:val="20"/>
                <w:color w:val="auto"/>
              </w:rPr>
            </w:pPr>
            <w:r>
              <w:rPr>
                <w:rFonts w:ascii="Arial" w:cs="Arial" w:eastAsia="Arial" w:hAnsi="Arial"/>
                <w:sz w:val="22"/>
                <w:szCs w:val="22"/>
                <w:color w:val="auto"/>
                <w:w w:val="99"/>
              </w:rPr>
              <w:t>million</w:t>
            </w:r>
          </w:p>
        </w:tc>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530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3460" w:type="dxa"/>
            <w:vAlign w:val="bottom"/>
          </w:tcPr>
          <w:p>
            <w:pPr>
              <w:jc w:val="center"/>
              <w:ind w:left="2392"/>
              <w:spacing w:after="0" w:line="243" w:lineRule="exact"/>
              <w:rPr>
                <w:sz w:val="20"/>
                <w:szCs w:val="20"/>
                <w:color w:val="auto"/>
              </w:rPr>
            </w:pPr>
            <w:r>
              <w:rPr>
                <w:rFonts w:ascii="Arial" w:cs="Arial" w:eastAsia="Arial" w:hAnsi="Arial"/>
                <w:sz w:val="22"/>
                <w:szCs w:val="22"/>
                <w:color w:val="auto"/>
                <w:w w:val="87"/>
              </w:rPr>
              <w:t>$18.0</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0"/>
        </w:trPr>
        <w:tc>
          <w:tcPr>
            <w:tcW w:w="5300" w:type="dxa"/>
            <w:vAlign w:val="bottom"/>
          </w:tcPr>
          <w:p>
            <w:pPr>
              <w:spacing w:after="0"/>
              <w:rPr>
                <w:sz w:val="23"/>
                <w:szCs w:val="23"/>
                <w:color w:val="auto"/>
              </w:rPr>
            </w:pPr>
          </w:p>
        </w:tc>
        <w:tc>
          <w:tcPr>
            <w:tcW w:w="3460" w:type="dxa"/>
            <w:vAlign w:val="bottom"/>
          </w:tcPr>
          <w:p>
            <w:pPr>
              <w:jc w:val="center"/>
              <w:ind w:left="2412"/>
              <w:spacing w:after="0"/>
              <w:rPr>
                <w:sz w:val="20"/>
                <w:szCs w:val="20"/>
                <w:color w:val="auto"/>
              </w:rPr>
            </w:pPr>
            <w:r>
              <w:rPr>
                <w:rFonts w:ascii="Arial" w:cs="Arial" w:eastAsia="Arial" w:hAnsi="Arial"/>
                <w:sz w:val="22"/>
                <w:szCs w:val="22"/>
                <w:color w:val="auto"/>
                <w:w w:val="99"/>
              </w:rPr>
              <w:t>million</w:t>
            </w:r>
          </w:p>
        </w:tc>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530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3460" w:type="dxa"/>
            <w:vAlign w:val="bottom"/>
          </w:tcPr>
          <w:p>
            <w:pPr>
              <w:jc w:val="center"/>
              <w:ind w:left="2392"/>
              <w:spacing w:after="0" w:line="243" w:lineRule="exact"/>
              <w:rPr>
                <w:sz w:val="20"/>
                <w:szCs w:val="20"/>
                <w:color w:val="auto"/>
              </w:rPr>
            </w:pPr>
            <w:r>
              <w:rPr>
                <w:rFonts w:ascii="Arial" w:cs="Arial" w:eastAsia="Arial" w:hAnsi="Arial"/>
                <w:sz w:val="22"/>
                <w:szCs w:val="22"/>
                <w:color w:val="auto"/>
                <w:w w:val="87"/>
              </w:rPr>
              <w:t>$15.6</w:t>
            </w:r>
          </w:p>
        </w:tc>
        <w:tc>
          <w:tcPr>
            <w:tcW w:w="1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12%</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76"/>
        </w:trPr>
        <w:tc>
          <w:tcPr>
            <w:tcW w:w="5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left="2412"/>
              <w:spacing w:after="0"/>
              <w:rPr>
                <w:sz w:val="20"/>
                <w:szCs w:val="20"/>
                <w:color w:val="auto"/>
              </w:rPr>
            </w:pPr>
            <w:r>
              <w:rPr>
                <w:rFonts w:ascii="Arial" w:cs="Arial" w:eastAsia="Arial" w:hAnsi="Arial"/>
                <w:sz w:val="22"/>
                <w:szCs w:val="22"/>
                <w:color w:val="auto"/>
                <w:w w:val="99"/>
              </w:rPr>
              <w:t>million</w:t>
            </w: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5300" w:type="dxa"/>
            <w:vAlign w:val="bottom"/>
          </w:tcPr>
          <w:p>
            <w:pPr>
              <w:ind w:left="20"/>
              <w:spacing w:after="0" w:line="230" w:lineRule="exact"/>
              <w:rPr>
                <w:sz w:val="20"/>
                <w:szCs w:val="20"/>
                <w:color w:val="auto"/>
              </w:rPr>
            </w:pPr>
            <w:r>
              <w:rPr>
                <w:rFonts w:ascii="Arial" w:cs="Arial" w:eastAsia="Arial" w:hAnsi="Arial"/>
                <w:sz w:val="22"/>
                <w:szCs w:val="22"/>
                <w:color w:val="auto"/>
              </w:rPr>
              <w:t>Total</w:t>
            </w:r>
          </w:p>
        </w:tc>
        <w:tc>
          <w:tcPr>
            <w:tcW w:w="3460" w:type="dxa"/>
            <w:vAlign w:val="bottom"/>
          </w:tcPr>
          <w:p>
            <w:pPr>
              <w:jc w:val="center"/>
              <w:ind w:left="2392"/>
              <w:spacing w:after="0" w:line="230" w:lineRule="exact"/>
              <w:rPr>
                <w:sz w:val="20"/>
                <w:szCs w:val="20"/>
                <w:color w:val="auto"/>
              </w:rPr>
            </w:pPr>
            <w:r>
              <w:rPr>
                <w:rFonts w:ascii="Arial" w:cs="Arial" w:eastAsia="Arial" w:hAnsi="Arial"/>
                <w:sz w:val="22"/>
                <w:szCs w:val="22"/>
                <w:color w:val="auto"/>
                <w:w w:val="87"/>
              </w:rPr>
              <w:t>$62.1</w:t>
            </w:r>
          </w:p>
        </w:tc>
        <w:tc>
          <w:tcPr>
            <w:tcW w:w="1340" w:type="dxa"/>
            <w:vAlign w:val="bottom"/>
          </w:tcPr>
          <w:p>
            <w:pPr>
              <w:jc w:val="right"/>
              <w:spacing w:after="0" w:line="230" w:lineRule="exact"/>
              <w:rPr>
                <w:sz w:val="20"/>
                <w:szCs w:val="20"/>
                <w:color w:val="auto"/>
              </w:rPr>
            </w:pPr>
            <w:r>
              <w:rPr>
                <w:rFonts w:ascii="Arial" w:cs="Arial" w:eastAsia="Arial" w:hAnsi="Arial"/>
                <w:sz w:val="22"/>
                <w:szCs w:val="22"/>
                <w:color w:val="auto"/>
              </w:rPr>
              <w:t>(15)%</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5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left="2412"/>
              <w:spacing w:after="0"/>
              <w:rPr>
                <w:sz w:val="20"/>
                <w:szCs w:val="20"/>
                <w:color w:val="auto"/>
              </w:rPr>
            </w:pPr>
            <w:r>
              <w:rPr>
                <w:rFonts w:ascii="Arial" w:cs="Arial" w:eastAsia="Arial" w:hAnsi="Arial"/>
                <w:sz w:val="22"/>
                <w:szCs w:val="22"/>
                <w:color w:val="auto"/>
                <w:w w:val="99"/>
              </w:rPr>
              <w:t>million</w:t>
            </w: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670"/>
        </w:trPr>
        <w:tc>
          <w:tcPr>
            <w:tcW w:w="5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5300" w:type="dxa"/>
            <w:vAlign w:val="bottom"/>
          </w:tcPr>
          <w:p>
            <w:pPr>
              <w:ind w:left="20"/>
              <w:spacing w:after="0" w:line="223" w:lineRule="exact"/>
              <w:rPr>
                <w:sz w:val="20"/>
                <w:szCs w:val="20"/>
                <w:color w:val="auto"/>
              </w:rPr>
            </w:pPr>
            <w:r>
              <w:rPr>
                <w:rFonts w:ascii="Arial" w:cs="Arial" w:eastAsia="Arial" w:hAnsi="Arial"/>
                <w:sz w:val="22"/>
                <w:szCs w:val="22"/>
                <w:b w:val="1"/>
                <w:bCs w:val="1"/>
                <w:color w:val="auto"/>
              </w:rPr>
              <w:t>Microfluidics</w:t>
            </w:r>
          </w:p>
        </w:tc>
        <w:tc>
          <w:tcPr>
            <w:tcW w:w="3460" w:type="dxa"/>
            <w:vAlign w:val="bottom"/>
          </w:tcPr>
          <w:p>
            <w:pPr>
              <w:jc w:val="center"/>
              <w:ind w:left="2392"/>
              <w:spacing w:after="0" w:line="223" w:lineRule="exact"/>
              <w:rPr>
                <w:sz w:val="20"/>
                <w:szCs w:val="20"/>
                <w:color w:val="auto"/>
              </w:rPr>
            </w:pPr>
            <w:r>
              <w:rPr>
                <w:rFonts w:ascii="Arial" w:cs="Arial" w:eastAsia="Arial" w:hAnsi="Arial"/>
                <w:sz w:val="22"/>
                <w:szCs w:val="22"/>
                <w:b w:val="1"/>
                <w:bCs w:val="1"/>
                <w:color w:val="auto"/>
                <w:w w:val="87"/>
              </w:rPr>
              <w:t>Revenue</w:t>
            </w:r>
          </w:p>
        </w:tc>
        <w:tc>
          <w:tcPr>
            <w:tcW w:w="1340" w:type="dxa"/>
            <w:vAlign w:val="bottom"/>
          </w:tcPr>
          <w:p>
            <w:pPr>
              <w:jc w:val="center"/>
              <w:spacing w:after="0" w:line="223" w:lineRule="exact"/>
              <w:rPr>
                <w:sz w:val="20"/>
                <w:szCs w:val="20"/>
                <w:color w:val="auto"/>
              </w:rPr>
            </w:pPr>
            <w:r>
              <w:rPr>
                <w:rFonts w:ascii="Arial" w:cs="Arial" w:eastAsia="Arial" w:hAnsi="Arial"/>
                <w:sz w:val="22"/>
                <w:szCs w:val="22"/>
                <w:b w:val="1"/>
                <w:bCs w:val="1"/>
                <w:color w:val="auto"/>
                <w:w w:val="88"/>
              </w:rPr>
              <w:t>Year-over-</w:t>
            </w:r>
          </w:p>
        </w:tc>
        <w:tc>
          <w:tcPr>
            <w:tcW w:w="1140" w:type="dxa"/>
            <w:vAlign w:val="bottom"/>
          </w:tcPr>
          <w:p>
            <w:pPr>
              <w:jc w:val="right"/>
              <w:spacing w:after="0" w:line="223" w:lineRule="exact"/>
              <w:rPr>
                <w:sz w:val="20"/>
                <w:szCs w:val="20"/>
                <w:color w:val="auto"/>
              </w:rPr>
            </w:pPr>
            <w:r>
              <w:rPr>
                <w:rFonts w:ascii="Arial" w:cs="Arial" w:eastAsia="Arial" w:hAnsi="Arial"/>
                <w:sz w:val="22"/>
                <w:szCs w:val="22"/>
                <w:b w:val="1"/>
                <w:bCs w:val="1"/>
                <w:color w:val="auto"/>
                <w:w w:val="96"/>
              </w:rPr>
              <w:t>% of Total</w:t>
            </w:r>
          </w:p>
        </w:tc>
      </w:tr>
      <w:tr>
        <w:trPr>
          <w:trHeight w:val="280"/>
        </w:trPr>
        <w:tc>
          <w:tcPr>
            <w:tcW w:w="5300" w:type="dxa"/>
            <w:vAlign w:val="bottom"/>
          </w:tcPr>
          <w:p>
            <w:pPr>
              <w:ind w:left="20"/>
              <w:spacing w:after="0"/>
              <w:rPr>
                <w:sz w:val="20"/>
                <w:szCs w:val="20"/>
                <w:color w:val="auto"/>
              </w:rPr>
            </w:pPr>
            <w:r>
              <w:rPr>
                <w:rFonts w:ascii="Arial" w:cs="Arial" w:eastAsia="Arial" w:hAnsi="Arial"/>
                <w:sz w:val="22"/>
                <w:szCs w:val="22"/>
                <w:b w:val="1"/>
                <w:bCs w:val="1"/>
                <w:color w:val="auto"/>
              </w:rPr>
              <w:t>by Category*</w:t>
            </w:r>
          </w:p>
        </w:tc>
        <w:tc>
          <w:tcPr>
            <w:tcW w:w="3460" w:type="dxa"/>
            <w:vAlign w:val="bottom"/>
          </w:tcPr>
          <w:p>
            <w:pPr>
              <w:jc w:val="center"/>
              <w:ind w:left="2392"/>
              <w:spacing w:after="0"/>
              <w:rPr>
                <w:sz w:val="20"/>
                <w:szCs w:val="20"/>
                <w:color w:val="auto"/>
              </w:rPr>
            </w:pPr>
            <w:r>
              <w:rPr>
                <w:rFonts w:ascii="Arial" w:cs="Arial" w:eastAsia="Arial" w:hAnsi="Arial"/>
                <w:sz w:val="22"/>
                <w:szCs w:val="22"/>
                <w:b w:val="1"/>
                <w:bCs w:val="1"/>
                <w:color w:val="auto"/>
                <w:w w:val="93"/>
              </w:rPr>
              <w:t>by</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89"/>
              </w:rPr>
              <w:t>Year Change</w:t>
            </w:r>
          </w:p>
        </w:tc>
        <w:tc>
          <w:tcPr>
            <w:tcW w:w="1140" w:type="dxa"/>
            <w:vAlign w:val="bottom"/>
          </w:tcPr>
          <w:p>
            <w:pPr>
              <w:spacing w:after="0"/>
              <w:rPr>
                <w:sz w:val="24"/>
                <w:szCs w:val="24"/>
                <w:color w:val="auto"/>
              </w:rPr>
            </w:pPr>
          </w:p>
        </w:tc>
      </w:tr>
    </w:tbl>
    <w:p>
      <w:pPr>
        <w:sectPr>
          <w:pgSz w:w="11900" w:h="16874" w:orient="portrait"/>
          <w:cols w:equalWidth="0" w:num="1">
            <w:col w:w="11240"/>
          </w:cols>
          <w:pgMar w:left="320" w:top="11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Category</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60" w:type="dxa"/>
            <w:vAlign w:val="bottom"/>
          </w:tcPr>
          <w:p>
            <w:pPr>
              <w:ind w:left="20"/>
              <w:spacing w:after="0" w:line="230" w:lineRule="exact"/>
              <w:rPr>
                <w:sz w:val="20"/>
                <w:szCs w:val="20"/>
                <w:color w:val="auto"/>
              </w:rPr>
            </w:pPr>
            <w:r>
              <w:rPr>
                <w:rFonts w:ascii="Arial" w:cs="Arial" w:eastAsia="Arial" w:hAnsi="Arial"/>
                <w:sz w:val="22"/>
                <w:szCs w:val="22"/>
                <w:color w:val="auto"/>
              </w:rPr>
              <w:t>Instruments</w:t>
            </w:r>
          </w:p>
        </w:tc>
        <w:tc>
          <w:tcPr>
            <w:tcW w:w="1920" w:type="dxa"/>
            <w:vAlign w:val="bottom"/>
          </w:tcPr>
          <w:p>
            <w:pPr>
              <w:jc w:val="right"/>
              <w:ind w:right="152"/>
              <w:spacing w:after="0" w:line="230" w:lineRule="exact"/>
              <w:rPr>
                <w:sz w:val="20"/>
                <w:szCs w:val="20"/>
                <w:color w:val="auto"/>
              </w:rPr>
            </w:pPr>
            <w:r>
              <w:rPr>
                <w:rFonts w:ascii="Arial" w:cs="Arial" w:eastAsia="Arial" w:hAnsi="Arial"/>
                <w:sz w:val="22"/>
                <w:szCs w:val="22"/>
                <w:color w:val="auto"/>
              </w:rPr>
              <w:t>$17.0</w:t>
            </w:r>
          </w:p>
        </w:tc>
        <w:tc>
          <w:tcPr>
            <w:tcW w:w="1320" w:type="dxa"/>
            <w:vAlign w:val="bottom"/>
          </w:tcPr>
          <w:p>
            <w:pPr>
              <w:jc w:val="right"/>
              <w:ind w:right="32"/>
              <w:spacing w:after="0" w:line="230" w:lineRule="exact"/>
              <w:rPr>
                <w:sz w:val="20"/>
                <w:szCs w:val="20"/>
                <w:color w:val="auto"/>
              </w:rPr>
            </w:pPr>
            <w:r>
              <w:rPr>
                <w:rFonts w:ascii="Arial" w:cs="Arial" w:eastAsia="Arial" w:hAnsi="Arial"/>
                <w:sz w:val="22"/>
                <w:szCs w:val="22"/>
                <w:color w:val="auto"/>
              </w:rPr>
              <w:t>102%</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28%</w:t>
            </w:r>
          </w:p>
        </w:tc>
      </w:tr>
      <w:tr>
        <w:trPr>
          <w:trHeight w:val="270"/>
        </w:trPr>
        <w:tc>
          <w:tcPr>
            <w:tcW w:w="6860" w:type="dxa"/>
            <w:vAlign w:val="bottom"/>
          </w:tcPr>
          <w:p>
            <w:pPr>
              <w:spacing w:after="0"/>
              <w:rPr>
                <w:sz w:val="23"/>
                <w:szCs w:val="23"/>
                <w:color w:val="auto"/>
              </w:rPr>
            </w:pPr>
          </w:p>
        </w:tc>
        <w:tc>
          <w:tcPr>
            <w:tcW w:w="1920" w:type="dxa"/>
            <w:vAlign w:val="bottom"/>
          </w:tcPr>
          <w:p>
            <w:pPr>
              <w:jc w:val="right"/>
              <w:ind w:right="72"/>
              <w:spacing w:after="0"/>
              <w:rPr>
                <w:sz w:val="20"/>
                <w:szCs w:val="20"/>
                <w:color w:val="auto"/>
              </w:rPr>
            </w:pPr>
            <w:r>
              <w:rPr>
                <w:rFonts w:ascii="Arial" w:cs="Arial" w:eastAsia="Arial" w:hAnsi="Arial"/>
                <w:sz w:val="22"/>
                <w:szCs w:val="22"/>
                <w:color w:val="auto"/>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60" w:type="dxa"/>
            <w:vAlign w:val="bottom"/>
          </w:tcPr>
          <w:p>
            <w:pPr>
              <w:ind w:left="20"/>
              <w:spacing w:after="0" w:line="243" w:lineRule="exact"/>
              <w:rPr>
                <w:sz w:val="20"/>
                <w:szCs w:val="20"/>
                <w:color w:val="auto"/>
              </w:rPr>
            </w:pPr>
            <w:r>
              <w:rPr>
                <w:rFonts w:ascii="Arial" w:cs="Arial" w:eastAsia="Arial" w:hAnsi="Arial"/>
                <w:sz w:val="22"/>
                <w:szCs w:val="22"/>
                <w:color w:val="auto"/>
              </w:rPr>
              <w:t>Consumables</w:t>
            </w:r>
          </w:p>
        </w:tc>
        <w:tc>
          <w:tcPr>
            <w:tcW w:w="192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$36.4</w:t>
            </w:r>
          </w:p>
        </w:tc>
        <w:tc>
          <w:tcPr>
            <w:tcW w:w="13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32%</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0"/>
        </w:trPr>
        <w:tc>
          <w:tcPr>
            <w:tcW w:w="6860" w:type="dxa"/>
            <w:vAlign w:val="bottom"/>
          </w:tcPr>
          <w:p>
            <w:pPr>
              <w:spacing w:after="0"/>
              <w:rPr>
                <w:sz w:val="23"/>
                <w:szCs w:val="23"/>
                <w:color w:val="auto"/>
              </w:rPr>
            </w:pPr>
          </w:p>
        </w:tc>
        <w:tc>
          <w:tcPr>
            <w:tcW w:w="1920" w:type="dxa"/>
            <w:vAlign w:val="bottom"/>
          </w:tcPr>
          <w:p>
            <w:pPr>
              <w:jc w:val="right"/>
              <w:ind w:right="72"/>
              <w:spacing w:after="0"/>
              <w:rPr>
                <w:sz w:val="20"/>
                <w:szCs w:val="20"/>
                <w:color w:val="auto"/>
              </w:rPr>
            </w:pPr>
            <w:r>
              <w:rPr>
                <w:rFonts w:ascii="Arial" w:cs="Arial" w:eastAsia="Arial" w:hAnsi="Arial"/>
                <w:sz w:val="22"/>
                <w:szCs w:val="22"/>
                <w:color w:val="auto"/>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60" w:type="dxa"/>
            <w:vAlign w:val="bottom"/>
          </w:tcPr>
          <w:p>
            <w:pPr>
              <w:ind w:left="20"/>
              <w:spacing w:after="0" w:line="243" w:lineRule="exact"/>
              <w:rPr>
                <w:sz w:val="20"/>
                <w:szCs w:val="20"/>
                <w:color w:val="auto"/>
              </w:rPr>
            </w:pPr>
            <w:r>
              <w:rPr>
                <w:rFonts w:ascii="Arial" w:cs="Arial" w:eastAsia="Arial" w:hAnsi="Arial"/>
                <w:sz w:val="22"/>
                <w:szCs w:val="22"/>
                <w:color w:val="auto"/>
              </w:rPr>
              <w:t>Service</w:t>
            </w:r>
          </w:p>
        </w:tc>
        <w:tc>
          <w:tcPr>
            <w:tcW w:w="19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$7.0</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6"/>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60" w:type="dxa"/>
            <w:vAlign w:val="bottom"/>
          </w:tcPr>
          <w:p>
            <w:pPr>
              <w:ind w:left="20"/>
              <w:spacing w:after="0" w:line="230" w:lineRule="exact"/>
              <w:rPr>
                <w:sz w:val="20"/>
                <w:szCs w:val="20"/>
                <w:color w:val="auto"/>
              </w:rPr>
            </w:pPr>
            <w:r>
              <w:rPr>
                <w:rFonts w:ascii="Arial" w:cs="Arial" w:eastAsia="Arial" w:hAnsi="Arial"/>
                <w:sz w:val="22"/>
                <w:szCs w:val="22"/>
                <w:color w:val="auto"/>
              </w:rPr>
              <w:t>Total</w:t>
            </w:r>
          </w:p>
        </w:tc>
        <w:tc>
          <w:tcPr>
            <w:tcW w:w="1920" w:type="dxa"/>
            <w:vAlign w:val="bottom"/>
          </w:tcPr>
          <w:p>
            <w:pPr>
              <w:jc w:val="right"/>
              <w:ind w:right="152"/>
              <w:spacing w:after="0" w:line="230" w:lineRule="exact"/>
              <w:rPr>
                <w:sz w:val="20"/>
                <w:szCs w:val="20"/>
                <w:color w:val="auto"/>
              </w:rPr>
            </w:pPr>
            <w:r>
              <w:rPr>
                <w:rFonts w:ascii="Arial" w:cs="Arial" w:eastAsia="Arial" w:hAnsi="Arial"/>
                <w:sz w:val="22"/>
                <w:szCs w:val="22"/>
                <w:color w:val="auto"/>
              </w:rPr>
              <w:t>$60.4</w:t>
            </w:r>
          </w:p>
        </w:tc>
        <w:tc>
          <w:tcPr>
            <w:tcW w:w="1320" w:type="dxa"/>
            <w:vAlign w:val="bottom"/>
          </w:tcPr>
          <w:p>
            <w:pPr>
              <w:jc w:val="right"/>
              <w:ind w:right="32"/>
              <w:spacing w:after="0" w:line="230" w:lineRule="exact"/>
              <w:rPr>
                <w:sz w:val="20"/>
                <w:szCs w:val="20"/>
                <w:color w:val="auto"/>
              </w:rPr>
            </w:pPr>
            <w:r>
              <w:rPr>
                <w:rFonts w:ascii="Arial" w:cs="Arial" w:eastAsia="Arial" w:hAnsi="Arial"/>
                <w:sz w:val="22"/>
                <w:szCs w:val="22"/>
                <w:color w:val="auto"/>
              </w:rPr>
              <w:t>39%</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22"/>
                <w:szCs w:val="22"/>
                <w:i w:val="1"/>
                <w:iCs w:val="1"/>
                <w:color w:val="auto"/>
              </w:rPr>
              <w:t>*Microfluidics by category excludes Other Revenue of $15.6 million.</w:t>
            </w: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6860" w:type="dxa"/>
            <w:vAlign w:val="bottom"/>
          </w:tcPr>
          <w:p>
            <w:pPr>
              <w:spacing w:after="0"/>
              <w:rPr>
                <w:sz w:val="20"/>
                <w:szCs w:val="20"/>
                <w:color w:val="auto"/>
              </w:rPr>
            </w:pPr>
            <w:r>
              <w:rPr>
                <w:rFonts w:ascii="Arial" w:cs="Arial" w:eastAsia="Arial" w:hAnsi="Arial"/>
                <w:sz w:val="22"/>
                <w:szCs w:val="22"/>
                <w:i w:val="1"/>
                <w:iCs w:val="1"/>
                <w:color w:val="auto"/>
              </w:rPr>
              <w:t>Revenue by geographic area:</w:t>
            </w: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68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23"/>
        </w:trPr>
        <w:tc>
          <w:tcPr>
            <w:tcW w:w="6860" w:type="dxa"/>
            <w:vAlign w:val="bottom"/>
          </w:tcPr>
          <w:p>
            <w:pPr>
              <w:ind w:left="20"/>
              <w:spacing w:after="0" w:line="223" w:lineRule="exact"/>
              <w:rPr>
                <w:sz w:val="20"/>
                <w:szCs w:val="20"/>
                <w:color w:val="auto"/>
              </w:rPr>
            </w:pPr>
            <w:r>
              <w:rPr>
                <w:rFonts w:ascii="Arial" w:cs="Arial" w:eastAsia="Arial" w:hAnsi="Arial"/>
                <w:sz w:val="22"/>
                <w:szCs w:val="22"/>
                <w:b w:val="1"/>
                <w:bCs w:val="1"/>
                <w:color w:val="auto"/>
              </w:rPr>
              <w:t>Geographic Area</w:t>
            </w:r>
          </w:p>
        </w:tc>
        <w:tc>
          <w:tcPr>
            <w:tcW w:w="1920" w:type="dxa"/>
            <w:vAlign w:val="bottom"/>
          </w:tcPr>
          <w:p>
            <w:pPr>
              <w:jc w:val="center"/>
              <w:ind w:left="732"/>
              <w:spacing w:after="0" w:line="223" w:lineRule="exact"/>
              <w:rPr>
                <w:sz w:val="20"/>
                <w:szCs w:val="20"/>
                <w:color w:val="auto"/>
              </w:rPr>
            </w:pPr>
            <w:r>
              <w:rPr>
                <w:rFonts w:ascii="Arial" w:cs="Arial" w:eastAsia="Arial" w:hAnsi="Arial"/>
                <w:sz w:val="22"/>
                <w:szCs w:val="22"/>
                <w:b w:val="1"/>
                <w:bCs w:val="1"/>
                <w:color w:val="auto"/>
                <w:w w:val="87"/>
              </w:rPr>
              <w:t>Revenue</w:t>
            </w:r>
          </w:p>
        </w:tc>
        <w:tc>
          <w:tcPr>
            <w:tcW w:w="1320" w:type="dxa"/>
            <w:vAlign w:val="bottom"/>
          </w:tcPr>
          <w:p>
            <w:pPr>
              <w:jc w:val="right"/>
              <w:ind w:right="112"/>
              <w:spacing w:after="0" w:line="223" w:lineRule="exact"/>
              <w:rPr>
                <w:sz w:val="20"/>
                <w:szCs w:val="20"/>
                <w:color w:val="auto"/>
              </w:rPr>
            </w:pPr>
            <w:r>
              <w:rPr>
                <w:rFonts w:ascii="Arial" w:cs="Arial" w:eastAsia="Arial" w:hAnsi="Arial"/>
                <w:sz w:val="22"/>
                <w:szCs w:val="22"/>
                <w:b w:val="1"/>
                <w:bCs w:val="1"/>
                <w:color w:val="auto"/>
                <w:w w:val="99"/>
              </w:rPr>
              <w:t>Year-over-</w:t>
            </w:r>
          </w:p>
        </w:tc>
        <w:tc>
          <w:tcPr>
            <w:tcW w:w="1140" w:type="dxa"/>
            <w:vAlign w:val="bottom"/>
          </w:tcPr>
          <w:p>
            <w:pPr>
              <w:jc w:val="right"/>
              <w:ind w:right="12"/>
              <w:spacing w:after="0" w:line="223" w:lineRule="exact"/>
              <w:rPr>
                <w:sz w:val="20"/>
                <w:szCs w:val="20"/>
                <w:color w:val="auto"/>
              </w:rPr>
            </w:pPr>
            <w:r>
              <w:rPr>
                <w:rFonts w:ascii="Arial" w:cs="Arial" w:eastAsia="Arial" w:hAnsi="Arial"/>
                <w:sz w:val="22"/>
                <w:szCs w:val="22"/>
                <w:b w:val="1"/>
                <w:bCs w:val="1"/>
                <w:color w:val="auto"/>
                <w:w w:val="95"/>
              </w:rPr>
              <w:t>% of Total</w:t>
            </w:r>
          </w:p>
        </w:tc>
      </w:tr>
      <w:tr>
        <w:trPr>
          <w:trHeight w:val="243"/>
        </w:trPr>
        <w:tc>
          <w:tcPr>
            <w:tcW w:w="6860" w:type="dxa"/>
            <w:vAlign w:val="bottom"/>
          </w:tcPr>
          <w:p>
            <w:pPr>
              <w:spacing w:after="0"/>
              <w:rPr>
                <w:sz w:val="21"/>
                <w:szCs w:val="21"/>
                <w:color w:val="auto"/>
              </w:rPr>
            </w:pPr>
          </w:p>
        </w:tc>
        <w:tc>
          <w:tcPr>
            <w:tcW w:w="1920" w:type="dxa"/>
            <w:vAlign w:val="bottom"/>
          </w:tcPr>
          <w:p>
            <w:pPr>
              <w:jc w:val="center"/>
              <w:ind w:left="732"/>
              <w:spacing w:after="0" w:line="243" w:lineRule="exact"/>
              <w:rPr>
                <w:sz w:val="20"/>
                <w:szCs w:val="20"/>
                <w:color w:val="auto"/>
              </w:rPr>
            </w:pPr>
            <w:r>
              <w:rPr>
                <w:rFonts w:ascii="Arial" w:cs="Arial" w:eastAsia="Arial" w:hAnsi="Arial"/>
                <w:sz w:val="22"/>
                <w:szCs w:val="22"/>
                <w:b w:val="1"/>
                <w:bCs w:val="1"/>
                <w:color w:val="auto"/>
                <w:w w:val="93"/>
              </w:rPr>
              <w:t>by</w:t>
            </w:r>
          </w:p>
        </w:tc>
        <w:tc>
          <w:tcPr>
            <w:tcW w:w="13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89"/>
              </w:rPr>
              <w:t>Year Change</w:t>
            </w:r>
          </w:p>
        </w:tc>
        <w:tc>
          <w:tcPr>
            <w:tcW w:w="1140" w:type="dxa"/>
            <w:vAlign w:val="bottom"/>
          </w:tcPr>
          <w:p>
            <w:pPr>
              <w:jc w:val="right"/>
              <w:ind w:right="92"/>
              <w:spacing w:after="0" w:line="243" w:lineRule="exact"/>
              <w:rPr>
                <w:sz w:val="20"/>
                <w:szCs w:val="20"/>
                <w:color w:val="auto"/>
              </w:rPr>
            </w:pPr>
            <w:r>
              <w:rPr>
                <w:rFonts w:ascii="Arial" w:cs="Arial" w:eastAsia="Arial" w:hAnsi="Arial"/>
                <w:sz w:val="22"/>
                <w:szCs w:val="22"/>
                <w:b w:val="1"/>
                <w:bCs w:val="1"/>
                <w:color w:val="auto"/>
              </w:rPr>
              <w:t>Revenue</w:t>
            </w:r>
          </w:p>
        </w:tc>
      </w:tr>
      <w:tr>
        <w:trPr>
          <w:trHeight w:val="282"/>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732"/>
              <w:spacing w:after="0"/>
              <w:rPr>
                <w:sz w:val="20"/>
                <w:szCs w:val="20"/>
                <w:color w:val="auto"/>
              </w:rPr>
            </w:pPr>
            <w:r>
              <w:rPr>
                <w:rFonts w:ascii="Arial" w:cs="Arial" w:eastAsia="Arial" w:hAnsi="Arial"/>
                <w:sz w:val="22"/>
                <w:szCs w:val="22"/>
                <w:b w:val="1"/>
                <w:bCs w:val="1"/>
                <w:color w:val="auto"/>
                <w:w w:val="89"/>
              </w:rPr>
              <w:t>Geography</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60" w:type="dxa"/>
            <w:vAlign w:val="bottom"/>
          </w:tcPr>
          <w:p>
            <w:pPr>
              <w:ind w:left="20"/>
              <w:spacing w:after="0" w:line="230" w:lineRule="exact"/>
              <w:rPr>
                <w:sz w:val="20"/>
                <w:szCs w:val="20"/>
                <w:color w:val="auto"/>
              </w:rPr>
            </w:pPr>
            <w:r>
              <w:rPr>
                <w:rFonts w:ascii="Arial" w:cs="Arial" w:eastAsia="Arial" w:hAnsi="Arial"/>
                <w:sz w:val="22"/>
                <w:szCs w:val="22"/>
                <w:color w:val="auto"/>
              </w:rPr>
              <w:t>Americas*</w:t>
            </w:r>
          </w:p>
        </w:tc>
        <w:tc>
          <w:tcPr>
            <w:tcW w:w="1920" w:type="dxa"/>
            <w:vAlign w:val="bottom"/>
          </w:tcPr>
          <w:p>
            <w:pPr>
              <w:jc w:val="right"/>
              <w:ind w:right="192"/>
              <w:spacing w:after="0" w:line="230" w:lineRule="exact"/>
              <w:rPr>
                <w:sz w:val="20"/>
                <w:szCs w:val="20"/>
                <w:color w:val="auto"/>
              </w:rPr>
            </w:pPr>
            <w:r>
              <w:rPr>
                <w:rFonts w:ascii="Arial" w:cs="Arial" w:eastAsia="Arial" w:hAnsi="Arial"/>
                <w:sz w:val="22"/>
                <w:szCs w:val="22"/>
                <w:color w:val="auto"/>
              </w:rPr>
              <w:t>$74.5</w:t>
            </w:r>
          </w:p>
        </w:tc>
        <w:tc>
          <w:tcPr>
            <w:tcW w:w="1320" w:type="dxa"/>
            <w:vAlign w:val="bottom"/>
          </w:tcPr>
          <w:p>
            <w:pPr>
              <w:jc w:val="right"/>
              <w:ind w:right="52"/>
              <w:spacing w:after="0" w:line="230" w:lineRule="exact"/>
              <w:rPr>
                <w:sz w:val="20"/>
                <w:szCs w:val="20"/>
                <w:color w:val="auto"/>
              </w:rPr>
            </w:pPr>
            <w:r>
              <w:rPr>
                <w:rFonts w:ascii="Arial" w:cs="Arial" w:eastAsia="Arial" w:hAnsi="Arial"/>
                <w:sz w:val="22"/>
                <w:szCs w:val="22"/>
                <w:color w:val="auto"/>
              </w:rPr>
              <w:t>59%</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54%</w:t>
            </w:r>
          </w:p>
        </w:tc>
      </w:tr>
      <w:tr>
        <w:trPr>
          <w:trHeight w:val="270"/>
        </w:trPr>
        <w:tc>
          <w:tcPr>
            <w:tcW w:w="6860" w:type="dxa"/>
            <w:vAlign w:val="bottom"/>
          </w:tcPr>
          <w:p>
            <w:pPr>
              <w:spacing w:after="0"/>
              <w:rPr>
                <w:sz w:val="23"/>
                <w:szCs w:val="23"/>
                <w:color w:val="auto"/>
              </w:rPr>
            </w:pPr>
          </w:p>
        </w:tc>
        <w:tc>
          <w:tcPr>
            <w:tcW w:w="1920" w:type="dxa"/>
            <w:vAlign w:val="bottom"/>
          </w:tcPr>
          <w:p>
            <w:pPr>
              <w:jc w:val="center"/>
              <w:ind w:left="7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60" w:type="dxa"/>
            <w:vAlign w:val="bottom"/>
          </w:tcPr>
          <w:p>
            <w:pPr>
              <w:ind w:left="20"/>
              <w:spacing w:after="0" w:line="243" w:lineRule="exact"/>
              <w:rPr>
                <w:sz w:val="20"/>
                <w:szCs w:val="20"/>
                <w:color w:val="auto"/>
              </w:rPr>
            </w:pPr>
            <w:r>
              <w:rPr>
                <w:rFonts w:ascii="Arial" w:cs="Arial" w:eastAsia="Arial" w:hAnsi="Arial"/>
                <w:sz w:val="22"/>
                <w:szCs w:val="22"/>
                <w:color w:val="auto"/>
              </w:rPr>
              <w:t>EMEA</w:t>
            </w:r>
          </w:p>
        </w:tc>
        <w:tc>
          <w:tcPr>
            <w:tcW w:w="19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$37.8</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0"/>
        </w:trPr>
        <w:tc>
          <w:tcPr>
            <w:tcW w:w="6860" w:type="dxa"/>
            <w:vAlign w:val="bottom"/>
          </w:tcPr>
          <w:p>
            <w:pPr>
              <w:spacing w:after="0"/>
              <w:rPr>
                <w:sz w:val="23"/>
                <w:szCs w:val="23"/>
                <w:color w:val="auto"/>
              </w:rPr>
            </w:pPr>
          </w:p>
        </w:tc>
        <w:tc>
          <w:tcPr>
            <w:tcW w:w="1920" w:type="dxa"/>
            <w:vAlign w:val="bottom"/>
          </w:tcPr>
          <w:p>
            <w:pPr>
              <w:jc w:val="center"/>
              <w:ind w:left="712"/>
              <w:spacing w:after="0"/>
              <w:rPr>
                <w:sz w:val="20"/>
                <w:szCs w:val="20"/>
                <w:color w:val="auto"/>
              </w:rPr>
            </w:pPr>
            <w:r>
              <w:rPr>
                <w:rFonts w:ascii="Arial" w:cs="Arial" w:eastAsia="Arial" w:hAnsi="Arial"/>
                <w:sz w:val="22"/>
                <w:szCs w:val="22"/>
                <w:color w:val="auto"/>
                <w:w w:val="99"/>
              </w:rPr>
              <w:t>million</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6860" w:type="dxa"/>
            <w:vAlign w:val="bottom"/>
          </w:tcPr>
          <w:p>
            <w:pPr>
              <w:ind w:left="20"/>
              <w:spacing w:after="0" w:line="243" w:lineRule="exact"/>
              <w:rPr>
                <w:sz w:val="20"/>
                <w:szCs w:val="20"/>
                <w:color w:val="auto"/>
              </w:rPr>
            </w:pPr>
            <w:r>
              <w:rPr>
                <w:rFonts w:ascii="Arial" w:cs="Arial" w:eastAsia="Arial" w:hAnsi="Arial"/>
                <w:sz w:val="22"/>
                <w:szCs w:val="22"/>
                <w:color w:val="auto"/>
              </w:rPr>
              <w:t>Asia-Pacific</w:t>
            </w:r>
          </w:p>
        </w:tc>
        <w:tc>
          <w:tcPr>
            <w:tcW w:w="192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$25.8</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76"/>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71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6860" w:type="dxa"/>
            <w:vAlign w:val="bottom"/>
          </w:tcPr>
          <w:p>
            <w:pPr>
              <w:ind w:left="20"/>
              <w:spacing w:after="0" w:line="230" w:lineRule="exact"/>
              <w:rPr>
                <w:sz w:val="20"/>
                <w:szCs w:val="20"/>
                <w:color w:val="auto"/>
              </w:rPr>
            </w:pPr>
            <w:r>
              <w:rPr>
                <w:rFonts w:ascii="Arial" w:cs="Arial" w:eastAsia="Arial" w:hAnsi="Arial"/>
                <w:sz w:val="22"/>
                <w:szCs w:val="22"/>
                <w:color w:val="auto"/>
              </w:rPr>
              <w:t>Total revenue</w:t>
            </w:r>
          </w:p>
        </w:tc>
        <w:tc>
          <w:tcPr>
            <w:tcW w:w="1920" w:type="dxa"/>
            <w:vAlign w:val="bottom"/>
          </w:tcPr>
          <w:p>
            <w:pPr>
              <w:jc w:val="right"/>
              <w:ind w:right="132"/>
              <w:spacing w:after="0" w:line="230" w:lineRule="exact"/>
              <w:rPr>
                <w:sz w:val="20"/>
                <w:szCs w:val="20"/>
                <w:color w:val="auto"/>
              </w:rPr>
            </w:pPr>
            <w:r>
              <w:rPr>
                <w:rFonts w:ascii="Arial" w:cs="Arial" w:eastAsia="Arial" w:hAnsi="Arial"/>
                <w:sz w:val="22"/>
                <w:szCs w:val="22"/>
                <w:color w:val="auto"/>
              </w:rPr>
              <w:t>$138.1</w:t>
            </w:r>
          </w:p>
        </w:tc>
        <w:tc>
          <w:tcPr>
            <w:tcW w:w="1320" w:type="dxa"/>
            <w:vAlign w:val="bottom"/>
          </w:tcPr>
          <w:p>
            <w:pPr>
              <w:jc w:val="right"/>
              <w:ind w:right="52"/>
              <w:spacing w:after="0" w:line="230" w:lineRule="exact"/>
              <w:rPr>
                <w:sz w:val="20"/>
                <w:szCs w:val="20"/>
                <w:color w:val="auto"/>
              </w:rPr>
            </w:pPr>
            <w:r>
              <w:rPr>
                <w:rFonts w:ascii="Arial" w:cs="Arial" w:eastAsia="Arial" w:hAnsi="Arial"/>
                <w:sz w:val="22"/>
                <w:szCs w:val="22"/>
                <w:color w:val="auto"/>
              </w:rPr>
              <w:t>18%</w:t>
            </w:r>
          </w:p>
        </w:tc>
        <w:tc>
          <w:tcPr>
            <w:tcW w:w="1140" w:type="dxa"/>
            <w:vAlign w:val="bottom"/>
          </w:tcPr>
          <w:p>
            <w:pPr>
              <w:jc w:val="right"/>
              <w:spacing w:after="0" w:line="230" w:lineRule="exact"/>
              <w:rPr>
                <w:sz w:val="20"/>
                <w:szCs w:val="20"/>
                <w:color w:val="auto"/>
              </w:rPr>
            </w:pPr>
            <w:r>
              <w:rPr>
                <w:rFonts w:ascii="Arial" w:cs="Arial" w:eastAsia="Arial" w:hAnsi="Arial"/>
                <w:sz w:val="22"/>
                <w:szCs w:val="22"/>
                <w:color w:val="auto"/>
              </w:rPr>
              <w:t>100%</w:t>
            </w:r>
          </w:p>
        </w:tc>
      </w:tr>
      <w:tr>
        <w:trPr>
          <w:trHeight w:val="276"/>
        </w:trPr>
        <w:tc>
          <w:tcPr>
            <w:tcW w:w="6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712"/>
              <w:spacing w:after="0"/>
              <w:rPr>
                <w:sz w:val="20"/>
                <w:szCs w:val="20"/>
                <w:color w:val="auto"/>
              </w:rPr>
            </w:pPr>
            <w:r>
              <w:rPr>
                <w:rFonts w:ascii="Arial" w:cs="Arial" w:eastAsia="Arial" w:hAnsi="Arial"/>
                <w:sz w:val="22"/>
                <w:szCs w:val="22"/>
                <w:color w:val="auto"/>
                <w:w w:val="99"/>
              </w:rPr>
              <w:t>million</w:t>
            </w:r>
          </w:p>
        </w:tc>
        <w:tc>
          <w:tcPr>
            <w:tcW w:w="1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22"/>
                <w:szCs w:val="22"/>
                <w:i w:val="1"/>
                <w:iCs w:val="1"/>
                <w:color w:val="auto"/>
              </w:rPr>
              <w:t>*Americas geographic area includes Other Revenue of $15.6 million.</w:t>
            </w: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6860" w:type="dxa"/>
            <w:vAlign w:val="bottom"/>
          </w:tcPr>
          <w:p>
            <w:pPr>
              <w:spacing w:after="0"/>
              <w:rPr>
                <w:sz w:val="20"/>
                <w:szCs w:val="20"/>
                <w:color w:val="auto"/>
              </w:rPr>
            </w:pPr>
            <w:r>
              <w:rPr>
                <w:rFonts w:ascii="Arial" w:cs="Arial" w:eastAsia="Arial" w:hAnsi="Arial"/>
                <w:sz w:val="22"/>
                <w:szCs w:val="22"/>
                <w:i w:val="1"/>
                <w:iCs w:val="1"/>
                <w:color w:val="auto"/>
              </w:rPr>
              <w:t>Active installed base :</w:t>
            </w: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68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3"/>
          </w:tcPr>
          <w:p>
            <w:pPr>
              <w:spacing w:after="0"/>
              <w:rPr>
                <w:sz w:val="17"/>
                <w:szCs w:val="17"/>
                <w:color w:val="auto"/>
              </w:rPr>
            </w:pPr>
          </w:p>
        </w:tc>
      </w:tr>
      <w:tr>
        <w:trPr>
          <w:trHeight w:val="264"/>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Active installed base for selected instruments</w:t>
            </w:r>
          </w:p>
        </w:tc>
        <w:tc>
          <w:tcPr>
            <w:tcW w:w="43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22"/>
                <w:szCs w:val="22"/>
                <w:b w:val="1"/>
                <w:bCs w:val="1"/>
                <w:color w:val="auto"/>
              </w:rPr>
              <w:t>As of December 31, 2020</w:t>
            </w:r>
          </w:p>
        </w:tc>
      </w:tr>
      <w:tr>
        <w:trPr>
          <w:trHeight w:val="256"/>
        </w:trPr>
        <w:tc>
          <w:tcPr>
            <w:tcW w:w="6860" w:type="dxa"/>
            <w:vAlign w:val="bottom"/>
          </w:tcPr>
          <w:p>
            <w:pPr>
              <w:ind w:left="20"/>
              <w:spacing w:after="0"/>
              <w:rPr>
                <w:sz w:val="20"/>
                <w:szCs w:val="20"/>
                <w:color w:val="auto"/>
              </w:rPr>
            </w:pPr>
            <w:r>
              <w:rPr>
                <w:rFonts w:ascii="Arial" w:cs="Arial" w:eastAsia="Arial" w:hAnsi="Arial"/>
                <w:sz w:val="22"/>
                <w:szCs w:val="22"/>
                <w:color w:val="auto"/>
              </w:rPr>
              <w:t>Mass Cytometry</w:t>
            </w:r>
          </w:p>
        </w:tc>
        <w:tc>
          <w:tcPr>
            <w:tcW w:w="1920" w:type="dxa"/>
            <w:vAlign w:val="bottom"/>
          </w:tcPr>
          <w:p>
            <w:pPr>
              <w:spacing w:after="0"/>
              <w:rPr>
                <w:sz w:val="22"/>
                <w:szCs w:val="22"/>
                <w:color w:val="auto"/>
              </w:rPr>
            </w:pPr>
          </w:p>
        </w:tc>
        <w:tc>
          <w:tcPr>
            <w:tcW w:w="1320" w:type="dxa"/>
            <w:vAlign w:val="bottom"/>
          </w:tcPr>
          <w:p>
            <w:pPr>
              <w:jc w:val="right"/>
              <w:ind w:right="212"/>
              <w:spacing w:after="0"/>
              <w:rPr>
                <w:sz w:val="20"/>
                <w:szCs w:val="20"/>
                <w:color w:val="auto"/>
              </w:rPr>
            </w:pPr>
            <w:r>
              <w:rPr>
                <w:rFonts w:ascii="Arial" w:cs="Arial" w:eastAsia="Arial" w:hAnsi="Arial"/>
                <w:sz w:val="22"/>
                <w:szCs w:val="22"/>
                <w:color w:val="auto"/>
              </w:rPr>
              <w:t>328</w:t>
            </w:r>
          </w:p>
        </w:tc>
        <w:tc>
          <w:tcPr>
            <w:tcW w:w="1140" w:type="dxa"/>
            <w:vAlign w:val="bottom"/>
          </w:tcPr>
          <w:p>
            <w:pPr>
              <w:spacing w:after="0"/>
              <w:rPr>
                <w:sz w:val="22"/>
                <w:szCs w:val="22"/>
                <w:color w:val="auto"/>
              </w:rPr>
            </w:pPr>
          </w:p>
        </w:tc>
      </w:tr>
      <w:tr>
        <w:trPr>
          <w:trHeight w:val="270"/>
        </w:trPr>
        <w:tc>
          <w:tcPr>
            <w:tcW w:w="6860" w:type="dxa"/>
            <w:vAlign w:val="bottom"/>
          </w:tcPr>
          <w:p>
            <w:pPr>
              <w:ind w:left="420"/>
              <w:spacing w:after="0"/>
              <w:rPr>
                <w:sz w:val="20"/>
                <w:szCs w:val="20"/>
                <w:color w:val="auto"/>
              </w:rPr>
            </w:pPr>
            <w:r>
              <w:rPr>
                <w:rFonts w:ascii="Arial" w:cs="Arial" w:eastAsia="Arial" w:hAnsi="Arial"/>
                <w:sz w:val="22"/>
                <w:szCs w:val="22"/>
                <w:color w:val="auto"/>
              </w:rPr>
              <w:t>Imaging-enabled instruments</w:t>
            </w:r>
          </w:p>
        </w:tc>
        <w:tc>
          <w:tcPr>
            <w:tcW w:w="1920" w:type="dxa"/>
            <w:vAlign w:val="bottom"/>
          </w:tcPr>
          <w:p>
            <w:pPr>
              <w:spacing w:after="0"/>
              <w:rPr>
                <w:sz w:val="23"/>
                <w:szCs w:val="23"/>
                <w:color w:val="auto"/>
              </w:rPr>
            </w:pP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102*</w:t>
            </w:r>
          </w:p>
        </w:tc>
        <w:tc>
          <w:tcPr>
            <w:tcW w:w="1140" w:type="dxa"/>
            <w:vAlign w:val="bottom"/>
          </w:tcPr>
          <w:p>
            <w:pPr>
              <w:spacing w:after="0"/>
              <w:rPr>
                <w:sz w:val="23"/>
                <w:szCs w:val="23"/>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22"/>
                <w:szCs w:val="22"/>
                <w:color w:val="auto"/>
              </w:rPr>
              <w:t>Biomark™ generating patient testing results</w:t>
            </w:r>
          </w:p>
        </w:tc>
        <w:tc>
          <w:tcPr>
            <w:tcW w:w="1920" w:type="dxa"/>
            <w:vAlign w:val="bottom"/>
          </w:tcPr>
          <w:p>
            <w:pPr>
              <w:spacing w:after="0"/>
              <w:rPr>
                <w:sz w:val="23"/>
                <w:szCs w:val="23"/>
                <w:color w:val="auto"/>
              </w:rPr>
            </w:pPr>
          </w:p>
        </w:tc>
        <w:tc>
          <w:tcPr>
            <w:tcW w:w="1320" w:type="dxa"/>
            <w:vAlign w:val="bottom"/>
          </w:tcPr>
          <w:p>
            <w:pPr>
              <w:jc w:val="right"/>
              <w:ind w:right="212"/>
              <w:spacing w:after="0"/>
              <w:rPr>
                <w:sz w:val="20"/>
                <w:szCs w:val="20"/>
                <w:color w:val="auto"/>
              </w:rPr>
            </w:pPr>
            <w:r>
              <w:rPr>
                <w:rFonts w:ascii="Arial" w:cs="Arial" w:eastAsia="Arial" w:hAnsi="Arial"/>
                <w:sz w:val="22"/>
                <w:szCs w:val="22"/>
                <w:color w:val="auto"/>
              </w:rPr>
              <w:t>30*</w:t>
            </w:r>
          </w:p>
        </w:tc>
        <w:tc>
          <w:tcPr>
            <w:tcW w:w="1140" w:type="dxa"/>
            <w:vAlign w:val="bottom"/>
          </w:tcPr>
          <w:p>
            <w:pPr>
              <w:spacing w:after="0"/>
              <w:rPr>
                <w:sz w:val="23"/>
                <w:szCs w:val="23"/>
                <w:color w:val="auto"/>
              </w:rPr>
            </w:pPr>
          </w:p>
        </w:tc>
      </w:tr>
      <w:tr>
        <w:trPr>
          <w:trHeight w:val="276"/>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Biomark/Biomark HD/EP1™ for other applications</w:t>
            </w: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457</w:t>
            </w:r>
          </w:p>
        </w:tc>
        <w:tc>
          <w:tcPr>
            <w:tcW w:w="1140" w:type="dxa"/>
            <w:vAlign w:val="bottom"/>
            <w:tcBorders>
              <w:bottom w:val="single" w:sz="8" w:color="auto"/>
            </w:tcBorders>
          </w:tcPr>
          <w:p>
            <w:pPr>
              <w:spacing w:after="0"/>
              <w:rPr>
                <w:sz w:val="24"/>
                <w:szCs w:val="24"/>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*Subset of Mass Cytometry and Biomark instrument totals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2021 Guidance</w:t>
      </w:r>
    </w:p>
    <w:p>
      <w:pPr>
        <w:spacing w:after="0" w:line="212" w:lineRule="exact"/>
        <w:rPr>
          <w:sz w:val="20"/>
          <w:szCs w:val="20"/>
          <w:color w:val="auto"/>
        </w:rPr>
      </w:pPr>
    </w:p>
    <w:p>
      <w:pPr>
        <w:ind w:left="540" w:right="180"/>
        <w:spacing w:after="0" w:line="239" w:lineRule="auto"/>
        <w:rPr>
          <w:sz w:val="20"/>
          <w:szCs w:val="20"/>
          <w:color w:val="auto"/>
        </w:rPr>
      </w:pPr>
      <w:r>
        <w:rPr>
          <w:rFonts w:ascii="Arial" w:cs="Arial" w:eastAsia="Arial" w:hAnsi="Arial"/>
          <w:sz w:val="22"/>
          <w:szCs w:val="22"/>
          <w:color w:val="auto"/>
        </w:rPr>
        <w:t>Product and service revenue of approximately $140 million to $150 million, or approximately 14 to 22 percent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Other revenue of $4 million to $5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GAAP net loss of $50 million to $54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net loss of $17 million to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Q1 2021 Guidance</w:t>
      </w:r>
    </w:p>
    <w:p>
      <w:pPr>
        <w:spacing w:after="0" w:line="212" w:lineRule="exact"/>
        <w:rPr>
          <w:sz w:val="20"/>
          <w:szCs w:val="20"/>
          <w:color w:val="auto"/>
        </w:rPr>
      </w:pPr>
    </w:p>
    <w:p>
      <w:pPr>
        <w:ind w:left="540" w:right="160"/>
        <w:spacing w:after="0" w:line="239" w:lineRule="auto"/>
        <w:rPr>
          <w:sz w:val="20"/>
          <w:szCs w:val="20"/>
          <w:color w:val="auto"/>
        </w:rPr>
      </w:pPr>
      <w:r>
        <w:rPr>
          <w:rFonts w:ascii="Arial" w:cs="Arial" w:eastAsia="Arial" w:hAnsi="Arial"/>
          <w:sz w:val="22"/>
          <w:szCs w:val="22"/>
          <w:color w:val="auto"/>
        </w:rPr>
        <w:t>Product and service revenue of approximately $29 million to $31 million, or approximately 20 percent to 29 percent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Other revenue of $1 million to $2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Total revenue of approximately $30 million to $33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Fluidigm will host a conference call today, February 10, 2021, at 2:00 p.m. PT, 5:00 p.m. ET, to discuss fourth quarter and full year 2020 financial results and operational progress. Individuals interested in listening to the conference call may do so by dialing the following:</w:t>
      </w:r>
    </w:p>
    <w:p>
      <w:pPr>
        <w:spacing w:after="0" w:line="18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US domestic callers: (877) 556-5248</w:t>
      </w:r>
    </w:p>
    <w:p>
      <w:pPr>
        <w:ind w:left="4080"/>
        <w:spacing w:after="0" w:line="238" w:lineRule="auto"/>
        <w:rPr>
          <w:sz w:val="20"/>
          <w:szCs w:val="20"/>
          <w:color w:val="auto"/>
        </w:rPr>
      </w:pPr>
      <w:r>
        <w:rPr>
          <w:rFonts w:ascii="Arial" w:cs="Arial" w:eastAsia="Arial" w:hAnsi="Arial"/>
          <w:sz w:val="22"/>
          <w:szCs w:val="22"/>
          <w:color w:val="auto"/>
        </w:rPr>
        <w:t>Outside US callers: (720) 545-0029</w:t>
      </w:r>
    </w:p>
    <w:p>
      <w:pPr>
        <w:ind w:left="3820"/>
        <w:spacing w:after="0"/>
        <w:rPr>
          <w:sz w:val="20"/>
          <w:szCs w:val="20"/>
          <w:color w:val="auto"/>
        </w:rPr>
      </w:pPr>
      <w:r>
        <w:rPr>
          <w:rFonts w:ascii="Arial" w:cs="Arial" w:eastAsia="Arial" w:hAnsi="Arial"/>
          <w:sz w:val="22"/>
          <w:szCs w:val="22"/>
          <w:color w:val="auto"/>
        </w:rPr>
        <w:t>Please reference Conference ID: 4664638</w:t>
      </w:r>
    </w:p>
    <w:p>
      <w:pPr>
        <w:spacing w:after="0" w:line="188"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A live webcast of the conference call will be available online from the Investor Relations page of the Company’s website at Events &amp; Presentations. The link will not be active until 1:45 p.m. PT, 4:45 p.m. ET on February 10, 2021.</w:t>
      </w:r>
    </w:p>
    <w:p>
      <w:pPr>
        <w:spacing w:after="0" w:line="105"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After the live webcast, the call will be archived on Fluidigm’s Investor Relations page at investors.fluidigm.com. In addition, a telephone replay of the teleconference will be available approximately 90 minutes after the end of the call.</w:t>
      </w:r>
    </w:p>
    <w:p>
      <w:pPr>
        <w:sectPr>
          <w:pgSz w:w="11900" w:h="16838" w:orient="portrait"/>
          <w:cols w:equalWidth="0" w:num="1">
            <w:col w:w="11240"/>
          </w:cols>
          <w:pgMar w:left="320" w:top="111" w:right="339" w:bottom="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The replay dial-in numbers are: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US domestic callers: (855) 859-2056</w:t>
      </w:r>
    </w:p>
    <w:p>
      <w:pPr>
        <w:jc w:val="center"/>
        <w:ind w:right="60"/>
        <w:spacing w:after="0" w:line="238" w:lineRule="auto"/>
        <w:rPr>
          <w:sz w:val="20"/>
          <w:szCs w:val="20"/>
          <w:color w:val="auto"/>
        </w:rPr>
      </w:pPr>
      <w:r>
        <w:rPr>
          <w:rFonts w:ascii="Arial" w:cs="Arial" w:eastAsia="Arial" w:hAnsi="Arial"/>
          <w:sz w:val="22"/>
          <w:szCs w:val="22"/>
          <w:color w:val="auto"/>
        </w:rPr>
        <w:t>Outside US: (404) 537-3406</w:t>
      </w:r>
    </w:p>
    <w:p>
      <w:pPr>
        <w:jc w:val="center"/>
        <w:ind w:right="-19"/>
        <w:spacing w:after="0"/>
        <w:rPr>
          <w:sz w:val="20"/>
          <w:szCs w:val="20"/>
          <w:color w:val="auto"/>
        </w:rPr>
      </w:pPr>
      <w:r>
        <w:rPr>
          <w:rFonts w:ascii="Arial" w:cs="Arial" w:eastAsia="Arial" w:hAnsi="Arial"/>
          <w:sz w:val="22"/>
          <w:szCs w:val="22"/>
          <w:color w:val="auto"/>
        </w:rPr>
        <w:t>Please reference Conference ID: 4664638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telephone replay will be available until February 17.</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twelve-month periods ended December 31, 2020, and December 31, 2019.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loss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A reconciliation of adjusted guidance measures to corresponding GAAP measures is not available on a forward-looking basis without unreasonable effort due to the uncertainty regarding certain expenses that may be incurred in the future.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revenue growth and opportunities, development and expansion of Fluidigm’s diagnostic business, new product releases, additional collaborations and partnerships, benefits and increasing adoption and utilization of Fluidigm mass cytometry products and technologies, benefits and plans for contractual relationships, regulatory filings and authorizations, adoption of and demand for the Advanta Dx SARS-CoV-2 RT-PCR assay and related Fluidigm microfluidics products, and revenue and net loss guidance for future periods.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the possible loss of key employees, customers, or suppliers;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potential changes in priorities or requirements for Emergency Use Authorizations or other regulatory authorizations or approvals; potential limitations of any Emergency Use Authorization or other regulatory authorizations or approvals; potential changes in the priorities of government agencies; challenges inherent in developing, manufacturing, launching, marketing, and selling new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w:t>
      </w:r>
    </w:p>
    <w:p>
      <w:pPr>
        <w:spacing w:after="0" w:line="18"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affecting Fluidigm's business and operating results is contained in its Annual Report on Form 10-K for the year ended December 31, 2019,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Fluidigm (Nasdaq:FLDM) focuses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1"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 xml:space="preserve">Fluidigm, the Fluidigm logo, Advanta, Biomark, CyTOF, Direct, EP1, Imaging Mass Cytometry, Immune Profiling Assay, and Maxpar are trademarks and/or registered trademarks of Fluidigm Corporation in the United States and/or other countries. All other trademarks are the sole property of their respective owners. The Advanta Dx SARS-CoV-2 RT-PCR Assay is for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Diagnostic Use. It is for Use under Emergency Use Authorization Only. Rx Only. Other Fluidigm products are provided for Research Use Only. Not for use in diagnostic procedures.</w:t>
      </w:r>
    </w:p>
    <w:p>
      <w:pPr>
        <w:sectPr>
          <w:pgSz w:w="11900" w:h="16838" w:orient="portrait"/>
          <w:cols w:equalWidth="0" w:num="1">
            <w:col w:w="11240"/>
          </w:cols>
          <w:pgMar w:left="320" w:top="118" w:right="339" w:bottom="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Available Information</w:t>
      </w:r>
    </w:p>
    <w:p>
      <w:pPr>
        <w:spacing w:after="0" w:line="15"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We use our website (fluidigm.com), investor site (investors.fluidigm.com), corporate Twitter account (@fluidigm),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8" w:lineRule="auto"/>
        <w:rPr>
          <w:sz w:val="20"/>
          <w:szCs w:val="20"/>
          <w:color w:val="auto"/>
        </w:rPr>
      </w:pPr>
      <w:r>
        <w:rPr>
          <w:rFonts w:ascii="Arial" w:cs="Arial" w:eastAsia="Arial" w:hAnsi="Arial"/>
          <w:sz w:val="22"/>
          <w:szCs w:val="22"/>
          <w:color w:val="auto"/>
        </w:rPr>
        <w:t>Agnes Lee</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650 416 7423</w:t>
      </w:r>
    </w:p>
    <w:p>
      <w:pPr>
        <w:spacing w:after="0"/>
        <w:rPr>
          <w:sz w:val="20"/>
          <w:szCs w:val="20"/>
          <w:color w:val="auto"/>
        </w:rPr>
      </w:pPr>
      <w:r>
        <w:rPr>
          <w:rFonts w:ascii="Arial" w:cs="Arial" w:eastAsia="Arial" w:hAnsi="Arial"/>
          <w:sz w:val="22"/>
          <w:szCs w:val="22"/>
          <w:color w:val="auto"/>
        </w:rPr>
        <w:t>agnes.lee@fluidigm.com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color w:val="auto"/>
        </w:rPr>
        <w:t>mark.spearman@fluidigm.com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In thousands, except per share amounts</w:t>
      </w:r>
      <w:r>
        <w:rPr>
          <w:rFonts w:ascii="Arial" w:cs="Arial" w:eastAsia="Arial" w:hAnsi="Arial"/>
          <w:sz w:val="22"/>
          <w:szCs w:val="22"/>
          <w:b w:val="1"/>
          <w:bCs w:val="1"/>
          <w:color w:val="auto"/>
        </w:rPr>
        <w: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00" w:type="dxa"/>
            <w:vAlign w:val="bottom"/>
          </w:tcPr>
          <w:p>
            <w:pPr>
              <w:spacing w:after="0"/>
              <w:rPr>
                <w:sz w:val="21"/>
                <w:szCs w:val="21"/>
                <w:color w:val="auto"/>
              </w:rPr>
            </w:pPr>
          </w:p>
        </w:tc>
        <w:tc>
          <w:tcPr>
            <w:tcW w:w="2400" w:type="dxa"/>
            <w:vAlign w:val="bottom"/>
            <w:gridSpan w:val="4"/>
          </w:tcPr>
          <w:p>
            <w:pPr>
              <w:jc w:val="right"/>
              <w:ind w:right="152"/>
              <w:spacing w:after="0"/>
              <w:rPr>
                <w:sz w:val="20"/>
                <w:szCs w:val="20"/>
                <w:color w:val="auto"/>
              </w:rPr>
            </w:pPr>
            <w:r>
              <w:rPr>
                <w:rFonts w:ascii="Arial" w:cs="Arial" w:eastAsia="Arial" w:hAnsi="Arial"/>
                <w:sz w:val="22"/>
                <w:szCs w:val="22"/>
                <w:b w:val="1"/>
                <w:bCs w:val="1"/>
                <w:color w:val="auto"/>
                <w:w w:val="91"/>
              </w:rPr>
              <w:t>Twelve Months Ended</w:t>
            </w:r>
          </w:p>
        </w:tc>
        <w:tc>
          <w:tcPr>
            <w:tcW w:w="0" w:type="dxa"/>
            <w:vAlign w:val="bottom"/>
          </w:tcPr>
          <w:p>
            <w:pPr>
              <w:spacing w:after="0"/>
              <w:rPr>
                <w:sz w:val="1"/>
                <w:szCs w:val="1"/>
                <w:color w:val="auto"/>
              </w:rPr>
            </w:pPr>
          </w:p>
        </w:tc>
      </w:tr>
      <w:tr>
        <w:trPr>
          <w:trHeight w:val="282"/>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22"/>
                <w:szCs w:val="22"/>
                <w:b w:val="1"/>
                <w:bCs w:val="1"/>
                <w:color w:val="auto"/>
                <w:w w:val="88"/>
              </w:rPr>
              <w:t>December 31,</w:t>
            </w:r>
          </w:p>
        </w:tc>
        <w:tc>
          <w:tcPr>
            <w:tcW w:w="200" w:type="dxa"/>
            <w:vAlign w:val="bottom"/>
          </w:tcPr>
          <w:p>
            <w:pPr>
              <w:spacing w:after="0"/>
              <w:rPr>
                <w:sz w:val="24"/>
                <w:szCs w:val="24"/>
                <w:color w:val="auto"/>
              </w:rPr>
            </w:pPr>
          </w:p>
        </w:tc>
        <w:tc>
          <w:tcPr>
            <w:tcW w:w="2400" w:type="dxa"/>
            <w:vAlign w:val="bottom"/>
            <w:gridSpan w:val="4"/>
          </w:tcPr>
          <w:p>
            <w:pPr>
              <w:jc w:val="right"/>
              <w:ind w:right="55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920" w:type="dxa"/>
            <w:vAlign w:val="bottom"/>
            <w:vMerge w:val="restart"/>
          </w:tcPr>
          <w:p>
            <w:pPr>
              <w:spacing w:after="0"/>
              <w:rPr>
                <w:sz w:val="20"/>
                <w:szCs w:val="20"/>
                <w:color w:val="auto"/>
              </w:rPr>
            </w:pPr>
            <w:r>
              <w:rPr>
                <w:rFonts w:ascii="Arial" w:cs="Arial" w:eastAsia="Arial" w:hAnsi="Arial"/>
                <w:sz w:val="22"/>
                <w:szCs w:val="22"/>
                <w:color w:val="auto"/>
              </w:rPr>
              <w:t>Revenue:</w:t>
            </w:r>
          </w:p>
        </w:tc>
        <w:tc>
          <w:tcPr>
            <w:tcW w:w="2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47"/>
        </w:trPr>
        <w:tc>
          <w:tcPr>
            <w:tcW w:w="5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920" w:type="dxa"/>
            <w:vAlign w:val="bottom"/>
          </w:tcPr>
          <w:p>
            <w:pPr>
              <w:ind w:left="400"/>
              <w:spacing w:after="0"/>
              <w:rPr>
                <w:sz w:val="20"/>
                <w:szCs w:val="20"/>
                <w:color w:val="auto"/>
              </w:rPr>
            </w:pPr>
            <w:r>
              <w:rPr>
                <w:rFonts w:ascii="Arial" w:cs="Arial" w:eastAsia="Arial" w:hAnsi="Arial"/>
                <w:sz w:val="22"/>
                <w:szCs w:val="22"/>
                <w:color w:val="auto"/>
              </w:rPr>
              <w:t>Product revenue</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34,348</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26,688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99,944</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95,416</w:t>
            </w:r>
          </w:p>
        </w:tc>
        <w:tc>
          <w:tcPr>
            <w:tcW w:w="0" w:type="dxa"/>
            <w:vAlign w:val="bottom"/>
          </w:tcPr>
          <w:p>
            <w:pPr>
              <w:spacing w:after="0"/>
              <w:rPr>
                <w:sz w:val="1"/>
                <w:szCs w:val="1"/>
                <w:color w:val="auto"/>
              </w:rPr>
            </w:pPr>
          </w:p>
        </w:tc>
      </w:tr>
      <w:tr>
        <w:trPr>
          <w:trHeight w:val="274"/>
        </w:trPr>
        <w:tc>
          <w:tcPr>
            <w:tcW w:w="5920" w:type="dxa"/>
            <w:vAlign w:val="bottom"/>
          </w:tcPr>
          <w:p>
            <w:pPr>
              <w:ind w:left="400"/>
              <w:spacing w:after="0"/>
              <w:rPr>
                <w:sz w:val="20"/>
                <w:szCs w:val="20"/>
                <w:color w:val="auto"/>
              </w:rPr>
            </w:pPr>
            <w:r>
              <w:rPr>
                <w:rFonts w:ascii="Arial" w:cs="Arial" w:eastAsia="Arial" w:hAnsi="Arial"/>
                <w:sz w:val="22"/>
                <w:szCs w:val="22"/>
                <w:color w:val="auto"/>
              </w:rPr>
              <w:t>Service revenue</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6,122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5,402</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22,579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21,277</w:t>
            </w:r>
          </w:p>
        </w:tc>
        <w:tc>
          <w:tcPr>
            <w:tcW w:w="0" w:type="dxa"/>
            <w:vAlign w:val="bottom"/>
          </w:tcPr>
          <w:p>
            <w:pPr>
              <w:spacing w:after="0"/>
              <w:rPr>
                <w:sz w:val="1"/>
                <w:szCs w:val="1"/>
                <w:color w:val="auto"/>
              </w:rPr>
            </w:pPr>
          </w:p>
        </w:tc>
      </w:tr>
      <w:tr>
        <w:trPr>
          <w:trHeight w:val="259"/>
        </w:trPr>
        <w:tc>
          <w:tcPr>
            <w:tcW w:w="5920" w:type="dxa"/>
            <w:vAlign w:val="bottom"/>
          </w:tcPr>
          <w:p>
            <w:pPr>
              <w:ind w:left="200"/>
              <w:spacing w:after="0"/>
              <w:rPr>
                <w:sz w:val="20"/>
                <w:szCs w:val="20"/>
                <w:color w:val="auto"/>
              </w:rPr>
            </w:pPr>
            <w:r>
              <w:rPr>
                <w:rFonts w:ascii="Arial" w:cs="Arial" w:eastAsia="Arial" w:hAnsi="Arial"/>
                <w:sz w:val="22"/>
                <w:szCs w:val="22"/>
                <w:color w:val="auto"/>
              </w:rPr>
              <w:t>Product and service revenue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40,470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32,090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122,523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116,693</w:t>
            </w:r>
          </w:p>
        </w:tc>
        <w:tc>
          <w:tcPr>
            <w:tcW w:w="0" w:type="dxa"/>
            <w:vAlign w:val="bottom"/>
          </w:tcPr>
          <w:p>
            <w:pPr>
              <w:spacing w:after="0"/>
              <w:rPr>
                <w:sz w:val="1"/>
                <w:szCs w:val="1"/>
                <w:color w:val="auto"/>
              </w:rPr>
            </w:pPr>
          </w:p>
        </w:tc>
      </w:tr>
      <w:tr>
        <w:trPr>
          <w:trHeight w:val="274"/>
        </w:trPr>
        <w:tc>
          <w:tcPr>
            <w:tcW w:w="5920" w:type="dxa"/>
            <w:vAlign w:val="bottom"/>
          </w:tcPr>
          <w:p>
            <w:pPr>
              <w:ind w:left="200"/>
              <w:spacing w:after="0"/>
              <w:rPr>
                <w:sz w:val="20"/>
                <w:szCs w:val="20"/>
                <w:color w:val="auto"/>
              </w:rPr>
            </w:pPr>
            <w:r>
              <w:rPr>
                <w:rFonts w:ascii="Arial" w:cs="Arial" w:eastAsia="Arial" w:hAnsi="Arial"/>
                <w:sz w:val="22"/>
                <w:szCs w:val="22"/>
                <w:color w:val="auto"/>
              </w:rPr>
              <w:t>Other revenue (Note 1)</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4,138</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15,621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550</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Arial" w:cs="Arial" w:eastAsia="Arial" w:hAnsi="Arial"/>
                <w:sz w:val="22"/>
                <w:szCs w:val="22"/>
                <w:color w:val="auto"/>
              </w:rPr>
              <w:t>Total revenue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44,608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32,440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138,144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117,243</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Costs and expenses: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22"/>
                <w:szCs w:val="22"/>
                <w:color w:val="auto"/>
              </w:rPr>
              <w:t>Cost of product revenue</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15,631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12,452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47,527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45,461</w:t>
            </w:r>
          </w:p>
        </w:tc>
        <w:tc>
          <w:tcPr>
            <w:tcW w:w="0" w:type="dxa"/>
            <w:vAlign w:val="bottom"/>
          </w:tcPr>
          <w:p>
            <w:pPr>
              <w:spacing w:after="0"/>
              <w:rPr>
                <w:sz w:val="1"/>
                <w:szCs w:val="1"/>
                <w:color w:val="auto"/>
              </w:rPr>
            </w:pPr>
          </w:p>
        </w:tc>
      </w:tr>
      <w:tr>
        <w:trPr>
          <w:trHeight w:val="274"/>
        </w:trPr>
        <w:tc>
          <w:tcPr>
            <w:tcW w:w="5920" w:type="dxa"/>
            <w:vAlign w:val="bottom"/>
          </w:tcPr>
          <w:p>
            <w:pPr>
              <w:ind w:left="200"/>
              <w:spacing w:after="0"/>
              <w:rPr>
                <w:sz w:val="20"/>
                <w:szCs w:val="20"/>
                <w:color w:val="auto"/>
              </w:rPr>
            </w:pPr>
            <w:r>
              <w:rPr>
                <w:rFonts w:ascii="Arial" w:cs="Arial" w:eastAsia="Arial" w:hAnsi="Arial"/>
                <w:sz w:val="22"/>
                <w:szCs w:val="22"/>
                <w:color w:val="auto"/>
              </w:rPr>
              <w:t>Cost of service revenue</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2,760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2,100</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7,291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7,503</w:t>
            </w:r>
          </w:p>
        </w:tc>
        <w:tc>
          <w:tcPr>
            <w:tcW w:w="0" w:type="dxa"/>
            <w:vAlign w:val="bottom"/>
          </w:tcPr>
          <w:p>
            <w:pPr>
              <w:spacing w:after="0"/>
              <w:rPr>
                <w:sz w:val="1"/>
                <w:szCs w:val="1"/>
                <w:color w:val="auto"/>
              </w:rPr>
            </w:pPr>
          </w:p>
        </w:tc>
      </w:tr>
      <w:tr>
        <w:trPr>
          <w:trHeight w:val="259"/>
        </w:trPr>
        <w:tc>
          <w:tcPr>
            <w:tcW w:w="5920" w:type="dxa"/>
            <w:vAlign w:val="bottom"/>
          </w:tcPr>
          <w:p>
            <w:pPr>
              <w:ind w:left="200"/>
              <w:spacing w:after="0"/>
              <w:rPr>
                <w:sz w:val="20"/>
                <w:szCs w:val="20"/>
                <w:color w:val="auto"/>
              </w:rPr>
            </w:pPr>
            <w:r>
              <w:rPr>
                <w:rFonts w:ascii="Arial" w:cs="Arial" w:eastAsia="Arial" w:hAnsi="Arial"/>
                <w:sz w:val="22"/>
                <w:szCs w:val="22"/>
                <w:color w:val="auto"/>
              </w:rPr>
              <w:t>Cost of product and service revenue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18,391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14,552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54,818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52,964</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22"/>
                <w:szCs w:val="22"/>
                <w:color w:val="auto"/>
              </w:rPr>
              <w:t>Research and development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11,186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8,278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36,461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31,640</w:t>
            </w:r>
          </w:p>
        </w:tc>
        <w:tc>
          <w:tcPr>
            <w:tcW w:w="0" w:type="dxa"/>
            <w:vAlign w:val="bottom"/>
          </w:tcPr>
          <w:p>
            <w:pPr>
              <w:spacing w:after="0"/>
              <w:rPr>
                <w:sz w:val="1"/>
                <w:szCs w:val="1"/>
                <w:color w:val="auto"/>
              </w:rPr>
            </w:pPr>
          </w:p>
        </w:tc>
      </w:tr>
      <w:tr>
        <w:trPr>
          <w:trHeight w:val="274"/>
        </w:trPr>
        <w:tc>
          <w:tcPr>
            <w:tcW w:w="5920" w:type="dxa"/>
            <w:vAlign w:val="bottom"/>
          </w:tcPr>
          <w:p>
            <w:pPr>
              <w:ind w:left="200"/>
              <w:spacing w:after="0"/>
              <w:rPr>
                <w:sz w:val="20"/>
                <w:szCs w:val="20"/>
                <w:color w:val="auto"/>
              </w:rPr>
            </w:pPr>
            <w:r>
              <w:rPr>
                <w:rFonts w:ascii="Arial" w:cs="Arial" w:eastAsia="Arial" w:hAnsi="Arial"/>
                <w:sz w:val="22"/>
                <w:szCs w:val="22"/>
                <w:color w:val="auto"/>
              </w:rPr>
              <w:t>Selling, general and administrative</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31,935</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18,791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97,901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84,478</w:t>
            </w: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61,512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41,621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189,180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169,082</w:t>
            </w:r>
          </w:p>
        </w:tc>
        <w:tc>
          <w:tcPr>
            <w:tcW w:w="0" w:type="dxa"/>
            <w:vAlign w:val="bottom"/>
          </w:tcPr>
          <w:p>
            <w:pPr>
              <w:spacing w:after="0"/>
              <w:rPr>
                <w:sz w:val="1"/>
                <w:szCs w:val="1"/>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22"/>
                <w:szCs w:val="22"/>
                <w:color w:val="auto"/>
              </w:rPr>
              <w:t>Loss from operations</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(16,904)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(51,036)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(51,839)</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Interest expense</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(3,572)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(4,279)</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(12,020)</w:t>
            </w: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Other income, net</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755</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513</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507</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1,433</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(17,039)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(12,331)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(54,101)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(66,705)</w:t>
            </w: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Income tax benefit (expense)</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(987)</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1,915</w:t>
            </w: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Arial" w:cs="Arial" w:eastAsia="Arial" w:hAnsi="Arial"/>
                <w:sz w:val="22"/>
                <w:szCs w:val="22"/>
                <w:color w:val="auto"/>
              </w:rPr>
              <w:t>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(18,026)</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(12,685)</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(53,020)</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(64,790)</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Arial" w:cs="Arial" w:eastAsia="Arial" w:hAnsi="Arial"/>
                <w:sz w:val="22"/>
                <w:szCs w:val="22"/>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20" w:type="dxa"/>
            <w:vAlign w:val="bottom"/>
            <w:vMerge w:val="continue"/>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0"/>
                <w:szCs w:val="20"/>
                <w:color w:val="auto"/>
              </w:rPr>
            </w:pPr>
            <w:r>
              <w:rPr>
                <w:rFonts w:ascii="Arial" w:cs="Arial" w:eastAsia="Arial" w:hAnsi="Arial"/>
                <w:sz w:val="22"/>
                <w:szCs w:val="22"/>
                <w:color w:val="auto"/>
                <w:w w:val="96"/>
              </w:rPr>
              <w:t>Shares used in computing net loss per share, basic and diluted</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74,277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69,706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72,044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66,779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Other revenue includes development revenue, license revenue, royalty revenue, and grant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111" w:right="339" w:bottom="0" w:gutter="0" w:footer="0" w:header="0"/>
        </w:sectPr>
      </w:pPr>
    </w:p>
    <w:bookmarkStart w:id="9" w:name="page10"/>
    <w:bookmarkEnd w:id="9"/>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862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w w:val="95"/>
              </w:rPr>
              <w:t>2019 (1)</w:t>
            </w:r>
          </w:p>
        </w:tc>
        <w:tc>
          <w:tcPr>
            <w:tcW w:w="0" w:type="dxa"/>
            <w:vAlign w:val="bottom"/>
          </w:tcPr>
          <w:p>
            <w:pPr>
              <w:spacing w:after="0"/>
              <w:rPr>
                <w:sz w:val="1"/>
                <w:szCs w:val="1"/>
                <w:color w:val="auto"/>
              </w:rPr>
            </w:pPr>
          </w:p>
        </w:tc>
      </w:tr>
      <w:tr>
        <w:trPr>
          <w:trHeight w:val="247"/>
        </w:trPr>
        <w:tc>
          <w:tcPr>
            <w:tcW w:w="8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620" w:type="dxa"/>
            <w:vAlign w:val="bottom"/>
          </w:tcPr>
          <w:p>
            <w:pPr>
              <w:spacing w:after="0"/>
              <w:rPr>
                <w:sz w:val="20"/>
                <w:szCs w:val="20"/>
                <w:color w:val="auto"/>
              </w:rPr>
            </w:pPr>
            <w:r>
              <w:rPr>
                <w:rFonts w:ascii="Arial" w:cs="Arial" w:eastAsia="Arial" w:hAnsi="Arial"/>
                <w:sz w:val="22"/>
                <w:szCs w:val="22"/>
                <w:color w:val="auto"/>
              </w:rPr>
              <w:t>Current assets: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Cash and cash equivalents (Note 2)</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68,520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21,661</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Short-term investments (Note 2)</w:t>
            </w:r>
          </w:p>
        </w:tc>
        <w:tc>
          <w:tcPr>
            <w:tcW w:w="28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36,978</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Accounts receivable,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25,423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18,981</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Inventories,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19,689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13,884</w:t>
            </w:r>
          </w:p>
        </w:tc>
        <w:tc>
          <w:tcPr>
            <w:tcW w:w="0" w:type="dxa"/>
            <w:vAlign w:val="bottom"/>
          </w:tcPr>
          <w:p>
            <w:pPr>
              <w:spacing w:after="0"/>
              <w:rPr>
                <w:sz w:val="1"/>
                <w:szCs w:val="1"/>
                <w:color w:val="auto"/>
              </w:rPr>
            </w:pPr>
          </w:p>
        </w:tc>
      </w:tr>
      <w:tr>
        <w:trPr>
          <w:trHeight w:val="274"/>
        </w:trPr>
        <w:tc>
          <w:tcPr>
            <w:tcW w:w="8620" w:type="dxa"/>
            <w:vAlign w:val="bottom"/>
          </w:tcPr>
          <w:p>
            <w:pPr>
              <w:ind w:left="400"/>
              <w:spacing w:after="0"/>
              <w:rPr>
                <w:sz w:val="20"/>
                <w:szCs w:val="20"/>
                <w:color w:val="auto"/>
              </w:rPr>
            </w:pPr>
            <w:r>
              <w:rPr>
                <w:rFonts w:ascii="Arial" w:cs="Arial" w:eastAsia="Arial" w:hAnsi="Arial"/>
                <w:sz w:val="22"/>
                <w:szCs w:val="22"/>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4,031</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4,592</w:t>
            </w:r>
          </w:p>
        </w:tc>
        <w:tc>
          <w:tcPr>
            <w:tcW w:w="0" w:type="dxa"/>
            <w:vAlign w:val="bottom"/>
          </w:tcPr>
          <w:p>
            <w:pPr>
              <w:spacing w:after="0"/>
              <w:rPr>
                <w:sz w:val="1"/>
                <w:szCs w:val="1"/>
                <w:color w:val="auto"/>
              </w:rPr>
            </w:pPr>
          </w:p>
        </w:tc>
      </w:tr>
      <w:tr>
        <w:trPr>
          <w:trHeight w:val="259"/>
        </w:trPr>
        <w:tc>
          <w:tcPr>
            <w:tcW w:w="8620" w:type="dxa"/>
            <w:vAlign w:val="bottom"/>
          </w:tcPr>
          <w:p>
            <w:pPr>
              <w:spacing w:after="0"/>
              <w:rPr>
                <w:sz w:val="20"/>
                <w:szCs w:val="20"/>
                <w:color w:val="auto"/>
              </w:rPr>
            </w:pPr>
            <w:r>
              <w:rPr>
                <w:rFonts w:ascii="Arial" w:cs="Arial" w:eastAsia="Arial" w:hAnsi="Arial"/>
                <w:sz w:val="22"/>
                <w:szCs w:val="22"/>
                <w:color w:val="auto"/>
              </w:rPr>
              <w:t>Total current assets</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117,663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96,096</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17,531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8,056</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Operating lease right-of-use asset,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38,114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4,860</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4,680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5,492</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40,206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46,200</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Goodwill</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106,563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Total assets</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264,812</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Current liabilities: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Accounts payable</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9,220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5,152</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Accrued compensation and related benefits</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13,787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5,160</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Operating lease liabilities, current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2,973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1,833</w:t>
            </w:r>
          </w:p>
        </w:tc>
        <w:tc>
          <w:tcPr>
            <w:tcW w:w="0" w:type="dxa"/>
            <w:vAlign w:val="bottom"/>
          </w:tcPr>
          <w:p>
            <w:pPr>
              <w:spacing w:after="0"/>
              <w:rPr>
                <w:sz w:val="1"/>
                <w:szCs w:val="1"/>
                <w:color w:val="auto"/>
              </w:rPr>
            </w:pPr>
          </w:p>
        </w:tc>
      </w:tr>
      <w:tr>
        <w:trPr>
          <w:trHeight w:val="270"/>
        </w:trPr>
        <w:tc>
          <w:tcPr>
            <w:tcW w:w="8620" w:type="dxa"/>
            <w:vAlign w:val="bottom"/>
          </w:tcPr>
          <w:p>
            <w:pPr>
              <w:ind w:left="400"/>
              <w:spacing w:after="0"/>
              <w:rPr>
                <w:sz w:val="20"/>
                <w:szCs w:val="20"/>
                <w:color w:val="auto"/>
              </w:rPr>
            </w:pPr>
            <w:r>
              <w:rPr>
                <w:rFonts w:ascii="Arial" w:cs="Arial" w:eastAsia="Arial" w:hAnsi="Arial"/>
                <w:sz w:val="22"/>
                <w:szCs w:val="22"/>
                <w:color w:val="auto"/>
              </w:rPr>
              <w:t>Other accrued liabilities</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14,794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8,873</w:t>
            </w:r>
          </w:p>
        </w:tc>
        <w:tc>
          <w:tcPr>
            <w:tcW w:w="0" w:type="dxa"/>
            <w:vAlign w:val="bottom"/>
          </w:tcPr>
          <w:p>
            <w:pPr>
              <w:spacing w:after="0"/>
              <w:rPr>
                <w:sz w:val="1"/>
                <w:szCs w:val="1"/>
                <w:color w:val="auto"/>
              </w:rPr>
            </w:pPr>
          </w:p>
        </w:tc>
      </w:tr>
      <w:tr>
        <w:trPr>
          <w:trHeight w:val="274"/>
        </w:trPr>
        <w:tc>
          <w:tcPr>
            <w:tcW w:w="8620" w:type="dxa"/>
            <w:vAlign w:val="bottom"/>
          </w:tcPr>
          <w:p>
            <w:pPr>
              <w:ind w:left="400"/>
              <w:spacing w:after="0"/>
              <w:rPr>
                <w:sz w:val="20"/>
                <w:szCs w:val="20"/>
                <w:color w:val="auto"/>
              </w:rPr>
            </w:pPr>
            <w:r>
              <w:rPr>
                <w:rFonts w:ascii="Arial" w:cs="Arial" w:eastAsia="Arial" w:hAnsi="Arial"/>
                <w:sz w:val="22"/>
                <w:szCs w:val="22"/>
                <w:color w:val="auto"/>
              </w:rPr>
              <w:t>Deferred revenue, current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13,475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11,803</w:t>
            </w:r>
          </w:p>
        </w:tc>
        <w:tc>
          <w:tcPr>
            <w:tcW w:w="0" w:type="dxa"/>
            <w:vAlign w:val="bottom"/>
          </w:tcPr>
          <w:p>
            <w:pPr>
              <w:spacing w:after="0"/>
              <w:rPr>
                <w:sz w:val="1"/>
                <w:szCs w:val="1"/>
                <w:color w:val="auto"/>
              </w:rPr>
            </w:pPr>
          </w:p>
        </w:tc>
      </w:tr>
      <w:tr>
        <w:trPr>
          <w:trHeight w:val="259"/>
        </w:trPr>
        <w:tc>
          <w:tcPr>
            <w:tcW w:w="862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54,249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32,821</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Convertible notes, net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54,224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53,821</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Deferred tax liability</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8,697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11,494</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38,178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4,323</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7,990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8,168</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Deferred grant income, non-current</w:t>
            </w:r>
          </w:p>
        </w:tc>
        <w:tc>
          <w:tcPr>
            <w:tcW w:w="2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21,036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1,333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573</w:t>
            </w:r>
          </w:p>
        </w:tc>
        <w:tc>
          <w:tcPr>
            <w:tcW w:w="0" w:type="dxa"/>
            <w:vAlign w:val="bottom"/>
          </w:tcPr>
          <w:p>
            <w:pPr>
              <w:spacing w:after="0"/>
              <w:rPr>
                <w:sz w:val="1"/>
                <w:szCs w:val="1"/>
                <w:color w:val="auto"/>
              </w:rPr>
            </w:pPr>
          </w:p>
        </w:tc>
      </w:tr>
      <w:tr>
        <w:trPr>
          <w:trHeight w:val="259"/>
        </w:trPr>
        <w:tc>
          <w:tcPr>
            <w:tcW w:w="8620" w:type="dxa"/>
            <w:vAlign w:val="bottom"/>
          </w:tcPr>
          <w:p>
            <w:pPr>
              <w:spacing w:after="0"/>
              <w:rPr>
                <w:sz w:val="20"/>
                <w:szCs w:val="20"/>
                <w:color w:val="auto"/>
              </w:rPr>
            </w:pPr>
            <w:r>
              <w:rPr>
                <w:rFonts w:ascii="Arial" w:cs="Arial" w:eastAsia="Arial" w:hAnsi="Arial"/>
                <w:sz w:val="22"/>
                <w:szCs w:val="22"/>
                <w:color w:val="auto"/>
              </w:rPr>
              <w:t>Total liabilities</w:t>
            </w:r>
          </w:p>
        </w:tc>
        <w:tc>
          <w:tcPr>
            <w:tcW w:w="2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185,707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111,200</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139,050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153,612</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324,757</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264,812</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Arial" w:cs="Arial" w:eastAsia="Arial" w:hAnsi="Arial"/>
                <w:sz w:val="22"/>
                <w:szCs w:val="22"/>
                <w:color w:val="auto"/>
              </w:rPr>
              <w:t>Notes: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(1) Derived from audited consolidated financial statements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w w:val="98"/>
              </w:rPr>
              <w:t>(2) Cash and cash equivalents, available for sale securities and restricted cash consist of:</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68,520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21,661</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Short-term investments</w:t>
            </w:r>
          </w:p>
        </w:tc>
        <w:tc>
          <w:tcPr>
            <w:tcW w:w="28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36,978</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w w:val="96"/>
              </w:rPr>
              <w:t>Restricted cash (included in prepaid and other current assets, and other non-current assets)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2,075</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Total cash and cash equivalents, available for sale securities and restricted cash</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69,536</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60,714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left="8620"/>
        <w:spacing w:after="0"/>
        <w:rPr>
          <w:sz w:val="20"/>
          <w:szCs w:val="20"/>
          <w:color w:val="auto"/>
        </w:rPr>
      </w:pPr>
      <w:r>
        <w:rPr>
          <w:rFonts w:ascii="Arial" w:cs="Arial" w:eastAsia="Arial" w:hAnsi="Arial"/>
          <w:sz w:val="22"/>
          <w:szCs w:val="22"/>
          <w:b w:val="1"/>
          <w:bCs w:val="1"/>
          <w:color w:val="auto"/>
        </w:rPr>
        <w:t>Twelve Months Ended</w:t>
      </w:r>
    </w:p>
    <w:p>
      <w:pPr>
        <w:spacing w:after="0" w:line="14" w:lineRule="exact"/>
        <w:rPr>
          <w:sz w:val="20"/>
          <w:szCs w:val="20"/>
          <w:color w:val="auto"/>
        </w:rPr>
      </w:pPr>
    </w:p>
    <w:p>
      <w:pPr>
        <w:jc w:val="center"/>
        <w:ind w:left="8620"/>
        <w:spacing w:after="0"/>
        <w:rPr>
          <w:sz w:val="20"/>
          <w:szCs w:val="20"/>
          <w:color w:val="auto"/>
        </w:rPr>
      </w:pPr>
      <w:r>
        <w:rPr>
          <w:rFonts w:ascii="Arial" w:cs="Arial" w:eastAsia="Arial" w:hAnsi="Arial"/>
          <w:sz w:val="22"/>
          <w:szCs w:val="22"/>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620" w:type="dxa"/>
            <w:vAlign w:val="bottom"/>
            <w:vMerge w:val="restart"/>
          </w:tcPr>
          <w:p>
            <w:pPr>
              <w:spacing w:after="0"/>
              <w:rPr>
                <w:sz w:val="20"/>
                <w:szCs w:val="20"/>
                <w:color w:val="auto"/>
              </w:rPr>
            </w:pPr>
            <w:r>
              <w:rPr>
                <w:rFonts w:ascii="Arial" w:cs="Arial" w:eastAsia="Arial" w:hAnsi="Arial"/>
                <w:sz w:val="22"/>
                <w:szCs w:val="22"/>
                <w:b w:val="1"/>
                <w:bCs w:val="1"/>
                <w:color w:val="auto"/>
              </w:rPr>
              <w:t>Operating activities</w:t>
            </w: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46"/>
        </w:trPr>
        <w:tc>
          <w:tcPr>
            <w:tcW w:w="8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620" w:type="dxa"/>
            <w:vAlign w:val="bottom"/>
          </w:tcPr>
          <w:p>
            <w:pPr>
              <w:spacing w:after="0"/>
              <w:rPr>
                <w:sz w:val="20"/>
                <w:szCs w:val="20"/>
                <w:color w:val="auto"/>
              </w:rPr>
            </w:pPr>
            <w:r>
              <w:rPr>
                <w:rFonts w:ascii="Arial" w:cs="Arial" w:eastAsia="Arial" w:hAnsi="Arial"/>
                <w:sz w:val="22"/>
                <w:szCs w:val="22"/>
                <w:color w:val="auto"/>
              </w:rPr>
              <w:t>Net loss</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(53,020)</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(64,790)</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4,014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4,605</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14,451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11,393</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11,910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Impairment of intangible</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bl>
    <w:p>
      <w:pPr>
        <w:sectPr>
          <w:pgSz w:w="11900" w:h="16928" w:orient="portrait"/>
          <w:cols w:equalWidth="0" w:num="1">
            <w:col w:w="11220"/>
          </w:cols>
          <w:pgMar w:left="340" w:top="382"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12,020</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Other non-cash items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4,602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3,427</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Change in assets and liabilities, net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2,414</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(13,597)</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(15,417)</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(35,210)</w:t>
            </w:r>
          </w:p>
        </w:tc>
        <w:tc>
          <w:tcPr>
            <w:tcW w:w="0" w:type="dxa"/>
            <w:vAlign w:val="bottom"/>
          </w:tcPr>
          <w:p>
            <w:pPr>
              <w:spacing w:after="0"/>
              <w:rPr>
                <w:sz w:val="1"/>
                <w:szCs w:val="1"/>
                <w:color w:val="auto"/>
              </w:rPr>
            </w:pPr>
          </w:p>
        </w:tc>
      </w:tr>
      <w:tr>
        <w:trPr>
          <w:trHeight w:val="526"/>
        </w:trPr>
        <w:tc>
          <w:tcPr>
            <w:tcW w:w="862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Proceeds from RADx grant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21,036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Acquisition, net of cash acquired</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(5,154)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(62,370)</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Proceeds from sale of investments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5,010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Proceeds from maturities of investments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31,800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25,600</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(12,717)</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(2,531)</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39,975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(39,301)</w:t>
            </w:r>
          </w:p>
        </w:tc>
        <w:tc>
          <w:tcPr>
            <w:tcW w:w="0" w:type="dxa"/>
            <w:vAlign w:val="bottom"/>
          </w:tcPr>
          <w:p>
            <w:pPr>
              <w:spacing w:after="0"/>
              <w:rPr>
                <w:sz w:val="1"/>
                <w:szCs w:val="1"/>
                <w:color w:val="auto"/>
              </w:rPr>
            </w:pPr>
          </w:p>
        </w:tc>
      </w:tr>
      <w:tr>
        <w:trPr>
          <w:trHeight w:val="526"/>
        </w:trPr>
        <w:tc>
          <w:tcPr>
            <w:tcW w:w="862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Proceeds from issuance of common stock, net of commissions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20,226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Proceeds from debt issuance</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55,000</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(51,826)</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Payments of debt and equity issuance cost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(1,888)</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Proceeds from employee equity programs, net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1,504</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20,857</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2,790</w:t>
            </w:r>
          </w:p>
        </w:tc>
        <w:tc>
          <w:tcPr>
            <w:tcW w:w="0" w:type="dxa"/>
            <w:vAlign w:val="bottom"/>
          </w:tcPr>
          <w:p>
            <w:pPr>
              <w:spacing w:after="0"/>
              <w:rPr>
                <w:sz w:val="1"/>
                <w:szCs w:val="1"/>
                <w:color w:val="auto"/>
              </w:rPr>
            </w:pPr>
          </w:p>
        </w:tc>
      </w:tr>
      <w:tr>
        <w:trPr>
          <w:trHeight w:val="526"/>
        </w:trPr>
        <w:tc>
          <w:tcPr>
            <w:tcW w:w="862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45,800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(71,665)</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23,736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23,736</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22"/>
                <w:szCs w:val="22"/>
                <w:color w:val="auto"/>
              </w:rPr>
              <w:t>Cash and cash equivalents, restricted cash and available for sale securities consist of:</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68,520</w:t>
            </w:r>
          </w:p>
        </w:tc>
        <w:tc>
          <w:tcPr>
            <w:tcW w:w="12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21,661</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22"/>
                <w:szCs w:val="22"/>
                <w:color w:val="auto"/>
              </w:rPr>
              <w:t>Short-term investments</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36,978</w:t>
            </w:r>
          </w:p>
        </w:tc>
        <w:tc>
          <w:tcPr>
            <w:tcW w:w="0" w:type="dxa"/>
            <w:vAlign w:val="bottom"/>
          </w:tcPr>
          <w:p>
            <w:pPr>
              <w:spacing w:after="0"/>
              <w:rPr>
                <w:sz w:val="1"/>
                <w:szCs w:val="1"/>
                <w:color w:val="auto"/>
              </w:rPr>
            </w:pPr>
          </w:p>
        </w:tc>
      </w:tr>
      <w:tr>
        <w:trPr>
          <w:trHeight w:val="274"/>
        </w:trPr>
        <w:tc>
          <w:tcPr>
            <w:tcW w:w="8620" w:type="dxa"/>
            <w:vAlign w:val="bottom"/>
          </w:tcPr>
          <w:p>
            <w:pPr>
              <w:spacing w:after="0"/>
              <w:rPr>
                <w:sz w:val="20"/>
                <w:szCs w:val="20"/>
                <w:color w:val="auto"/>
              </w:rPr>
            </w:pPr>
            <w:r>
              <w:rPr>
                <w:rFonts w:ascii="Arial" w:cs="Arial" w:eastAsia="Arial" w:hAnsi="Arial"/>
                <w:sz w:val="22"/>
                <w:szCs w:val="22"/>
                <w:color w:val="auto"/>
                <w:w w:val="96"/>
              </w:rPr>
              <w:t>Restricted cash (included in prepaid and other current assets, and other non-current assets)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2,075</w:t>
            </w:r>
          </w:p>
        </w:tc>
        <w:tc>
          <w:tcPr>
            <w:tcW w:w="0" w:type="dxa"/>
            <w:vAlign w:val="bottom"/>
          </w:tcPr>
          <w:p>
            <w:pPr>
              <w:spacing w:after="0"/>
              <w:rPr>
                <w:sz w:val="1"/>
                <w:szCs w:val="1"/>
                <w:color w:val="auto"/>
              </w:rPr>
            </w:pPr>
          </w:p>
        </w:tc>
      </w:tr>
      <w:tr>
        <w:trPr>
          <w:trHeight w:val="267"/>
        </w:trPr>
        <w:tc>
          <w:tcPr>
            <w:tcW w:w="8620" w:type="dxa"/>
            <w:vAlign w:val="bottom"/>
          </w:tcPr>
          <w:p>
            <w:pPr>
              <w:spacing w:after="0"/>
              <w:rPr>
                <w:sz w:val="20"/>
                <w:szCs w:val="20"/>
                <w:color w:val="auto"/>
              </w:rPr>
            </w:pPr>
            <w:r>
              <w:rPr>
                <w:rFonts w:ascii="Arial" w:cs="Arial" w:eastAsia="Arial" w:hAnsi="Arial"/>
                <w:sz w:val="22"/>
                <w:szCs w:val="22"/>
                <w:color w:val="auto"/>
              </w:rPr>
              <w:t>Total cash and cash equivalents, available for sale securities and restricted cash</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60,714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FLUIDIGM CORPORATION</w:t>
      </w:r>
    </w:p>
    <w:p>
      <w:pPr>
        <w:spacing w:after="0" w:line="27" w:lineRule="exact"/>
        <w:rPr>
          <w:sz w:val="20"/>
          <w:szCs w:val="20"/>
          <w:color w:val="auto"/>
        </w:rPr>
      </w:pPr>
    </w:p>
    <w:p>
      <w:pPr>
        <w:ind w:right="3760"/>
        <w:spacing w:after="0" w:line="256" w:lineRule="auto"/>
        <w:rPr>
          <w:sz w:val="20"/>
          <w:szCs w:val="20"/>
          <w:color w:val="auto"/>
        </w:rPr>
      </w:pPr>
      <w:r>
        <w:rPr>
          <w:rFonts w:ascii="Arial" w:cs="Arial" w:eastAsia="Arial" w:hAnsi="Arial"/>
          <w:sz w:val="22"/>
          <w:szCs w:val="22"/>
          <w:b w:val="1"/>
          <w:bCs w:val="1"/>
          <w:color w:val="auto"/>
        </w:rPr>
        <w:t xml:space="preserve">RECONCILIATION OF GAAP TO NON-GAAP FINANCIAL INFORMATION </w:t>
      </w:r>
      <w:r>
        <w:rPr>
          <w:rFonts w:ascii="Arial" w:cs="Arial" w:eastAsia="Arial" w:hAnsi="Arial"/>
          <w:sz w:val="22"/>
          <w:szCs w:val="22"/>
          <w:b w:val="1"/>
          <w:bCs w:val="1"/>
          <w:i w:val="1"/>
          <w:iCs w:val="1"/>
          <w:color w:val="auto"/>
        </w:rPr>
        <w:t>(In thousands, except per share amounts)</w:t>
      </w:r>
    </w:p>
    <w:p>
      <w:pP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900" w:type="dxa"/>
            <w:vAlign w:val="bottom"/>
            <w:gridSpan w:val="10"/>
          </w:tcPr>
          <w:p>
            <w:pPr>
              <w:ind w:left="1720"/>
              <w:spacing w:after="0"/>
              <w:rPr>
                <w:sz w:val="20"/>
                <w:szCs w:val="20"/>
                <w:color w:val="auto"/>
              </w:rPr>
            </w:pPr>
            <w:r>
              <w:rPr>
                <w:rFonts w:ascii="Arial" w:cs="Arial" w:eastAsia="Arial" w:hAnsi="Arial"/>
                <w:sz w:val="22"/>
                <w:szCs w:val="22"/>
                <w:b w:val="1"/>
                <w:bCs w:val="1"/>
                <w:color w:val="auto"/>
              </w:rPr>
              <w:t>ITEMIZED RECONCILIATION BETWEEN GAAP AND NON-GAAP NET LOSS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40" w:type="dxa"/>
            <w:vAlign w:val="bottom"/>
          </w:tcPr>
          <w:p>
            <w:pPr>
              <w:spacing w:after="0"/>
              <w:rPr>
                <w:sz w:val="24"/>
                <w:szCs w:val="24"/>
                <w:color w:val="auto"/>
              </w:rPr>
            </w:pPr>
          </w:p>
        </w:tc>
        <w:tc>
          <w:tcPr>
            <w:tcW w:w="252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w w:val="93"/>
              </w:rPr>
              <w:t>Twelve Months Ended</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40" w:type="dxa"/>
            <w:vAlign w:val="bottom"/>
          </w:tcPr>
          <w:p>
            <w:pPr>
              <w:spacing w:after="0"/>
              <w:rPr>
                <w:sz w:val="24"/>
                <w:szCs w:val="2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60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526"/>
        </w:trPr>
        <w:tc>
          <w:tcPr>
            <w:tcW w:w="5600" w:type="dxa"/>
            <w:vAlign w:val="bottom"/>
          </w:tcPr>
          <w:p>
            <w:pPr>
              <w:spacing w:after="0"/>
              <w:rPr>
                <w:sz w:val="20"/>
                <w:szCs w:val="20"/>
                <w:color w:val="auto"/>
              </w:rPr>
            </w:pPr>
            <w:r>
              <w:rPr>
                <w:rFonts w:ascii="Arial" w:cs="Arial" w:eastAsia="Arial" w:hAnsi="Arial"/>
                <w:sz w:val="22"/>
                <w:szCs w:val="22"/>
                <w:color w:val="auto"/>
              </w:rPr>
              <w:t>Net loss (GAAP)</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(18,026)</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(12,685)</w:t>
            </w:r>
          </w:p>
        </w:tc>
        <w:tc>
          <w:tcPr>
            <w:tcW w:w="10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(53,020)</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(64,790)</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4,093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3,101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14,451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11,393</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2,981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11,910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1,026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4,014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4,605</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Interest expense (b)</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890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643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3,572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4,279</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6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212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Loss from extinguishment of debt</w:t>
            </w:r>
          </w:p>
        </w:tc>
        <w:tc>
          <w:tcPr>
            <w:tcW w:w="26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3,020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12,020</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Benefit from acquisition related income taxes (d)</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(2,968)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(2,968)</w:t>
            </w: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Net loss (Non-GAAP)</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(9,757)</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(2,262)</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(21,829)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(23,729)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5"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0" w:type="dxa"/>
            <w:vAlign w:val="bottom"/>
          </w:tcPr>
          <w:p>
            <w:pPr>
              <w:ind w:left="200"/>
              <w:spacing w:after="0"/>
              <w:rPr>
                <w:sz w:val="20"/>
                <w:szCs w:val="20"/>
                <w:color w:val="auto"/>
              </w:rPr>
            </w:pPr>
            <w:r>
              <w:rPr>
                <w:rFonts w:ascii="Arial" w:cs="Arial" w:eastAsia="Arial" w:hAnsi="Arial"/>
                <w:sz w:val="22"/>
                <w:szCs w:val="22"/>
                <w:color w:val="auto"/>
              </w:rPr>
              <w:t>basic and diluted (GAAP and Non-GAAP)</w:t>
            </w:r>
          </w:p>
        </w:tc>
        <w:tc>
          <w:tcPr>
            <w:tcW w:w="3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74,277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69,706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72,044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66,779</w:t>
            </w:r>
          </w:p>
        </w:tc>
        <w:tc>
          <w:tcPr>
            <w:tcW w:w="0" w:type="dxa"/>
            <w:vAlign w:val="bottom"/>
          </w:tcPr>
          <w:p>
            <w:pPr>
              <w:spacing w:after="0"/>
              <w:rPr>
                <w:sz w:val="1"/>
                <w:szCs w:val="1"/>
                <w:color w:val="auto"/>
              </w:rPr>
            </w:pPr>
          </w:p>
        </w:tc>
      </w:tr>
      <w:tr>
        <w:trPr>
          <w:trHeight w:val="543"/>
        </w:trPr>
        <w:tc>
          <w:tcPr>
            <w:tcW w:w="560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(0.24)</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(0.74)</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(0.97)</w:t>
            </w: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rPr>
                <w:sz w:val="20"/>
                <w:szCs w:val="20"/>
                <w:color w:val="auto"/>
              </w:rPr>
            </w:pPr>
            <w:r>
              <w:rPr>
                <w:rFonts w:ascii="Arial" w:cs="Arial" w:eastAsia="Arial" w:hAnsi="Arial"/>
                <w:sz w:val="22"/>
                <w:szCs w:val="22"/>
                <w:color w:val="auto"/>
              </w:rPr>
              <w:t>Net loss per share - basic and diluted (Non-GAAP)</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600" w:type="dxa"/>
            <w:vAlign w:val="bottom"/>
            <w:vMerge w:val="continue"/>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(0.13)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(0.30)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(0.36)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40" w:type="dxa"/>
            <w:vAlign w:val="bottom"/>
          </w:tcPr>
          <w:p>
            <w:pPr>
              <w:spacing w:after="0"/>
              <w:rPr>
                <w:sz w:val="21"/>
                <w:szCs w:val="21"/>
                <w:color w:val="auto"/>
              </w:rPr>
            </w:pPr>
          </w:p>
        </w:tc>
        <w:tc>
          <w:tcPr>
            <w:tcW w:w="252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w w:val="93"/>
              </w:rPr>
              <w:t>Twelve Months Ended</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40" w:type="dxa"/>
            <w:vAlign w:val="bottom"/>
          </w:tcPr>
          <w:p>
            <w:pPr>
              <w:spacing w:after="0"/>
              <w:rPr>
                <w:sz w:val="24"/>
                <w:szCs w:val="2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600" w:type="dxa"/>
            <w:vAlign w:val="bottom"/>
            <w:vMerge w:val="restart"/>
          </w:tcPr>
          <w:p>
            <w:pPr>
              <w:spacing w:after="0"/>
              <w:rPr>
                <w:sz w:val="20"/>
                <w:szCs w:val="20"/>
                <w:color w:val="auto"/>
              </w:rPr>
            </w:pPr>
            <w:r>
              <w:rPr>
                <w:rFonts w:ascii="Arial" w:cs="Arial" w:eastAsia="Arial" w:hAnsi="Arial"/>
                <w:sz w:val="22"/>
                <w:szCs w:val="22"/>
                <w:color w:val="auto"/>
              </w:rPr>
              <w:t>Product and service gross profit (GAAP)</w:t>
            </w:r>
          </w:p>
        </w:tc>
        <w:tc>
          <w:tcPr>
            <w:tcW w:w="2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22,079</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17,538</w:t>
            </w:r>
          </w:p>
        </w:tc>
        <w:tc>
          <w:tcPr>
            <w:tcW w:w="100" w:type="dxa"/>
            <w:vAlign w:val="bottom"/>
          </w:tcPr>
          <w:p>
            <w:pPr>
              <w:spacing w:after="0"/>
              <w:rPr>
                <w:sz w:val="22"/>
                <w:szCs w:val="22"/>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67,705</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63,729</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11,200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415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1,630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1,714</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100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95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412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423</w:t>
            </w: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Product and service gross profit (Non-GAAP)</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25,394</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20,832</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80,947</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77,066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Product and service margin percentage (GAAP)</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54.6%</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Product and service margin percentage (Non-GAAP)</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66.0%</w:t>
            </w:r>
          </w:p>
        </w:tc>
        <w:tc>
          <w:tcPr>
            <w:tcW w:w="0" w:type="dxa"/>
            <w:vAlign w:val="bottom"/>
          </w:tcPr>
          <w:p>
            <w:pPr>
              <w:spacing w:after="0"/>
              <w:rPr>
                <w:sz w:val="1"/>
                <w:szCs w:val="1"/>
                <w:color w:val="auto"/>
              </w:rPr>
            </w:pPr>
          </w:p>
        </w:tc>
      </w:tr>
      <w:tr>
        <w:trPr>
          <w:trHeight w:val="810"/>
        </w:trPr>
        <w:tc>
          <w:tcPr>
            <w:tcW w:w="10260" w:type="dxa"/>
            <w:vAlign w:val="bottom"/>
            <w:gridSpan w:val="11"/>
          </w:tcPr>
          <w:p>
            <w:pPr>
              <w:ind w:left="1020"/>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40" w:type="dxa"/>
            <w:vAlign w:val="bottom"/>
          </w:tcPr>
          <w:p>
            <w:pPr>
              <w:spacing w:after="0"/>
              <w:rPr>
                <w:sz w:val="24"/>
                <w:szCs w:val="24"/>
                <w:color w:val="auto"/>
              </w:rPr>
            </w:pPr>
          </w:p>
        </w:tc>
        <w:tc>
          <w:tcPr>
            <w:tcW w:w="252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w w:val="93"/>
              </w:rPr>
              <w:t>Twelve Months Ended</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40" w:type="dxa"/>
            <w:vAlign w:val="bottom"/>
          </w:tcPr>
          <w:p>
            <w:pPr>
              <w:spacing w:after="0"/>
              <w:rPr>
                <w:sz w:val="24"/>
                <w:szCs w:val="2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600" w:type="dxa"/>
            <w:vAlign w:val="bottom"/>
            <w:vMerge w:val="restart"/>
          </w:tcPr>
          <w:p>
            <w:pPr>
              <w:spacing w:after="0"/>
              <w:rPr>
                <w:sz w:val="20"/>
                <w:szCs w:val="20"/>
                <w:color w:val="auto"/>
              </w:rPr>
            </w:pPr>
            <w:r>
              <w:rPr>
                <w:rFonts w:ascii="Arial" w:cs="Arial" w:eastAsia="Arial" w:hAnsi="Arial"/>
                <w:sz w:val="22"/>
                <w:szCs w:val="22"/>
                <w:color w:val="auto"/>
              </w:rPr>
              <w:t>Operating expenses (GAAP)</w:t>
            </w:r>
          </w:p>
        </w:tc>
        <w:tc>
          <w:tcPr>
            <w:tcW w:w="2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43,121</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27,069</w:t>
            </w:r>
          </w:p>
        </w:tc>
        <w:tc>
          <w:tcPr>
            <w:tcW w:w="100" w:type="dxa"/>
            <w:vAlign w:val="bottom"/>
          </w:tcPr>
          <w:p>
            <w:pPr>
              <w:spacing w:after="0"/>
              <w:rPr>
                <w:sz w:val="22"/>
                <w:szCs w:val="22"/>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134,362</w:t>
            </w:r>
          </w:p>
        </w:tc>
        <w:tc>
          <w:tcPr>
            <w:tcW w:w="120" w:type="dxa"/>
            <w:vAlign w:val="bottom"/>
          </w:tcPr>
          <w:p>
            <w:pPr>
              <w:spacing w:after="0"/>
              <w:rPr>
                <w:sz w:val="22"/>
                <w:szCs w:val="22"/>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92"/>
              <w:spacing w:after="0"/>
              <w:rPr>
                <w:sz w:val="20"/>
                <w:szCs w:val="20"/>
                <w:color w:val="auto"/>
              </w:rPr>
            </w:pPr>
            <w:r>
              <w:rPr>
                <w:rFonts w:ascii="Arial" w:cs="Arial" w:eastAsia="Arial" w:hAnsi="Arial"/>
                <w:sz w:val="22"/>
                <w:szCs w:val="22"/>
                <w:color w:val="auto"/>
                <w:w w:val="93"/>
              </w:rPr>
              <w:t>116,118</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Stock-based compensation expense (f)</w:t>
            </w:r>
          </w:p>
        </w:tc>
        <w:tc>
          <w:tcPr>
            <w:tcW w:w="2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(3,993)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(3,006)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(14,039)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(10,970)</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2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(792)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(3,094)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(2,891)</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6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(212)</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38,315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22,861</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117,017</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3"/>
              </w:rPr>
              <w:t>101,725</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40" w:type="dxa"/>
            <w:vAlign w:val="bottom"/>
          </w:tcPr>
          <w:p>
            <w:pPr>
              <w:spacing w:after="0"/>
              <w:rPr>
                <w:sz w:val="21"/>
                <w:szCs w:val="21"/>
                <w:color w:val="auto"/>
              </w:rPr>
            </w:pPr>
          </w:p>
        </w:tc>
        <w:tc>
          <w:tcPr>
            <w:tcW w:w="252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w w:val="93"/>
              </w:rPr>
              <w:t>Twelve Months Ended</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40" w:type="dxa"/>
            <w:vAlign w:val="bottom"/>
          </w:tcPr>
          <w:p>
            <w:pPr>
              <w:spacing w:after="0"/>
              <w:rPr>
                <w:sz w:val="24"/>
                <w:szCs w:val="2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600" w:type="dxa"/>
            <w:vAlign w:val="bottom"/>
            <w:vMerge w:val="restart"/>
          </w:tcPr>
          <w:p>
            <w:pPr>
              <w:spacing w:after="0"/>
              <w:rPr>
                <w:sz w:val="20"/>
                <w:szCs w:val="20"/>
                <w:color w:val="auto"/>
              </w:rPr>
            </w:pPr>
            <w:r>
              <w:rPr>
                <w:rFonts w:ascii="Arial" w:cs="Arial" w:eastAsia="Arial" w:hAnsi="Arial"/>
                <w:sz w:val="22"/>
                <w:szCs w:val="22"/>
                <w:color w:val="auto"/>
              </w:rPr>
              <w:t>Loss from operations (GAAP)</w:t>
            </w:r>
          </w:p>
        </w:tc>
        <w:tc>
          <w:tcPr>
            <w:tcW w:w="2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56"/>
        </w:trPr>
        <w:tc>
          <w:tcPr>
            <w:tcW w:w="5600" w:type="dxa"/>
            <w:vAlign w:val="bottom"/>
            <w:vMerge w:val="continue"/>
          </w:tcPr>
          <w:p>
            <w:pPr>
              <w:spacing w:after="0"/>
              <w:rPr>
                <w:sz w:val="22"/>
                <w:szCs w:val="22"/>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(16,904)</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(9,181)</w:t>
            </w:r>
          </w:p>
        </w:tc>
        <w:tc>
          <w:tcPr>
            <w:tcW w:w="100" w:type="dxa"/>
            <w:vAlign w:val="bottom"/>
          </w:tcPr>
          <w:p>
            <w:pPr>
              <w:spacing w:after="0"/>
              <w:rPr>
                <w:sz w:val="22"/>
                <w:szCs w:val="22"/>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(51,036)</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(51,839)</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4,093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3,101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14,451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11,393</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2,981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11,910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1,026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4,014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4,605</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6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(8,783)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(1,679)</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(20,449)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(24,109)</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impairment of intangible no longer used in our product lines</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280" w:hanging="279"/>
        <w:spacing w:after="0"/>
        <w:tabs>
          <w:tab w:leader="none" w:pos="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220"/>
      </w:cols>
      <w:pgMar w:left="3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2021-02-10T15:20:55Z</dcterms:created>
  <dcterms:modified xsi:type="dcterms:W3CDTF">2021-02-10T15:20:55Z</dcterms:modified>
</cp:coreProperties>
</file>