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Smith William Maxwell</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FLUIDIGM CORPORATION</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2"/>
          <w:szCs w:val="22"/>
          <w:color w:val="0000EE"/>
        </w:rPr>
      </w:pPr>
      <w:hyperlink r:id="rId13">
        <w:r>
          <w:rPr>
            <w:rFonts w:ascii="Times New Roman" w:cs="Times New Roman" w:eastAsia="Times New Roman" w:hAnsi="Times New Roman"/>
            <w:sz w:val="22"/>
            <w:szCs w:val="22"/>
            <w:u w:val="single" w:color="auto"/>
            <w:color w:val="0000EE"/>
          </w:rPr>
          <w:t>FLUIDIGM CORP</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FLDM</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200" w:lineRule="exact"/>
        <w:rPr>
          <w:sz w:val="24"/>
          <w:szCs w:val="24"/>
          <w:color w:val="auto"/>
        </w:rPr>
      </w:pPr>
    </w:p>
    <w:p>
      <w:pPr>
        <w:spacing w:after="0" w:line="22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12/27/2012</w:t>
      </w:r>
    </w:p>
    <w:p>
      <w:pPr>
        <w:spacing w:after="0" w:line="20" w:lineRule="exact"/>
        <w:rPr>
          <w:sz w:val="24"/>
          <w:szCs w:val="24"/>
          <w:color w:val="auto"/>
        </w:rPr>
      </w:pPr>
      <w:r>
        <w:rPr>
          <w:sz w:val="24"/>
          <w:szCs w:val="24"/>
          <w:color w:val="auto"/>
        </w:rPr>
        <w:br w:type="column"/>
      </w:r>
    </w:p>
    <w:p>
      <w:pPr>
        <w:ind w:left="3" w:right="5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 w:lineRule="exact"/>
        <w:rPr>
          <w:sz w:val="24"/>
          <w:szCs w:val="24"/>
          <w:color w:val="auto"/>
        </w:rPr>
      </w:pPr>
    </w:p>
    <w:tbl>
      <w:tblPr>
        <w:tblLayout w:type="fixed"/>
        <w:tblInd w:w="20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71"/>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4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1183"/>
        <w:spacing w:after="0"/>
        <w:rPr>
          <w:sz w:val="20"/>
          <w:szCs w:val="20"/>
          <w:color w:val="auto"/>
        </w:rPr>
      </w:pPr>
      <w:r>
        <w:rPr>
          <w:rFonts w:ascii="Times New Roman" w:cs="Times New Roman" w:eastAsia="Times New Roman" w:hAnsi="Times New Roman"/>
          <w:sz w:val="18"/>
          <w:szCs w:val="18"/>
          <w:color w:val="0000FF"/>
        </w:rPr>
        <w:t>See Remarks</w:t>
      </w:r>
    </w:p>
    <w:p>
      <w:pPr>
        <w:spacing w:after="0" w:line="560" w:lineRule="exact"/>
        <w:rPr>
          <w:sz w:val="24"/>
          <w:szCs w:val="24"/>
          <w:color w:val="auto"/>
        </w:rPr>
      </w:pPr>
    </w:p>
    <w:p>
      <w:pPr>
        <w:sectPr>
          <w:pgSz w:w="11900" w:h="16838" w:orient="portrait"/>
          <w:cols w:equalWidth="0" w:num="3">
            <w:col w:w="3360" w:space="720"/>
            <w:col w:w="3257" w:space="720"/>
            <w:col w:w="3363"/>
          </w:cols>
          <w:pgMar w:left="240" w:top="220" w:right="239" w:bottom="1440" w:gutter="0" w:footer="0" w:header="0"/>
          <w:type w:val="continuous"/>
        </w:sectPr>
      </w:pPr>
    </w:p>
    <w:p>
      <w:pPr>
        <w:spacing w:after="0" w:line="135"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SOUTH SAN</w:t>
            </w:r>
          </w:p>
        </w:tc>
        <w:tc>
          <w:tcPr>
            <w:tcW w:w="9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0000FF"/>
              </w:rPr>
              <w:t>CA</w:t>
            </w:r>
          </w:p>
        </w:tc>
        <w:tc>
          <w:tcPr>
            <w:tcW w:w="168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0000FF"/>
              </w:rPr>
              <w:t>94080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FRANCISCO</w:t>
            </w:r>
          </w:p>
        </w:tc>
        <w:tc>
          <w:tcPr>
            <w:tcW w:w="98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25" w:lineRule="auto"/>
        <w:tabs>
          <w:tab w:leader="none" w:pos="452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Person</w:t>
      </w:r>
    </w:p>
    <w:p>
      <w:pPr>
        <w:spacing w:after="0" w:line="494" w:lineRule="exact"/>
        <w:rPr>
          <w:sz w:val="24"/>
          <w:szCs w:val="24"/>
          <w:color w:val="auto"/>
        </w:rPr>
      </w:pPr>
    </w:p>
    <w:p>
      <w:pPr>
        <w:sectPr>
          <w:pgSz w:w="11900" w:h="16838" w:orient="portrait"/>
          <w:cols w:equalWidth="0" w:num="2">
            <w:col w:w="3920" w:space="160"/>
            <w:col w:w="7340"/>
          </w:cols>
          <w:pgMar w:left="240" w:top="22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8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4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or</w:t>
            </w: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vMerge w:val="continue"/>
          </w:tcPr>
          <w:p>
            <w:pPr>
              <w:spacing w:after="0"/>
              <w:rPr>
                <w:sz w:val="11"/>
                <w:szCs w:val="11"/>
                <w:color w:val="auto"/>
              </w:rPr>
            </w:pP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8"/>
                <w:szCs w:val="18"/>
                <w:color w:val="0000FF"/>
              </w:rPr>
              <w:t>12/27/2012</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7"/>
                <w:szCs w:val="27"/>
                <w:color w:val="0000FF"/>
                <w:vertAlign w:val="subscript"/>
              </w:rPr>
              <w:t>S</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jc w:val="right"/>
              <w:ind w:right="152"/>
              <w:spacing w:after="0"/>
              <w:rPr>
                <w:sz w:val="20"/>
                <w:szCs w:val="20"/>
                <w:color w:val="auto"/>
              </w:rPr>
            </w:pPr>
            <w:r>
              <w:rPr>
                <w:rFonts w:ascii="Times New Roman" w:cs="Times New Roman" w:eastAsia="Times New Roman" w:hAnsi="Times New Roman"/>
                <w:sz w:val="18"/>
                <w:szCs w:val="18"/>
                <w:color w:val="0000FF"/>
              </w:rPr>
              <w:t>2,252</w:t>
            </w:r>
          </w:p>
        </w:tc>
        <w:tc>
          <w:tcPr>
            <w:tcW w:w="5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8"/>
                <w:szCs w:val="18"/>
                <w:color w:val="0000FF"/>
              </w:rPr>
              <w:t>D</w:t>
            </w:r>
          </w:p>
        </w:tc>
        <w:tc>
          <w:tcPr>
            <w:tcW w:w="940" w:type="dxa"/>
            <w:vAlign w:val="bottom"/>
            <w:tcBorders>
              <w:bottom w:val="single" w:sz="8" w:color="2C2C2C"/>
            </w:tcBorders>
            <w:gridSpan w:val="3"/>
          </w:tcPr>
          <w:p>
            <w:pPr>
              <w:jc w:val="center"/>
              <w:ind w:right="139"/>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14.18</w:t>
            </w:r>
          </w:p>
        </w:tc>
        <w:tc>
          <w:tcPr>
            <w:tcW w:w="4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8"/>
                <w:szCs w:val="18"/>
                <w:color w:val="0000FF"/>
              </w:rPr>
              <w:t>4,504</w:t>
            </w:r>
          </w:p>
        </w:tc>
        <w:tc>
          <w:tcPr>
            <w:tcW w:w="90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8"/>
                <w:szCs w:val="18"/>
                <w:color w:val="0000FF"/>
              </w:rPr>
              <w:t>12/28/2012</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7"/>
                <w:szCs w:val="27"/>
                <w:color w:val="0000FF"/>
                <w:vertAlign w:val="subscript"/>
              </w:rPr>
              <w:t>S</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jc w:val="center"/>
              <w:ind w:right="72"/>
              <w:spacing w:after="0"/>
              <w:rPr>
                <w:sz w:val="20"/>
                <w:szCs w:val="20"/>
                <w:color w:val="auto"/>
              </w:rPr>
            </w:pPr>
            <w:r>
              <w:rPr>
                <w:rFonts w:ascii="Times New Roman" w:cs="Times New Roman" w:eastAsia="Times New Roman" w:hAnsi="Times New Roman"/>
                <w:sz w:val="18"/>
                <w:szCs w:val="18"/>
                <w:color w:val="0000FF"/>
              </w:rPr>
              <w:t>2,252</w:t>
            </w:r>
            <w:r>
              <w:rPr>
                <w:rFonts w:ascii="Times New Roman" w:cs="Times New Roman" w:eastAsia="Times New Roman" w:hAnsi="Times New Roman"/>
                <w:sz w:val="22"/>
                <w:szCs w:val="22"/>
                <w:color w:val="008000"/>
                <w:vertAlign w:val="superscript"/>
              </w:rPr>
              <w:t>(2)</w:t>
            </w:r>
          </w:p>
        </w:tc>
        <w:tc>
          <w:tcPr>
            <w:tcW w:w="5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8"/>
                <w:szCs w:val="18"/>
                <w:color w:val="0000FF"/>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14.0425</w:t>
            </w:r>
            <w:r>
              <w:rPr>
                <w:rFonts w:ascii="Times New Roman" w:cs="Times New Roman" w:eastAsia="Times New Roman" w:hAnsi="Times New Roman"/>
                <w:sz w:val="22"/>
                <w:szCs w:val="22"/>
                <w:color w:val="008000"/>
                <w:vertAlign w:val="superscript"/>
              </w:rPr>
              <w:t>(2)</w:t>
            </w:r>
          </w:p>
        </w:tc>
        <w:tc>
          <w:tcPr>
            <w:tcW w:w="4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8"/>
                <w:szCs w:val="18"/>
                <w:color w:val="0000FF"/>
              </w:rPr>
              <w:t>2,252</w:t>
            </w:r>
          </w:p>
        </w:tc>
        <w:tc>
          <w:tcPr>
            <w:tcW w:w="90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4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80" w:type="dxa"/>
            <w:vAlign w:val="bottom"/>
            <w:gridSpan w:val="9"/>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2"/>
          </w:tcPr>
          <w:p>
            <w:pPr>
              <w:ind w:left="16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tcPr>
          <w:p>
            <w:pPr>
              <w:spacing w:after="0"/>
              <w:rPr>
                <w:sz w:val="3"/>
                <w:szCs w:val="3"/>
                <w:color w:val="auto"/>
              </w:rPr>
            </w:pPr>
          </w:p>
        </w:tc>
        <w:tc>
          <w:tcPr>
            <w:tcW w:w="9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Date</w:t>
            </w:r>
          </w:p>
        </w:tc>
        <w:tc>
          <w:tcPr>
            <w:tcW w:w="7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8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860" w:type="dxa"/>
            <w:vAlign w:val="bottom"/>
          </w:tcPr>
          <w:p>
            <w:pPr>
              <w:ind w:left="16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vMerge w:val="continue"/>
          </w:tcPr>
          <w:p>
            <w:pPr>
              <w:spacing w:after="0"/>
              <w:rPr>
                <w:sz w:val="14"/>
                <w:szCs w:val="14"/>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sales reported by Mr. Smith were effected pursuant to a Rule 10b5-1 trading plan adopted on November 28, 2012.</w:t>
      </w:r>
    </w:p>
    <w:p>
      <w:pPr>
        <w:spacing w:after="0" w:line="41" w:lineRule="exact"/>
        <w:rPr>
          <w:rFonts w:ascii="Times New Roman" w:cs="Times New Roman" w:eastAsia="Times New Roman" w:hAnsi="Times New Roman"/>
          <w:sz w:val="14"/>
          <w:szCs w:val="14"/>
          <w:color w:val="008000"/>
        </w:rPr>
      </w:pPr>
    </w:p>
    <w:p>
      <w:pPr>
        <w:ind w:left="40" w:right="140" w:firstLine="9"/>
        <w:spacing w:after="0" w:line="234"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"Amount" and "Price" reported in this Column 4 reflect the aggregate number and weighted-average price, respectively, of shares sold. These shares were sold in multiple transactions at prices ranging from $14.02 to $14.07, inclusive. The reporting person undertakes to provide to the issuer, any security holder of the issuer, or the SEC staff, upon request, full information regarding the number of shares sold at each separate price within the range set forth herein.</w:t>
      </w:r>
    </w:p>
    <w:p>
      <w:pPr>
        <w:spacing w:after="0" w:line="21"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color w:val="008000"/>
        </w:rPr>
        <w:t>EXECUTIVE VP, LEGAL AFFAIRS &amp; GENERAL COUNSEL</w:t>
      </w:r>
    </w:p>
    <w:p>
      <w:pPr>
        <w:ind w:left="6860"/>
        <w:spacing w:after="0" w:line="180" w:lineRule="auto"/>
        <w:rPr>
          <w:sz w:val="20"/>
          <w:szCs w:val="20"/>
          <w:color w:val="auto"/>
        </w:rPr>
      </w:pPr>
      <w:r>
        <w:rPr>
          <w:rFonts w:ascii="Times New Roman" w:cs="Times New Roman" w:eastAsia="Times New Roman" w:hAnsi="Times New Roman"/>
          <w:sz w:val="18"/>
          <w:szCs w:val="18"/>
          <w:color w:val="0000FF"/>
        </w:rPr>
        <w:t xml:space="preserve">/s/ Valerie Barnett, attorney-in- </w:t>
      </w:r>
      <w:r>
        <w:rPr>
          <w:rFonts w:ascii="Times New Roman" w:cs="Times New Roman" w:eastAsia="Times New Roman" w:hAnsi="Times New Roman"/>
          <w:sz w:val="35"/>
          <w:szCs w:val="35"/>
          <w:color w:val="0000FF"/>
          <w:vertAlign w:val="subscript"/>
        </w:rPr>
        <w:t>12/28/2012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868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670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700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35931"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2019-12-17T16:25:15Z</dcterms:created>
  <dcterms:modified xsi:type="dcterms:W3CDTF">2019-12-17T16:25:15Z</dcterms:modified>
</cp:coreProperties>
</file>