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86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86879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Worthington Gajus Vincent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FLUIDIGM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FLDM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10/01/2015</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18"/>
          <w:szCs w:val="18"/>
          <w:color w:val="0000FF"/>
        </w:rPr>
        <w:t>PRESIDENT &amp; CEO</w:t>
      </w:r>
    </w:p>
    <w:p>
      <w:pPr>
        <w:spacing w:after="0" w:line="449" w:lineRule="exact"/>
        <w:rPr>
          <w:sz w:val="24"/>
          <w:szCs w:val="24"/>
          <w:color w:val="auto"/>
        </w:rPr>
      </w:pPr>
    </w:p>
    <w:p>
      <w:pPr>
        <w:sectPr>
          <w:pgSz w:w="11900" w:h="16838" w:orient="portrait"/>
          <w:cols w:equalWidth="0" w:num="3">
            <w:col w:w="3360" w:space="720"/>
            <w:col w:w="3257" w:space="720"/>
            <w:col w:w="3463"/>
          </w:cols>
          <w:pgMar w:left="240" w:top="220" w:right="1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Borders>
              <w:top w:val="single" w:sz="8" w:color="2C2C2C"/>
              <w:bottom w:val="single" w:sz="8" w:color="2C2C2C"/>
            </w:tcBorders>
            <w:gridSpan w:val="6"/>
            <w:vMerge w:val="restart"/>
          </w:tcPr>
          <w:p>
            <w:pPr>
              <w:jc w:val="right"/>
              <w:ind w:right="32"/>
              <w:spacing w:after="0"/>
              <w:rPr>
                <w:sz w:val="20"/>
                <w:szCs w:val="20"/>
                <w:color w:val="auto"/>
              </w:rPr>
            </w:pPr>
            <w:r>
              <w:rPr>
                <w:rFonts w:ascii="Arial" w:cs="Arial" w:eastAsia="Arial" w:hAnsi="Arial"/>
                <w:sz w:val="14"/>
                <w:szCs w:val="14"/>
                <w:color w:val="auto"/>
                <w:w w:val="97"/>
              </w:rPr>
              <w:t>4. If Amendment, Date of Original Filed (Month/Day/Year)</w:t>
            </w:r>
          </w:p>
        </w:tc>
        <w:tc>
          <w:tcPr>
            <w:tcW w:w="3800" w:type="dxa"/>
            <w:vAlign w:val="bottom"/>
            <w:tcBorders>
              <w:top w:val="single" w:sz="8" w:color="2C2C2C"/>
              <w:bottom w:val="single" w:sz="8" w:color="2C2C2C"/>
            </w:tcBorders>
            <w:gridSpan w:val="9"/>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6"/>
            <w:vMerge w:val="continue"/>
          </w:tcPr>
          <w:p>
            <w:pPr>
              <w:spacing w:after="0" w:line="20" w:lineRule="exact"/>
              <w:rPr>
                <w:sz w:val="1"/>
                <w:szCs w:val="1"/>
                <w:color w:val="auto"/>
              </w:rPr>
            </w:pPr>
          </w:p>
        </w:tc>
        <w:tc>
          <w:tcPr>
            <w:tcW w:w="380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6"/>
            <w:vMerge w:val="continue"/>
          </w:tcPr>
          <w:p>
            <w:pPr>
              <w:spacing w:after="0"/>
              <w:rPr>
                <w:sz w:val="10"/>
                <w:szCs w:val="10"/>
                <w:color w:val="auto"/>
              </w:rPr>
            </w:pPr>
          </w:p>
        </w:tc>
        <w:tc>
          <w:tcPr>
            <w:tcW w:w="3800" w:type="dxa"/>
            <w:vAlign w:val="bottom"/>
            <w:gridSpan w:val="9"/>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60" w:type="dxa"/>
            <w:vAlign w:val="bottom"/>
            <w:gridSpan w:val="4"/>
            <w:vMerge w:val="restart"/>
          </w:tcPr>
          <w:p>
            <w:pPr>
              <w:ind w:left="4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SOUTH SAN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94080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FRANCISCO</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220"/>
              <w:spacing w:after="0" w:line="118"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8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4"/>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4"/>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33,029</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620" w:type="dxa"/>
            <w:vAlign w:val="bottom"/>
            <w:tcBorders>
              <w:top w:val="single" w:sz="8" w:color="2C2C2C"/>
            </w:tcBorders>
            <w:gridSpan w:val="4"/>
          </w:tcPr>
          <w:p>
            <w:pPr>
              <w:ind w:left="660"/>
              <w:spacing w:after="0"/>
              <w:rPr>
                <w:sz w:val="20"/>
                <w:szCs w:val="20"/>
                <w:color w:val="auto"/>
              </w:rPr>
            </w:pPr>
            <w:r>
              <w:rPr>
                <w:rFonts w:ascii="Times New Roman" w:cs="Times New Roman" w:eastAsia="Times New Roman" w:hAnsi="Times New Roman"/>
                <w:sz w:val="18"/>
                <w:szCs w:val="18"/>
                <w:color w:val="0000FF"/>
              </w:rPr>
              <w:t>10/01/2015</w:t>
            </w: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80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3,729</w:t>
            </w:r>
          </w:p>
        </w:tc>
        <w:tc>
          <w:tcPr>
            <w:tcW w:w="580" w:type="dxa"/>
            <w:vAlign w:val="bottom"/>
            <w:tcBorders>
              <w:top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6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4.0828</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10,544</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0000FF"/>
              </w:rPr>
              <w:t>10/01/2015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2,271</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4.0828</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12,815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8"/>
                <w:szCs w:val="18"/>
                <w:color w:val="0000FF"/>
              </w:rPr>
              <w:t>10/01/2015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0"/>
              </w:rPr>
              <w:t>6,000</w:t>
            </w:r>
            <w:r>
              <w:rPr>
                <w:rFonts w:ascii="Times New Roman" w:cs="Times New Roman" w:eastAsia="Times New Roman" w:hAnsi="Times New Roman"/>
                <w:sz w:val="22"/>
                <w:szCs w:val="22"/>
                <w:color w:val="008000"/>
                <w:w w:val="90"/>
                <w:vertAlign w:val="superscript"/>
              </w:rPr>
              <w:t>(3)</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8.0483</w:t>
            </w:r>
            <w:r>
              <w:rPr>
                <w:rFonts w:ascii="Times New Roman" w:cs="Times New Roman" w:eastAsia="Times New Roman" w:hAnsi="Times New Roman"/>
                <w:sz w:val="22"/>
                <w:szCs w:val="22"/>
                <w:color w:val="008000"/>
                <w:w w:val="91"/>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6,815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1"/>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w w:val="91"/>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3,729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0000FF"/>
              </w:rPr>
              <w:t>Option</w:t>
            </w:r>
          </w:p>
        </w:tc>
        <w:tc>
          <w:tcPr>
            <w:tcW w:w="660" w:type="dxa"/>
            <w:vAlign w:val="bottom"/>
          </w:tcPr>
          <w:p>
            <w:pPr>
              <w:ind w:left="20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4.0828</w:t>
            </w:r>
          </w:p>
        </w:tc>
        <w:tc>
          <w:tcPr>
            <w:tcW w:w="160" w:type="dxa"/>
            <w:vAlign w:val="bottom"/>
          </w:tcPr>
          <w:p>
            <w:pPr>
              <w:spacing w:after="0"/>
              <w:rPr>
                <w:sz w:val="11"/>
                <w:szCs w:val="11"/>
                <w:color w:val="auto"/>
              </w:rPr>
            </w:pPr>
          </w:p>
        </w:tc>
        <w:tc>
          <w:tcPr>
            <w:tcW w:w="1080" w:type="dxa"/>
            <w:vAlign w:val="bottom"/>
          </w:tcPr>
          <w:p>
            <w:pPr>
              <w:jc w:val="right"/>
              <w:ind w:right="130"/>
              <w:spacing w:after="0" w:line="135" w:lineRule="exact"/>
              <w:rPr>
                <w:sz w:val="20"/>
                <w:szCs w:val="20"/>
                <w:color w:val="auto"/>
              </w:rPr>
            </w:pPr>
            <w:r>
              <w:rPr>
                <w:rFonts w:ascii="Times New Roman" w:cs="Times New Roman" w:eastAsia="Times New Roman" w:hAnsi="Times New Roman"/>
                <w:sz w:val="14"/>
                <w:szCs w:val="14"/>
                <w:color w:val="0000FF"/>
              </w:rPr>
              <w:t>10/01/2015</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0000FF"/>
              </w:rPr>
              <w:t>3,729</w:t>
            </w:r>
          </w:p>
        </w:tc>
        <w:tc>
          <w:tcPr>
            <w:tcW w:w="820" w:type="dxa"/>
            <w:vAlign w:val="bottom"/>
            <w:vMerge w:val="continue"/>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0000FF"/>
              </w:rPr>
              <w:t>11/17/2019</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5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4"/>
                <w:szCs w:val="14"/>
                <w:color w:val="0000FF"/>
              </w:rPr>
              <w:t>0</w:t>
            </w:r>
          </w:p>
        </w:tc>
        <w:tc>
          <w:tcPr>
            <w:tcW w:w="300" w:type="dxa"/>
            <w:vAlign w:val="bottom"/>
          </w:tcPr>
          <w:p>
            <w:pPr>
              <w:spacing w:after="0"/>
              <w:rPr>
                <w:sz w:val="11"/>
                <w:szCs w:val="11"/>
                <w:color w:val="auto"/>
              </w:rPr>
            </w:pPr>
          </w:p>
        </w:tc>
        <w:tc>
          <w:tcPr>
            <w:tcW w:w="560" w:type="dxa"/>
            <w:vAlign w:val="bottom"/>
          </w:tcPr>
          <w:p>
            <w:pPr>
              <w:ind w:left="38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w w:val="91"/>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2,271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0000FF"/>
              </w:rPr>
              <w:t>Option</w:t>
            </w:r>
          </w:p>
        </w:tc>
        <w:tc>
          <w:tcPr>
            <w:tcW w:w="660" w:type="dxa"/>
            <w:vAlign w:val="bottom"/>
          </w:tcPr>
          <w:p>
            <w:pPr>
              <w:ind w:left="20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4.0828</w:t>
            </w:r>
          </w:p>
        </w:tc>
        <w:tc>
          <w:tcPr>
            <w:tcW w:w="160" w:type="dxa"/>
            <w:vAlign w:val="bottom"/>
          </w:tcPr>
          <w:p>
            <w:pPr>
              <w:spacing w:after="0"/>
              <w:rPr>
                <w:sz w:val="11"/>
                <w:szCs w:val="11"/>
                <w:color w:val="auto"/>
              </w:rPr>
            </w:pPr>
          </w:p>
        </w:tc>
        <w:tc>
          <w:tcPr>
            <w:tcW w:w="1080" w:type="dxa"/>
            <w:vAlign w:val="bottom"/>
          </w:tcPr>
          <w:p>
            <w:pPr>
              <w:jc w:val="right"/>
              <w:ind w:right="130"/>
              <w:spacing w:after="0" w:line="135" w:lineRule="exact"/>
              <w:rPr>
                <w:sz w:val="20"/>
                <w:szCs w:val="20"/>
                <w:color w:val="auto"/>
              </w:rPr>
            </w:pPr>
            <w:r>
              <w:rPr>
                <w:rFonts w:ascii="Times New Roman" w:cs="Times New Roman" w:eastAsia="Times New Roman" w:hAnsi="Times New Roman"/>
                <w:sz w:val="14"/>
                <w:szCs w:val="14"/>
                <w:color w:val="0000FF"/>
              </w:rPr>
              <w:t>10/01/2015</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0000FF"/>
              </w:rPr>
              <w:t>2,271</w:t>
            </w:r>
          </w:p>
        </w:tc>
        <w:tc>
          <w:tcPr>
            <w:tcW w:w="820" w:type="dxa"/>
            <w:vAlign w:val="bottom"/>
            <w:vMerge w:val="continue"/>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0000FF"/>
              </w:rPr>
              <w:t>11/17/2019</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80" w:type="dxa"/>
            <w:vAlign w:val="bottom"/>
            <w:gridSpan w:val="2"/>
          </w:tcPr>
          <w:p>
            <w:pPr>
              <w:jc w:val="right"/>
              <w:ind w:right="199"/>
              <w:spacing w:after="0" w:line="135" w:lineRule="exact"/>
              <w:rPr>
                <w:sz w:val="20"/>
                <w:szCs w:val="20"/>
                <w:color w:val="auto"/>
              </w:rPr>
            </w:pPr>
            <w:r>
              <w:rPr>
                <w:rFonts w:ascii="Times New Roman" w:cs="Times New Roman" w:eastAsia="Times New Roman" w:hAnsi="Times New Roman"/>
                <w:sz w:val="14"/>
                <w:szCs w:val="14"/>
                <w:color w:val="0000FF"/>
              </w:rPr>
              <w:t>10,528</w:t>
            </w:r>
          </w:p>
        </w:tc>
        <w:tc>
          <w:tcPr>
            <w:tcW w:w="560" w:type="dxa"/>
            <w:vAlign w:val="bottom"/>
          </w:tcPr>
          <w:p>
            <w:pPr>
              <w:ind w:left="38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directly by the Worthington Family Trust dated March 6, 2007, a trust for the benefit of the Reporting Person and the Reporting Person's spouse, for which the Reporting Person and the Reporting Person's spouse serve as trustees.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sales reported by Mr. Worthington were effected pursuant to a Rule 10b5-1 trading plan adopted on August 29, 2014.</w:t>
      </w:r>
    </w:p>
    <w:p>
      <w:pPr>
        <w:spacing w:after="0" w:line="41" w:lineRule="exact"/>
        <w:rPr>
          <w:rFonts w:ascii="Times New Roman" w:cs="Times New Roman" w:eastAsia="Times New Roman" w:hAnsi="Times New Roman"/>
          <w:sz w:val="14"/>
          <w:szCs w:val="14"/>
          <w:color w:val="008000"/>
        </w:rPr>
      </w:pPr>
    </w:p>
    <w:p>
      <w:pPr>
        <w:jc w:val="both"/>
        <w:ind w:left="40" w:right="2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"Amount" and "Price" reported in this Column 4 reflect the aggregate number and weighted-average price, respectively, of shares sold. These shares were sold in multiple transactions at prices ranging from $8.00 to $8.27,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subject to the Option fully vested on November 17, 2013.</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subject to the Option fully vested on February 1,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2" w:lineRule="auto"/>
        <w:rPr>
          <w:sz w:val="20"/>
          <w:szCs w:val="20"/>
          <w:color w:val="auto"/>
        </w:rPr>
      </w:pPr>
      <w:r>
        <w:rPr>
          <w:rFonts w:ascii="Times New Roman" w:cs="Times New Roman" w:eastAsia="Times New Roman" w:hAnsi="Times New Roman"/>
          <w:sz w:val="18"/>
          <w:szCs w:val="18"/>
          <w:color w:val="0000FF"/>
        </w:rPr>
        <w:t xml:space="preserve">/s/ Valerie Barnett, attorney-in- </w:t>
      </w:r>
      <w:r>
        <w:rPr>
          <w:rFonts w:ascii="Times New Roman" w:cs="Times New Roman" w:eastAsia="Times New Roman" w:hAnsi="Times New Roman"/>
          <w:sz w:val="35"/>
          <w:szCs w:val="35"/>
          <w:color w:val="0000FF"/>
          <w:vertAlign w:val="subscript"/>
        </w:rPr>
        <w:t>10/05/2015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2019-12-08T00:03:31Z</dcterms:created>
  <dcterms:modified xsi:type="dcterms:W3CDTF">2019-12-08T00:03:31Z</dcterms:modified>
</cp:coreProperties>
</file>