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822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228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Carey Thomas D.</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 TOWER PLACE, STE 2000</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60"/>
              <w:spacing w:after="0" w:line="156"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01/05/2024</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01/05/2024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79,412</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79,412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01/05/2024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205,794</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06/07/2033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205,794</w:t>
            </w:r>
          </w:p>
        </w:tc>
        <w:tc>
          <w:tcPr>
            <w:tcW w:w="40" w:type="dxa"/>
            <w:vAlign w:val="bottom"/>
          </w:tcPr>
          <w:p>
            <w:pPr>
              <w:spacing w:after="0"/>
              <w:rPr>
                <w:sz w:val="17"/>
                <w:szCs w:val="17"/>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008000"/>
              </w:rPr>
              <w:t>(3)(4)</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205,794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four equal annual installments beginning January 5, 2025,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option vest on June 8, 2024, and thereafter 1/36th of the total grant vests monthly until such time as the option is fully vested, subject to the Reporting Person's continued service through the applicable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October 4, 2023, by and among Standard BioTools Inc. (the "Company"), Martis Merger Sub, Inc. and SomaLogic, Inc. ("Soma Logic") (the "Merger"), each option to purchase SomaLogic common stock (a "SomaLogic Option"), whether vested or unvested, that was outstanding immediately prior to the effective time of the Merger (the "Effective Time"), was converted into an option to acquire the number of shares of common stock of the Company equal to the product of (i) the number of shares subject to such SomaLogic Option as of immediately prior to the Effective Time, multiplied by (ii) 1.11 (the "Exchange Ratio") rounded down to the nearest whole number of shares of the Company's common stock, at an exercise price per share equal to the quotient obtained by dividing the per share exercise price of the SomaLogic Option by the Exchange Ratio, rounded up to the nearest whole cent.</w:t>
      </w:r>
    </w:p>
    <w:p>
      <w:pPr>
        <w:spacing w:after="0" w:line="27" w:lineRule="exact"/>
        <w:rPr>
          <w:rFonts w:ascii="Times New Roman" w:cs="Times New Roman" w:eastAsia="Times New Roman" w:hAnsi="Times New Roman"/>
          <w:sz w:val="13"/>
          <w:szCs w:val="13"/>
          <w:color w:val="008000"/>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Except as noted above, each assumed SomaLogic Option will continue to be governed by the same terms and conditions, including vesting terms and provision, as were applicable to such SomaLogic Option immediately prior to the Effective Time.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Agnieszka Gallagher,</w:t>
            </w:r>
          </w:p>
        </w:tc>
        <w:tc>
          <w:tcPr>
            <w:tcW w:w="5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01/09/2024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463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2024-01-09T17:12:11Z</dcterms:created>
  <dcterms:modified xsi:type="dcterms:W3CDTF">2024-01-09T17:12:11Z</dcterms:modified>
</cp:coreProperties>
</file>