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April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April 9, 2013, Fluidigm Corporation (the “Company”) and ARE-SAN FRANCISCO NO. 17, LLC entered into an amendment (the “Amendment”) to the lease agreement dated as of September 14, 2010, as amended (the “Lease”), relating to the lease of office and laboratory space at the Company’s headquarters located at 7000 Shoreline Court, South San Francisco, California. The Amendment provides for:</w:t>
      </w:r>
    </w:p>
    <w:p>
      <w:pPr>
        <w:spacing w:after="0" w:line="26" w:lineRule="exact"/>
        <w:rPr>
          <w:sz w:val="20"/>
          <w:szCs w:val="20"/>
          <w:color w:val="auto"/>
        </w:rPr>
      </w:pPr>
    </w:p>
    <w:p>
      <w:pPr>
        <w:jc w:val="both"/>
        <w:ind w:left="1480" w:right="40" w:hanging="446"/>
        <w:spacing w:after="0" w:line="259"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expansion of the premises covered under the Lease by approximately 19,000 square feet of office and laboratory space, which is currently being subleased by the Company from a third party through March 31, 2014, effective upon the termination of the sublease but no later than April 1, 2014 (the “Additional Space”);</w:t>
      </w:r>
    </w:p>
    <w:p>
      <w:pPr>
        <w:spacing w:after="0" w:line="59"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extension of the term of the Lease by five years to April 30, 2020, subject to the Company’s right to renew the Lease for an additional five yearsat the then-prevailing market rent;</w:t>
      </w:r>
    </w:p>
    <w:p>
      <w:pPr>
        <w:spacing w:after="0" w:line="50" w:lineRule="exact"/>
        <w:rPr>
          <w:rFonts w:ascii="Arial" w:cs="Arial" w:eastAsia="Arial" w:hAnsi="Arial"/>
          <w:sz w:val="18"/>
          <w:szCs w:val="18"/>
          <w:color w:val="auto"/>
        </w:rPr>
      </w:pPr>
    </w:p>
    <w:p>
      <w:pPr>
        <w:ind w:left="1480" w:right="60" w:hanging="446"/>
        <w:spacing w:after="0" w:line="256"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by the Company of monthly base rent for the Additional Space of $1.70 per rentable square foot prior to April 1, 2014, if applicable; and $2.90 per rentable square foot per month from April 1, 2014 through April 30, 2015, with no base rent obligation for the first three months of the period (the monthly base rent for the current space was not modified by the Amendment during the above-referenced periods);</w:t>
      </w:r>
    </w:p>
    <w:p>
      <w:pPr>
        <w:spacing w:after="0" w:line="62"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by the Company of monthly base rent for the entire space covered by the Lease of $2.60 per rentable square foot per month from May 1, 2015 through April 30, 2016, increased by 1.3% annually thereafter;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by the Company of certain operating expenses during the term of the Lease; and</w:t>
      </w:r>
    </w:p>
    <w:p>
      <w:pPr>
        <w:spacing w:after="0" w:line="90" w:lineRule="exact"/>
        <w:rPr>
          <w:rFonts w:ascii="Arial" w:cs="Arial" w:eastAsia="Arial" w:hAnsi="Arial"/>
          <w:sz w:val="18"/>
          <w:szCs w:val="18"/>
          <w:color w:val="auto"/>
        </w:rPr>
      </w:pPr>
    </w:p>
    <w:p>
      <w:pPr>
        <w:ind w:left="1480" w:right="40" w:hanging="446"/>
        <w:spacing w:after="0" w:line="256"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allowance of approximately $726,000 for tenant improvements by the Company, which, to the extent not used by March 31, 2015, will be used to offset base rent obligations; and an additional allowance of approximately $484,000 for tenant improvements by the Company, which, if used, will be repaid by the Company in equal monthly payments with interest at a rate of 9% per annum over the remaining term of the Lease.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foregoing summary of the Amendment does not purport to be complete and is qualified in its entirety by reference to the Amendment, which will be filed as an exhibit to the Company’s Quarterly Report on Form 10-Q for the quarter ending June 30,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8"/>
          <w:szCs w:val="18"/>
          <w:color w:val="auto"/>
        </w:rPr>
        <w:t>Date: April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2019-12-07T03:15:24Z</dcterms:created>
  <dcterms:modified xsi:type="dcterms:W3CDTF">2019-12-07T03:15:24Z</dcterms:modified>
</cp:coreProperties>
</file>