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529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52919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Worthington Gajus Vincent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8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02/09/2011</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7000 SHORELINE COURT, SUITE 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7"/>
              </w:rPr>
              <w:t>SOUTH 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4"/>
        </w:trPr>
        <w:tc>
          <w:tcPr>
            <w:tcW w:w="1840" w:type="dxa"/>
            <w:vAlign w:val="bottom"/>
            <w:gridSpan w:val="2"/>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07"/>
        </w:trPr>
        <w:tc>
          <w:tcPr>
            <w:tcW w:w="4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56"/>
        </w:trPr>
        <w:tc>
          <w:tcPr>
            <w:tcW w:w="4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20" w:type="dxa"/>
            <w:vAlign w:val="bottom"/>
          </w:tcPr>
          <w:p>
            <w:pPr>
              <w:spacing w:after="0"/>
              <w:rPr>
                <w:sz w:val="22"/>
                <w:szCs w:val="22"/>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0000FF"/>
              </w:rPr>
              <w:t>President, CEO and Director</w:t>
            </w:r>
          </w:p>
        </w:tc>
        <w:tc>
          <w:tcPr>
            <w:tcW w:w="200" w:type="dxa"/>
            <w:vAlign w:val="bottom"/>
          </w:tcPr>
          <w:p>
            <w:pPr>
              <w:spacing w:after="0"/>
              <w:rPr>
                <w:sz w:val="22"/>
                <w:szCs w:val="22"/>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374,645</w:t>
            </w:r>
            <w:r>
              <w:rPr>
                <w:rFonts w:ascii="Arial" w:cs="Arial" w:eastAsia="Arial" w:hAnsi="Arial"/>
                <w:sz w:val="22"/>
                <w:szCs w:val="22"/>
                <w:color w:val="008000"/>
                <w:vertAlign w:val="superscript"/>
              </w:rPr>
              <w:t>(1)</w:t>
            </w:r>
          </w:p>
        </w:tc>
        <w:tc>
          <w:tcPr>
            <w:tcW w:w="980" w:type="dxa"/>
            <w:vAlign w:val="bottom"/>
            <w:tcBorders>
              <w:bottom w:val="single" w:sz="8" w:color="2C2C2C"/>
            </w:tcBorders>
          </w:tcPr>
          <w:p>
            <w:pPr>
              <w:ind w:left="74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70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91"/>
              </w:rPr>
              <w:t>Series E1 Preferred Warrant (Right to Buy)</w:t>
            </w:r>
          </w:p>
        </w:tc>
        <w:tc>
          <w:tcPr>
            <w:tcW w:w="1200" w:type="dxa"/>
            <w:vAlign w:val="bottom"/>
            <w:gridSpan w:val="2"/>
          </w:tcPr>
          <w:p>
            <w:pPr>
              <w:jc w:val="center"/>
              <w:ind w:left="262"/>
              <w:spacing w:after="0"/>
              <w:rPr>
                <w:sz w:val="20"/>
                <w:szCs w:val="20"/>
                <w:color w:val="auto"/>
              </w:rPr>
            </w:pPr>
            <w:r>
              <w:rPr>
                <w:rFonts w:ascii="Arial" w:cs="Arial" w:eastAsia="Arial" w:hAnsi="Arial"/>
                <w:sz w:val="11"/>
                <w:szCs w:val="11"/>
                <w:color w:val="008000"/>
                <w:w w:val="88"/>
              </w:rPr>
              <w:t>(3)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16"/>
              <w:spacing w:after="0"/>
              <w:rPr>
                <w:sz w:val="20"/>
                <w:szCs w:val="20"/>
                <w:color w:val="auto"/>
              </w:rPr>
            </w:pPr>
            <w:r>
              <w:rPr>
                <w:rFonts w:ascii="Arial" w:cs="Arial" w:eastAsia="Arial" w:hAnsi="Arial"/>
                <w:sz w:val="18"/>
                <w:szCs w:val="18"/>
                <w:color w:val="0000FF"/>
                <w:w w:val="79"/>
              </w:rPr>
              <w:t>515</w:t>
            </w:r>
            <w:r>
              <w:rPr>
                <w:rFonts w:ascii="Arial" w:cs="Arial" w:eastAsia="Arial" w:hAnsi="Arial"/>
                <w:sz w:val="22"/>
                <w:szCs w:val="22"/>
                <w:color w:val="008000"/>
                <w:w w:val="79"/>
                <w:vertAlign w:val="superscript"/>
              </w:rPr>
              <w:t>(1)</w:t>
            </w:r>
          </w:p>
        </w:tc>
        <w:tc>
          <w:tcPr>
            <w:tcW w:w="880" w:type="dxa"/>
            <w:vAlign w:val="bottom"/>
          </w:tcPr>
          <w:p>
            <w:pPr>
              <w:jc w:val="center"/>
              <w:spacing w:after="0"/>
              <w:rPr>
                <w:sz w:val="20"/>
                <w:szCs w:val="20"/>
                <w:color w:val="auto"/>
              </w:rPr>
            </w:pPr>
            <w:r>
              <w:rPr>
                <w:rFonts w:ascii="Arial" w:cs="Arial" w:eastAsia="Arial" w:hAnsi="Arial"/>
                <w:sz w:val="18"/>
                <w:szCs w:val="18"/>
                <w:color w:val="0000FF"/>
                <w:w w:val="85"/>
              </w:rPr>
              <w:t>0.02</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top w:val="single" w:sz="8" w:color="2C2C2C"/>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w w:val="88"/>
              </w:rPr>
              <w:t>(5)</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4"/>
                <w:szCs w:val="14"/>
                <w:color w:val="0000FF"/>
                <w:w w:val="85"/>
              </w:rPr>
              <w:t>11/17/2019</w:t>
            </w:r>
          </w:p>
        </w:tc>
        <w:tc>
          <w:tcPr>
            <w:tcW w:w="1840" w:type="dxa"/>
            <w:vAlign w:val="bottom"/>
            <w:tcBorders>
              <w:top w:val="single" w:sz="8" w:color="2C2C2C"/>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top w:val="single" w:sz="8" w:color="2C2C2C"/>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8,257</w:t>
            </w:r>
            <w:r>
              <w:rPr>
                <w:rFonts w:ascii="Arial" w:cs="Arial" w:eastAsia="Arial" w:hAnsi="Arial"/>
                <w:sz w:val="22"/>
                <w:szCs w:val="22"/>
                <w:color w:val="008000"/>
                <w:w w:val="85"/>
                <w:vertAlign w:val="superscript"/>
              </w:rPr>
              <w:t>(1)</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5"/>
              </w:rPr>
              <w:t>4.09</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w w:val="88"/>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11/17/2019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8,257</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4.09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w w:val="88"/>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11/17/2019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4.09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w w:val="88"/>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11/17/2019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4.09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w w:val="88"/>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11/17/2019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4"/>
              </w:rPr>
              <w:t>15,014</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4.09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01/04/2021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8.38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01/04/2021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8.38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01/17/2015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4"/>
              </w:rPr>
              <w:t>29,491</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01/17/2015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3,538</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05/07/2017</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4,508</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05/07/2017</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7,634</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04/23/2018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5,176</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04/23/2018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5"/>
              </w:rPr>
              <w:t>6,383</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04/23/2018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4"/>
              </w:rPr>
              <w:t>11,560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200" w:type="dxa"/>
            <w:vAlign w:val="bottom"/>
            <w:tcBorders>
              <w:bottom w:val="single" w:sz="8" w:color="2C2C2C"/>
            </w:tcBorders>
            <w:gridSpan w:val="2"/>
          </w:tcPr>
          <w:p>
            <w:pPr>
              <w:jc w:val="center"/>
              <w:ind w:left="262"/>
              <w:spacing w:after="0"/>
              <w:rPr>
                <w:sz w:val="20"/>
                <w:szCs w:val="20"/>
                <w:color w:val="auto"/>
              </w:rPr>
            </w:pPr>
            <w:r>
              <w:rPr>
                <w:rFonts w:ascii="Arial" w:cs="Arial" w:eastAsia="Arial" w:hAnsi="Arial"/>
                <w:sz w:val="11"/>
                <w:szCs w:val="11"/>
                <w:color w:val="008000"/>
              </w:rPr>
              <w:t>(19)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05/07/2017</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4"/>
              </w:rPr>
              <w:t>13,454</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Gajus V. Worthington and Jami A. Worthington as TTEEs of The Worthington Family Trust UAD dated March 6, 2007 are the record holders of the securites.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E1 Preferred Stock into one share of Common Stock to occur upon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immediately prior to the closing of the Issuer's initial public offering.</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6,398 of the shares subject to the Option vested as of November 17, 2009, (the "Vesting Commencement Date"), and thereafter 69 shares subject to the Option shall vest each month beginning December 1, 2009 such that the Option will be fully vested on February 1, 2012.</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70% of the shares subject to the Option vested on December 31, 2009, 25% of the remaining 30% of the shares subject to the Option vested on April 1, 2010 and 1/48th of the remaining unvested shares subject to the Option shall vest each month thereafter such that all shares subject to the Option shall be fully vested on April 1,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6,398 of the shares subject to the Option vested as of the date of grant and 69 shares vest each month on and after December 1, 2009, such that the option will be fully vested on February 1, 2012.</w:t>
      </w:r>
    </w:p>
    <w:p>
      <w:pPr>
        <w:spacing w:after="0" w:line="64"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70% of the shares subject to the Option vested on December 31, 2009, 25% of the remaining 30% of the shares subject to the Option vested on April 1, 2010 and 1/48th of the remaining unvested shares subject to the Option shall vest each month thereafter such that all shares subject to the Option shall be fully vested on April 1,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shares subject to the Option vest on November 17, 2010 and 1/48th of the shares vest every month thereafter.</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20" w:firstLine="9"/>
        <w:spacing w:after="0" w:line="273"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25% of the shares subject to the Option shall vest on the one year anniversary of April 1, 2010 (the "Vesting Commencement Date"), and thereafter 1/48th of the shares subject to the Option shall vest on each monthly anniversary of the Vesting Commencement Date such that the Option will be fully vested on April 1, 2014; provided that vesting for a percentage of the Option equal to the Company's percentage achievement of its 2010 corporate goals shall be accelerated to December 31, 2010 . The compensation committee has not yet made a determination regarding the achievement of 2010 corporate goals. The percentage of the Option not accelerated shall vest over 4 years as described above. Vesting is subject to the reporting person continuing to be a service provider on such dates. The Option shall expire on January 4, 2021.</w:t>
      </w:r>
    </w:p>
    <w:p>
      <w:pPr>
        <w:spacing w:after="0" w:line="11" w:lineRule="exact"/>
        <w:rPr>
          <w:rFonts w:ascii="Arial" w:cs="Arial" w:eastAsia="Arial" w:hAnsi="Arial"/>
          <w:sz w:val="12"/>
          <w:szCs w:val="12"/>
          <w:color w:val="008000"/>
        </w:rPr>
      </w:pPr>
    </w:p>
    <w:p>
      <w:pPr>
        <w:ind w:firstLine="9"/>
        <w:spacing w:after="0" w:line="288" w:lineRule="auto"/>
        <w:tabs>
          <w:tab w:leader="none" w:pos="19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100% of the shares subject to the Option shall vest on April 1, 2014; provided that vesting for a percentage of the shares subject to the Option equal to the reporting person's percentage achievement of his 2010 departmental goals shall be accelerated to December 31, 2010. The shares, if any, not subject to such accelerated vesting shall vest on April 1, 2014. Vesting is subject to the reporting person continuing to be a service provider on such dates. The Option shall expire on January 4, 2021.</w:t>
      </w:r>
    </w:p>
    <w:p>
      <w:pPr>
        <w:spacing w:after="0" w:line="2"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January 18, 2009.</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January 18, 2009.</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was originally granted on February 1, 2007 and was re-granted on December 23, 2009 as part of the Issuer's option repricing. The Option fully vested on February 1, 2009.</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was originally granted on February 1, 2007 and was re-granted on December 23, 2009 as part of the Issuer's option repricing. The Option fully vested on May 1, 2010.</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was originally granted on February 1, 2008 and was re-granted on December 23, 2009 as part of the Issuer's option repricing. The Option fully vested on May 1, 2008.</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was originally granted on February 1, 2008 and was re-granted on December 23, 2009 as part of the Issuer's option repricing. The Option fully vested on May 1, 2008.</w:t>
      </w:r>
    </w:p>
    <w:p>
      <w:pPr>
        <w:spacing w:after="0" w:line="41" w:lineRule="exact"/>
        <w:rPr>
          <w:rFonts w:ascii="Arial" w:cs="Arial" w:eastAsia="Arial" w:hAnsi="Arial"/>
          <w:sz w:val="14"/>
          <w:szCs w:val="14"/>
          <w:color w:val="008000"/>
        </w:rPr>
      </w:pPr>
    </w:p>
    <w:p>
      <w:pPr>
        <w:ind w:right="20"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was originally granted on April 23, 2008 and was re-granted on December 23, 2009 as part of the Issuer's option repricing. 10,837 shares subject to the Option will vest as of December 31, 2011 and 241 shares will vest monthly thereafter. The Option will fully vest on March 31, 2012.</w:t>
      </w:r>
    </w:p>
    <w:p>
      <w:pPr>
        <w:ind w:right="220" w:firstLine="9"/>
        <w:spacing w:after="0" w:line="29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70% of the shares subject to the Option vested on December 31, 2009, 25% of the remaining 30% of the shares subject to the Option vested on April 1, 2010 and 1/48th of the remaining unvested shares subject to the Option shall vest each month thereafter such that all shares subject to the Option shall be fully vested on April 1, 2013. The Option fully vested on May 1, 2010.</w:t>
      </w: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0000FF"/>
                <w:w w:val="88"/>
              </w:rPr>
              <w:t>/s/ Worthington Gajus</w:t>
            </w:r>
          </w:p>
        </w:tc>
        <w:tc>
          <w:tcPr>
            <w:tcW w:w="56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02/09/2011</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20"/>
          </w:cols>
          <w:pgMar w:left="280" w:top="129" w:right="299"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207" w:lineRule="exact"/>
        <w:rPr>
          <w:sz w:val="20"/>
          <w:szCs w:val="20"/>
          <w:color w:val="auto"/>
        </w:rPr>
      </w:pPr>
    </w:p>
    <w:p>
      <w:pPr>
        <w:ind w:left="1060" w:right="1999" w:hanging="525"/>
        <w:spacing w:after="0" w:line="271"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February, 2011.</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Gajus Worthington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0"/>
        <w:spacing w:after="0"/>
        <w:rPr>
          <w:sz w:val="20"/>
          <w:szCs w:val="20"/>
          <w:color w:val="auto"/>
        </w:rPr>
      </w:pPr>
      <w:r>
        <w:rPr>
          <w:rFonts w:ascii="Courier New" w:cs="Courier New" w:eastAsia="Courier New" w:hAnsi="Courier New"/>
          <w:sz w:val="18"/>
          <w:szCs w:val="18"/>
          <w:color w:val="auto"/>
        </w:rPr>
        <w:t>Gajus Worthington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5768"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2019-12-17T15:08:59Z</dcterms:created>
  <dcterms:modified xsi:type="dcterms:W3CDTF">2019-12-17T15:08:59Z</dcterms:modified>
</cp:coreProperties>
</file>