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40005</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 to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SCHEDULE TO</w:t>
      </w:r>
    </w:p>
    <w:p>
      <w:pPr>
        <w:jc w:val="center"/>
        <w:spacing w:after="0"/>
        <w:rPr>
          <w:sz w:val="20"/>
          <w:szCs w:val="20"/>
          <w:color w:val="auto"/>
        </w:rPr>
      </w:pPr>
      <w:r>
        <w:rPr>
          <w:rFonts w:ascii="Arial" w:cs="Arial" w:eastAsia="Arial" w:hAnsi="Arial"/>
          <w:sz w:val="18"/>
          <w:szCs w:val="18"/>
          <w:b w:val="1"/>
          <w:bCs w:val="1"/>
          <w:i w:val="1"/>
          <w:iCs w:val="1"/>
          <w:color w:val="auto"/>
        </w:rPr>
        <w:t>Tender Offer Statement Under Section 14(d)(1) or 13(e)(1)</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40005</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FLUIDIGM CORPORATION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Subject Company (Issuer) and Filing Person (Offeror))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38735</wp:posOffset>
            </wp:positionV>
            <wp:extent cx="1089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Options to Purchase Common Stock, $0.001 par value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40005</wp:posOffset>
            </wp:positionV>
            <wp:extent cx="1089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34385P108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(CUSIP Number of Class of Securities’ Underlying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40005</wp:posOffset>
            </wp:positionV>
            <wp:extent cx="10890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Nicholas Khadder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Vice President, General Counsel,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7000 Shoreline Court, Suite 100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(650) 266-6000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address and telephone numbers of person authorized to receive notices and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40005</wp:posOffset>
            </wp:positionV>
            <wp:extent cx="10890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26"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040" w:type="dxa"/>
            <w:vAlign w:val="bottom"/>
          </w:tcPr>
          <w:p>
            <w:pPr>
              <w:spacing w:after="0"/>
              <w:rPr>
                <w:sz w:val="18"/>
                <w:szCs w:val="18"/>
                <w:color w:val="auto"/>
              </w:rPr>
            </w:pPr>
          </w:p>
        </w:tc>
        <w:tc>
          <w:tcPr>
            <w:tcW w:w="7380" w:type="dxa"/>
            <w:vAlign w:val="bottom"/>
            <w:gridSpan w:val="3"/>
          </w:tcPr>
          <w:p>
            <w:pPr>
              <w:jc w:val="center"/>
              <w:ind w:right="3950"/>
              <w:spacing w:after="0"/>
              <w:rPr>
                <w:sz w:val="20"/>
                <w:szCs w:val="20"/>
                <w:color w:val="auto"/>
              </w:rPr>
            </w:pPr>
            <w:r>
              <w:rPr>
                <w:rFonts w:ascii="Arial" w:cs="Arial" w:eastAsia="Arial" w:hAnsi="Arial"/>
                <w:sz w:val="18"/>
                <w:szCs w:val="18"/>
                <w:i w:val="1"/>
                <w:iCs w:val="1"/>
                <w:color w:val="auto"/>
                <w:w w:val="91"/>
              </w:rPr>
              <w:t>Copies to:</w:t>
            </w:r>
          </w:p>
        </w:tc>
      </w:tr>
      <w:tr>
        <w:trPr>
          <w:trHeight w:val="216"/>
        </w:trPr>
        <w:tc>
          <w:tcPr>
            <w:tcW w:w="4040" w:type="dxa"/>
            <w:vAlign w:val="bottom"/>
          </w:tcPr>
          <w:p>
            <w:pPr>
              <w:spacing w:after="0"/>
              <w:rPr>
                <w:sz w:val="18"/>
                <w:szCs w:val="18"/>
                <w:color w:val="auto"/>
              </w:rPr>
            </w:pPr>
          </w:p>
        </w:tc>
        <w:tc>
          <w:tcPr>
            <w:tcW w:w="7380" w:type="dxa"/>
            <w:vAlign w:val="bottom"/>
            <w:gridSpan w:val="3"/>
          </w:tcPr>
          <w:p>
            <w:pPr>
              <w:jc w:val="center"/>
              <w:ind w:right="3950"/>
              <w:spacing w:after="0"/>
              <w:rPr>
                <w:sz w:val="20"/>
                <w:szCs w:val="20"/>
                <w:color w:val="auto"/>
              </w:rPr>
            </w:pPr>
            <w:r>
              <w:rPr>
                <w:rFonts w:ascii="Arial" w:cs="Arial" w:eastAsia="Arial" w:hAnsi="Arial"/>
                <w:sz w:val="18"/>
                <w:szCs w:val="18"/>
                <w:b w:val="1"/>
                <w:bCs w:val="1"/>
                <w:color w:val="auto"/>
                <w:w w:val="92"/>
              </w:rPr>
              <w:t>Robert F. Kornegay</w:t>
            </w:r>
          </w:p>
        </w:tc>
      </w:tr>
      <w:tr>
        <w:trPr>
          <w:trHeight w:val="216"/>
        </w:trPr>
        <w:tc>
          <w:tcPr>
            <w:tcW w:w="4040" w:type="dxa"/>
            <w:vAlign w:val="bottom"/>
          </w:tcPr>
          <w:p>
            <w:pPr>
              <w:spacing w:after="0"/>
              <w:rPr>
                <w:sz w:val="18"/>
                <w:szCs w:val="18"/>
                <w:color w:val="auto"/>
              </w:rPr>
            </w:pPr>
          </w:p>
        </w:tc>
        <w:tc>
          <w:tcPr>
            <w:tcW w:w="7380" w:type="dxa"/>
            <w:vAlign w:val="bottom"/>
            <w:gridSpan w:val="3"/>
          </w:tcPr>
          <w:p>
            <w:pPr>
              <w:jc w:val="center"/>
              <w:ind w:right="3930"/>
              <w:spacing w:after="0"/>
              <w:rPr>
                <w:sz w:val="20"/>
                <w:szCs w:val="20"/>
                <w:color w:val="auto"/>
              </w:rPr>
            </w:pPr>
            <w:r>
              <w:rPr>
                <w:rFonts w:ascii="Arial" w:cs="Arial" w:eastAsia="Arial" w:hAnsi="Arial"/>
                <w:sz w:val="18"/>
                <w:szCs w:val="18"/>
                <w:b w:val="1"/>
                <w:bCs w:val="1"/>
                <w:color w:val="auto"/>
                <w:w w:val="90"/>
              </w:rPr>
              <w:t>Wilson Sonsini Goodrich &amp; Rosati</w:t>
            </w:r>
          </w:p>
        </w:tc>
      </w:tr>
      <w:tr>
        <w:trPr>
          <w:trHeight w:val="216"/>
        </w:trPr>
        <w:tc>
          <w:tcPr>
            <w:tcW w:w="4040" w:type="dxa"/>
            <w:vAlign w:val="bottom"/>
          </w:tcPr>
          <w:p>
            <w:pPr>
              <w:spacing w:after="0"/>
              <w:rPr>
                <w:sz w:val="18"/>
                <w:szCs w:val="18"/>
                <w:color w:val="auto"/>
              </w:rPr>
            </w:pPr>
          </w:p>
        </w:tc>
        <w:tc>
          <w:tcPr>
            <w:tcW w:w="7380" w:type="dxa"/>
            <w:vAlign w:val="bottom"/>
            <w:gridSpan w:val="3"/>
          </w:tcPr>
          <w:p>
            <w:pPr>
              <w:jc w:val="center"/>
              <w:ind w:right="3950"/>
              <w:spacing w:after="0"/>
              <w:rPr>
                <w:sz w:val="20"/>
                <w:szCs w:val="20"/>
                <w:color w:val="auto"/>
              </w:rPr>
            </w:pPr>
            <w:r>
              <w:rPr>
                <w:rFonts w:ascii="Arial" w:cs="Arial" w:eastAsia="Arial" w:hAnsi="Arial"/>
                <w:sz w:val="18"/>
                <w:szCs w:val="18"/>
                <w:b w:val="1"/>
                <w:bCs w:val="1"/>
                <w:color w:val="auto"/>
                <w:w w:val="89"/>
              </w:rPr>
              <w:t>Professional Corporation</w:t>
            </w:r>
          </w:p>
        </w:tc>
      </w:tr>
      <w:tr>
        <w:trPr>
          <w:trHeight w:val="216"/>
        </w:trPr>
        <w:tc>
          <w:tcPr>
            <w:tcW w:w="4040" w:type="dxa"/>
            <w:vAlign w:val="bottom"/>
          </w:tcPr>
          <w:p>
            <w:pPr>
              <w:spacing w:after="0"/>
              <w:rPr>
                <w:sz w:val="18"/>
                <w:szCs w:val="18"/>
                <w:color w:val="auto"/>
              </w:rPr>
            </w:pPr>
          </w:p>
        </w:tc>
        <w:tc>
          <w:tcPr>
            <w:tcW w:w="7380" w:type="dxa"/>
            <w:vAlign w:val="bottom"/>
            <w:gridSpan w:val="3"/>
          </w:tcPr>
          <w:p>
            <w:pPr>
              <w:jc w:val="center"/>
              <w:ind w:right="3950"/>
              <w:spacing w:after="0"/>
              <w:rPr>
                <w:sz w:val="20"/>
                <w:szCs w:val="20"/>
                <w:color w:val="auto"/>
              </w:rPr>
            </w:pPr>
            <w:r>
              <w:rPr>
                <w:rFonts w:ascii="Arial" w:cs="Arial" w:eastAsia="Arial" w:hAnsi="Arial"/>
                <w:sz w:val="18"/>
                <w:szCs w:val="18"/>
                <w:b w:val="1"/>
                <w:bCs w:val="1"/>
                <w:color w:val="auto"/>
                <w:w w:val="91"/>
              </w:rPr>
              <w:t>650 Page Mill Road</w:t>
            </w:r>
          </w:p>
        </w:tc>
      </w:tr>
      <w:tr>
        <w:trPr>
          <w:trHeight w:val="216"/>
        </w:trPr>
        <w:tc>
          <w:tcPr>
            <w:tcW w:w="4040" w:type="dxa"/>
            <w:vAlign w:val="bottom"/>
          </w:tcPr>
          <w:p>
            <w:pPr>
              <w:spacing w:after="0"/>
              <w:rPr>
                <w:sz w:val="18"/>
                <w:szCs w:val="18"/>
                <w:color w:val="auto"/>
              </w:rPr>
            </w:pPr>
          </w:p>
        </w:tc>
        <w:tc>
          <w:tcPr>
            <w:tcW w:w="7380" w:type="dxa"/>
            <w:vAlign w:val="bottom"/>
            <w:gridSpan w:val="3"/>
          </w:tcPr>
          <w:p>
            <w:pPr>
              <w:jc w:val="center"/>
              <w:ind w:right="3930"/>
              <w:spacing w:after="0"/>
              <w:rPr>
                <w:sz w:val="20"/>
                <w:szCs w:val="20"/>
                <w:color w:val="auto"/>
              </w:rPr>
            </w:pPr>
            <w:r>
              <w:rPr>
                <w:rFonts w:ascii="Arial" w:cs="Arial" w:eastAsia="Arial" w:hAnsi="Arial"/>
                <w:sz w:val="18"/>
                <w:szCs w:val="18"/>
                <w:b w:val="1"/>
                <w:bCs w:val="1"/>
                <w:color w:val="auto"/>
                <w:w w:val="92"/>
              </w:rPr>
              <w:t>Palo Alto, CA 94304</w:t>
            </w:r>
          </w:p>
        </w:tc>
      </w:tr>
      <w:tr>
        <w:trPr>
          <w:trHeight w:val="234"/>
        </w:trPr>
        <w:tc>
          <w:tcPr>
            <w:tcW w:w="4040" w:type="dxa"/>
            <w:vAlign w:val="bottom"/>
          </w:tcPr>
          <w:p>
            <w:pPr>
              <w:spacing w:after="0"/>
              <w:rPr>
                <w:sz w:val="20"/>
                <w:szCs w:val="20"/>
                <w:color w:val="auto"/>
              </w:rPr>
            </w:pPr>
          </w:p>
        </w:tc>
        <w:tc>
          <w:tcPr>
            <w:tcW w:w="7380" w:type="dxa"/>
            <w:vAlign w:val="bottom"/>
            <w:gridSpan w:val="3"/>
          </w:tcPr>
          <w:p>
            <w:pPr>
              <w:jc w:val="center"/>
              <w:ind w:right="3930"/>
              <w:spacing w:after="0"/>
              <w:rPr>
                <w:sz w:val="20"/>
                <w:szCs w:val="20"/>
                <w:color w:val="auto"/>
              </w:rPr>
            </w:pPr>
            <w:r>
              <w:rPr>
                <w:rFonts w:ascii="Arial" w:cs="Arial" w:eastAsia="Arial" w:hAnsi="Arial"/>
                <w:sz w:val="18"/>
                <w:szCs w:val="18"/>
                <w:b w:val="1"/>
                <w:bCs w:val="1"/>
                <w:color w:val="auto"/>
                <w:w w:val="90"/>
              </w:rPr>
              <w:t>(650) 493-9300</w:t>
            </w:r>
          </w:p>
        </w:tc>
      </w:tr>
      <w:tr>
        <w:trPr>
          <w:trHeight w:val="432"/>
        </w:trPr>
        <w:tc>
          <w:tcPr>
            <w:tcW w:w="4040" w:type="dxa"/>
            <w:vAlign w:val="bottom"/>
          </w:tcPr>
          <w:p>
            <w:pPr>
              <w:spacing w:after="0"/>
              <w:rPr>
                <w:sz w:val="24"/>
                <w:szCs w:val="24"/>
                <w:color w:val="auto"/>
              </w:rPr>
            </w:pPr>
          </w:p>
        </w:tc>
        <w:tc>
          <w:tcPr>
            <w:tcW w:w="7380" w:type="dxa"/>
            <w:vAlign w:val="bottom"/>
            <w:gridSpan w:val="3"/>
          </w:tcPr>
          <w:p>
            <w:pPr>
              <w:jc w:val="center"/>
              <w:ind w:right="3950"/>
              <w:spacing w:after="0"/>
              <w:rPr>
                <w:sz w:val="20"/>
                <w:szCs w:val="20"/>
                <w:color w:val="auto"/>
              </w:rPr>
            </w:pPr>
            <w:r>
              <w:rPr>
                <w:rFonts w:ascii="Arial" w:cs="Arial" w:eastAsia="Arial" w:hAnsi="Arial"/>
                <w:sz w:val="18"/>
                <w:szCs w:val="18"/>
                <w:color w:val="auto"/>
                <w:w w:val="98"/>
              </w:rPr>
              <w:t>CALCULATION OF FILING FEE</w:t>
            </w:r>
          </w:p>
        </w:tc>
      </w:tr>
      <w:tr>
        <w:trPr>
          <w:trHeight w:val="432"/>
        </w:trPr>
        <w:tc>
          <w:tcPr>
            <w:tcW w:w="4040" w:type="dxa"/>
            <w:vAlign w:val="bottom"/>
            <w:tcBorders>
              <w:bottom w:val="single" w:sz="8" w:color="auto"/>
            </w:tcBorders>
          </w:tcPr>
          <w:p>
            <w:pPr>
              <w:jc w:val="center"/>
              <w:ind w:left="1490"/>
              <w:spacing w:after="0"/>
              <w:rPr>
                <w:sz w:val="20"/>
                <w:szCs w:val="20"/>
                <w:color w:val="auto"/>
              </w:rPr>
            </w:pPr>
            <w:r>
              <w:rPr>
                <w:rFonts w:ascii="Arial" w:cs="Arial" w:eastAsia="Arial" w:hAnsi="Arial"/>
                <w:sz w:val="18"/>
                <w:szCs w:val="18"/>
                <w:b w:val="1"/>
                <w:bCs w:val="1"/>
                <w:color w:val="auto"/>
                <w:w w:val="91"/>
              </w:rPr>
              <w:t>Transaction Valuation*</w:t>
            </w:r>
          </w:p>
        </w:tc>
        <w:tc>
          <w:tcPr>
            <w:tcW w:w="158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 of Filing Fee</w:t>
            </w:r>
          </w:p>
        </w:tc>
      </w:tr>
      <w:tr>
        <w:trPr>
          <w:trHeight w:val="224"/>
        </w:trPr>
        <w:tc>
          <w:tcPr>
            <w:tcW w:w="4040" w:type="dxa"/>
            <w:vAlign w:val="bottom"/>
          </w:tcPr>
          <w:p>
            <w:pPr>
              <w:jc w:val="right"/>
              <w:ind w:right="730"/>
              <w:spacing w:after="0"/>
              <w:rPr>
                <w:sz w:val="20"/>
                <w:szCs w:val="20"/>
                <w:color w:val="auto"/>
              </w:rPr>
            </w:pPr>
            <w:r>
              <w:rPr>
                <w:rFonts w:ascii="Arial" w:cs="Arial" w:eastAsia="Arial" w:hAnsi="Arial"/>
                <w:sz w:val="18"/>
                <w:szCs w:val="18"/>
                <w:color w:val="auto"/>
              </w:rPr>
              <w:t>$2,650,457</w:t>
            </w:r>
          </w:p>
        </w:tc>
        <w:tc>
          <w:tcPr>
            <w:tcW w:w="1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60" w:type="dxa"/>
            <w:vAlign w:val="bottom"/>
          </w:tcPr>
          <w:p>
            <w:pPr>
              <w:jc w:val="right"/>
              <w:ind w:right="2350"/>
              <w:spacing w:after="0"/>
              <w:rPr>
                <w:sz w:val="20"/>
                <w:szCs w:val="20"/>
                <w:color w:val="auto"/>
              </w:rPr>
            </w:pPr>
            <w:r>
              <w:rPr>
                <w:rFonts w:ascii="Arial" w:cs="Arial" w:eastAsia="Arial" w:hAnsi="Arial"/>
                <w:sz w:val="18"/>
                <w:szCs w:val="18"/>
                <w:color w:val="auto"/>
              </w:rPr>
              <w:t>$307.19</w:t>
            </w:r>
          </w:p>
        </w:tc>
      </w:tr>
    </w:tbl>
    <w:p>
      <w:pPr>
        <w:spacing w:after="0" w:line="187" w:lineRule="exact"/>
        <w:rPr>
          <w:sz w:val="24"/>
          <w:szCs w:val="24"/>
          <w:color w:val="auto"/>
        </w:rPr>
      </w:pPr>
    </w:p>
    <w:p>
      <w:pPr>
        <w:ind w:left="660" w:right="60" w:hanging="652"/>
        <w:spacing w:after="0" w:line="302"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Calculated solely for purposes of determining the filing fee. This amount assumes that options to purchase 2,352,308 shares of common stock of Fluidigm Corporation having an aggregate value of approximately $2,650,457 as of August 21, 2017 will be exchanged or cancelled pursuant to this offer. The aggregate value of such securities was calculated using a binomial lattice option pricing model. The amount of the filing fee, calculated in accordance with the Securities Exchange Act of 1934, as amended, equals $115.90 for each $1,000,000 of the value of this transaction.</w:t>
      </w:r>
    </w:p>
    <w:p>
      <w:pPr>
        <w:spacing w:after="0" w:line="154" w:lineRule="exact"/>
        <w:rPr>
          <w:sz w:val="24"/>
          <w:szCs w:val="24"/>
          <w:color w:val="auto"/>
        </w:rPr>
      </w:pPr>
    </w:p>
    <w:p>
      <w:pPr>
        <w:ind w:left="340" w:right="40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420"/>
          </w:cols>
          <w:pgMar w:left="240" w:top="567" w:right="239" w:bottom="896" w:gutter="0" w:footer="0" w:header="0"/>
        </w:sectPr>
      </w:pPr>
    </w:p>
    <w:p>
      <w:pPr>
        <w:spacing w:after="0" w:line="170" w:lineRule="exact"/>
        <w:rPr>
          <w:sz w:val="24"/>
          <w:szCs w:val="24"/>
          <w:color w:val="auto"/>
        </w:rPr>
      </w:pPr>
    </w:p>
    <w:p>
      <w:pPr>
        <w:ind w:left="340"/>
        <w:spacing w:after="0"/>
        <w:rPr>
          <w:sz w:val="20"/>
          <w:szCs w:val="20"/>
          <w:color w:val="auto"/>
        </w:rPr>
      </w:pPr>
      <w:r>
        <w:rPr>
          <w:rFonts w:ascii="Arial" w:cs="Arial" w:eastAsia="Arial" w:hAnsi="Arial"/>
          <w:sz w:val="17"/>
          <w:szCs w:val="17"/>
          <w:color w:val="auto"/>
        </w:rPr>
        <w:t>Amount Previously Paid:</w:t>
      </w:r>
    </w:p>
    <w:p>
      <w:pPr>
        <w:spacing w:after="0" w:line="35" w:lineRule="exact"/>
        <w:rPr>
          <w:sz w:val="24"/>
          <w:szCs w:val="24"/>
          <w:color w:val="auto"/>
        </w:rPr>
      </w:pPr>
    </w:p>
    <w:p>
      <w:pPr>
        <w:ind w:left="340"/>
        <w:spacing w:after="0"/>
        <w:rPr>
          <w:sz w:val="20"/>
          <w:szCs w:val="20"/>
          <w:color w:val="auto"/>
        </w:rPr>
      </w:pPr>
      <w:r>
        <w:rPr>
          <w:rFonts w:ascii="Arial" w:cs="Arial" w:eastAsia="Arial" w:hAnsi="Arial"/>
          <w:sz w:val="16"/>
          <w:szCs w:val="16"/>
          <w:color w:val="auto"/>
        </w:rPr>
        <w:t>Form or Registration No.:</w:t>
      </w:r>
    </w:p>
    <w:p>
      <w:pPr>
        <w:spacing w:after="0" w:line="3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Filing party:</w:t>
      </w:r>
    </w:p>
    <w:p>
      <w:pPr>
        <w:spacing w:after="0" w:line="9" w:lineRule="exact"/>
        <w:rPr>
          <w:sz w:val="24"/>
          <w:szCs w:val="24"/>
          <w:color w:val="auto"/>
        </w:rPr>
      </w:pPr>
    </w:p>
    <w:p>
      <w:pPr>
        <w:ind w:left="340"/>
        <w:spacing w:after="0"/>
        <w:rPr>
          <w:sz w:val="20"/>
          <w:szCs w:val="20"/>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$307.19</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Schedule TO-I</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Fluidigm Corporation</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August 23, 2017</w:t>
      </w:r>
    </w:p>
    <w:p>
      <w:pPr>
        <w:spacing w:after="0" w:line="200" w:lineRule="exact"/>
        <w:rPr>
          <w:sz w:val="24"/>
          <w:szCs w:val="24"/>
          <w:color w:val="auto"/>
        </w:rPr>
      </w:pPr>
    </w:p>
    <w:p>
      <w:pPr>
        <w:sectPr>
          <w:pgSz w:w="11900" w:h="16838" w:orient="portrait"/>
          <w:cols w:equalWidth="0" w:num="2">
            <w:col w:w="2860" w:space="720"/>
            <w:col w:w="7840"/>
          </w:cols>
          <w:pgMar w:left="240" w:top="567" w:right="239" w:bottom="896" w:gutter="0" w:footer="0" w:header="0"/>
          <w:type w:val="continuous"/>
        </w:sectPr>
      </w:pPr>
    </w:p>
    <w:p>
      <w:pPr>
        <w:spacing w:after="0" w:line="11" w:lineRule="exact"/>
        <w:rPr>
          <w:sz w:val="24"/>
          <w:szCs w:val="24"/>
          <w:color w:val="auto"/>
        </w:rPr>
      </w:pPr>
    </w:p>
    <w:p>
      <w:pPr>
        <w:ind w:right="2260" w:firstLine="8"/>
        <w:spacing w:after="0" w:line="482" w:lineRule="auto"/>
        <w:tabs>
          <w:tab w:leader="none" w:pos="3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33" w:lineRule="exact"/>
        <w:rPr>
          <w:sz w:val="24"/>
          <w:szCs w:val="24"/>
          <w:color w:val="auto"/>
        </w:rPr>
      </w:pPr>
    </w:p>
    <w:p>
      <w:pPr>
        <w:ind w:left="660" w:hanging="328"/>
        <w:spacing w:after="0"/>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third party tender offer subject to Rule 14d-1.</w:t>
      </w:r>
    </w:p>
    <w:p>
      <w:pPr>
        <w:spacing w:after="0" w:line="225" w:lineRule="exact"/>
        <w:rPr>
          <w:sz w:val="24"/>
          <w:szCs w:val="24"/>
          <w:color w:val="auto"/>
        </w:rPr>
      </w:pPr>
    </w:p>
    <w:p>
      <w:pPr>
        <w:ind w:left="660" w:hanging="328"/>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issuer tender offer subject to Rule 13e-4.</w:t>
      </w:r>
    </w:p>
    <w:p>
      <w:pPr>
        <w:spacing w:after="0" w:line="225" w:lineRule="exact"/>
        <w:rPr>
          <w:sz w:val="24"/>
          <w:szCs w:val="24"/>
          <w:color w:val="auto"/>
        </w:rPr>
      </w:pPr>
    </w:p>
    <w:p>
      <w:pPr>
        <w:ind w:left="660" w:hanging="328"/>
        <w:spacing w:after="0"/>
        <w:tabs>
          <w:tab w:leader="none" w:pos="66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going-private transaction subject to Rule 13e-3.</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amendment to Schedule 13D under Rule 13d-2.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following box if the filing is a final amendment reporting the results of the tender offer: ý</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640715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7" w:right="239" w:bottom="896" w:gutter="0" w:footer="0" w:header="0"/>
          <w:type w:val="continuous"/>
        </w:sectPr>
      </w:pPr>
    </w:p>
    <w:bookmarkStart w:id="1" w:name="page2"/>
    <w:bookmarkEnd w:id="1"/>
    <w:p>
      <w:pPr>
        <w:ind w:firstLine="891"/>
        <w:spacing w:after="0" w:line="257" w:lineRule="auto"/>
        <w:rPr>
          <w:sz w:val="20"/>
          <w:szCs w:val="20"/>
          <w:color w:val="auto"/>
        </w:rPr>
      </w:pPr>
      <w:r>
        <w:rPr>
          <w:rFonts w:ascii="Arial" w:cs="Arial" w:eastAsia="Arial" w:hAnsi="Arial"/>
          <w:sz w:val="18"/>
          <w:szCs w:val="18"/>
          <w:color w:val="auto"/>
        </w:rPr>
        <w:t>This Amendment No. 1 (“Amendment No. 1”) amends and supplements the Tender Offer Statement on Schedule TO originally filed with the Securities and Exchange Commission (the “SEC”) on August 23, 2017 (the “Schedule TO”), by Fluidigm Corporation, a Delaware corporation (“Fluidigm” or the “Company”), related to the Company’s offer to exchange (the “Exchange Offer”) certain options to purchase up to an aggregate of 2,352,308 shares of the Company’s common stock, whether vested or unvested, with an exercise price per share greater than US$4.37 (the “Eligible Options”), except as otherwise described in the Offer to Exchange (as defined in the Schedule TO).</w:t>
      </w:r>
    </w:p>
    <w:p>
      <w:pPr>
        <w:spacing w:after="0" w:line="188" w:lineRule="exact"/>
        <w:rPr>
          <w:sz w:val="20"/>
          <w:szCs w:val="20"/>
          <w:color w:val="auto"/>
        </w:rPr>
      </w:pPr>
    </w:p>
    <w:p>
      <w:pPr>
        <w:ind w:firstLine="881"/>
        <w:spacing w:after="0" w:line="257" w:lineRule="auto"/>
        <w:rPr>
          <w:sz w:val="20"/>
          <w:szCs w:val="20"/>
          <w:color w:val="auto"/>
        </w:rPr>
      </w:pPr>
      <w:r>
        <w:rPr>
          <w:rFonts w:ascii="Arial" w:cs="Arial" w:eastAsia="Arial" w:hAnsi="Arial"/>
          <w:sz w:val="18"/>
          <w:szCs w:val="18"/>
          <w:color w:val="auto"/>
        </w:rPr>
        <w:t>Filed in satisfaction of the reporting requirements of Rule 13e-4(c)(4) promulgated under the Securities Exchange Act of 1934, this Amendment No. 1 is being filed solely to amend “Item 4 - Terms of the Transaction” to reflect the final results of the Offer to Exchange under the caption “Material Terms.” Only those items amended are reported in this Amendment No. 1. Except as specifically provided herein, the information contained in the Schedule TO remains unchanged, and this Amendment No. 1 does not modify any of the information previously reported in the Schedule TO other than as specifically provided 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Terms of the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4 of the Schedule TO is hereby amended to include the following:</w:t>
      </w:r>
    </w:p>
    <w:p>
      <w:pPr>
        <w:spacing w:after="0" w:line="225" w:lineRule="exact"/>
        <w:rPr>
          <w:sz w:val="20"/>
          <w:szCs w:val="20"/>
          <w:color w:val="auto"/>
        </w:rPr>
      </w:pPr>
    </w:p>
    <w:p>
      <w:pPr>
        <w:ind w:left="660" w:right="40"/>
        <w:spacing w:after="0" w:line="293" w:lineRule="auto"/>
        <w:rPr>
          <w:sz w:val="20"/>
          <w:szCs w:val="20"/>
          <w:color w:val="auto"/>
        </w:rPr>
      </w:pPr>
      <w:r>
        <w:rPr>
          <w:rFonts w:ascii="Arial" w:cs="Arial" w:eastAsia="Arial" w:hAnsi="Arial"/>
          <w:sz w:val="16"/>
          <w:szCs w:val="16"/>
          <w:color w:val="auto"/>
        </w:rPr>
        <w:t>“The Exchange Offer expired on September 20, 2017, at 9:00 p.m., Pacific Time. A total of 115 Eligible Employees elected to exchange Eligible Options in the offer. Pursuant to the terms and conditions of the offer, the Company accepted for exchange Eligible Options to purchase a total of 1,204,198 shares of the Company’s common stock, representing approximately 50.02% of the total shares of common stock underlying the Eligible Options. All surrendered options were cancelled effective as of the expiration of the option exchange, and immediately thereafter, in exchange therefor, the Company granted (i) new options to purchase an aggregate of 399,117 shares of Fluidigm common stock; and (ii) restricted stock units representing 54,944 shares of Fluidigm common stock, each, pursuant to the terms of the offer and the Company’s 2011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525145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8" w:right="33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Schedule TO is true, complete and correct.</w:t>
      </w:r>
    </w:p>
    <w:p>
      <w:pPr>
        <w:spacing w:after="0" w:line="24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FLUIDIGM CORPORATION</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Stephen Christopher Linthwaite</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 and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21, 2017</w:t>
      </w:r>
    </w:p>
    <w:p>
      <w:pPr>
        <w:spacing w:after="0" w:line="200" w:lineRule="exact"/>
        <w:rPr>
          <w:sz w:val="20"/>
          <w:szCs w:val="20"/>
          <w:color w:val="auto"/>
        </w:rPr>
      </w:pPr>
    </w:p>
    <w:p>
      <w:pPr>
        <w:spacing w:after="0" w:line="234"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20"/>
          </w:cols>
          <w:pgMar w:left="240" w:top="904" w:right="5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3560"/>
              <w:spacing w:after="0"/>
              <w:rPr>
                <w:sz w:val="20"/>
                <w:szCs w:val="20"/>
                <w:color w:val="auto"/>
              </w:rPr>
            </w:pPr>
            <w:r>
              <w:rPr>
                <w:rFonts w:ascii="Arial" w:cs="Arial" w:eastAsia="Arial" w:hAnsi="Arial"/>
                <w:sz w:val="18"/>
                <w:szCs w:val="18"/>
                <w:b w:val="1"/>
                <w:bCs w:val="1"/>
                <w:color w:val="auto"/>
              </w:rPr>
              <w:t>INDEX TO EXHIBITS</w:t>
            </w:r>
          </w:p>
        </w:tc>
      </w:tr>
      <w:tr>
        <w:trPr>
          <w:trHeight w:val="630"/>
        </w:trPr>
        <w:tc>
          <w:tcPr>
            <w:tcW w:w="1160" w:type="dxa"/>
            <w:vAlign w:val="bottom"/>
          </w:tcPr>
          <w:p>
            <w:pPr>
              <w:ind w:left="300"/>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4"/>
                <w:szCs w:val="24"/>
                <w:color w:val="auto"/>
              </w:rPr>
            </w:pPr>
          </w:p>
        </w:tc>
        <w:tc>
          <w:tcPr>
            <w:tcW w:w="10160" w:type="dxa"/>
            <w:vAlign w:val="bottom"/>
          </w:tcPr>
          <w:p>
            <w:pPr>
              <w:spacing w:after="0"/>
              <w:rPr>
                <w:sz w:val="24"/>
                <w:szCs w:val="24"/>
                <w:color w:val="auto"/>
              </w:rPr>
            </w:pPr>
          </w:p>
        </w:tc>
      </w:tr>
      <w:tr>
        <w:trPr>
          <w:trHeight w:val="234"/>
        </w:trPr>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20"/>
                <w:szCs w:val="20"/>
                <w:color w:val="auto"/>
              </w:rPr>
            </w:pPr>
          </w:p>
        </w:tc>
        <w:tc>
          <w:tcPr>
            <w:tcW w:w="10160" w:type="dxa"/>
            <w:vAlign w:val="bottom"/>
            <w:tcBorders>
              <w:bottom w:val="single" w:sz="8" w:color="auto"/>
            </w:tcBorders>
          </w:tcPr>
          <w:p>
            <w:pPr>
              <w:ind w:left="4640"/>
              <w:spacing w:after="0"/>
              <w:rPr>
                <w:sz w:val="20"/>
                <w:szCs w:val="20"/>
                <w:color w:val="auto"/>
              </w:rPr>
            </w:pPr>
            <w:r>
              <w:rPr>
                <w:rFonts w:ascii="Arial" w:cs="Arial" w:eastAsia="Arial" w:hAnsi="Arial"/>
                <w:sz w:val="18"/>
                <w:szCs w:val="18"/>
                <w:b w:val="1"/>
                <w:bCs w:val="1"/>
                <w:color w:val="auto"/>
              </w:rPr>
              <w:t>Description</w:t>
            </w: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(a)(1)(A)*</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Offer to Exchange Certain Outstanding Options for New Awards, dated August 23, 2017.</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(a)(1)(B)*</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Launch Announcement.</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(a)(1)(C)*</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Election Form.</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(a)(1)(D)*</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Form of Confirmation Email.</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(a)(1)(E)*</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Form of Reminder Email.</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(a)(1)(F)*</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Form of Notice Email Announcing Final Offer Terms.</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(a)(1)(G)*</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Form of Expiration Notice Email.</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(a)(1)(H)*</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Screenshots from Offer Website.</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(a)(1)(I)*</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Employee FAQS.</w:t>
            </w:r>
          </w:p>
        </w:tc>
      </w:tr>
    </w:tbl>
    <w:p>
      <w:pPr>
        <w:spacing w:after="0" w:line="202" w:lineRule="exact"/>
        <w:rPr>
          <w:sz w:val="20"/>
          <w:szCs w:val="20"/>
          <w:color w:val="auto"/>
        </w:rPr>
      </w:pPr>
    </w:p>
    <w:p>
      <w:pPr>
        <w:ind w:left="1260" w:hanging="1252"/>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(d)(1)</w:t>
            </w:r>
          </w:p>
        </w:tc>
        <w:tc>
          <w:tcPr>
            <w:tcW w:w="10520" w:type="dxa"/>
            <w:vAlign w:val="bottom"/>
          </w:tcPr>
          <w:p>
            <w:pPr>
              <w:ind w:left="360"/>
              <w:spacing w:after="0"/>
              <w:rPr>
                <w:sz w:val="20"/>
                <w:szCs w:val="20"/>
                <w:color w:val="auto"/>
              </w:rPr>
            </w:pPr>
            <w:r>
              <w:rPr>
                <w:rFonts w:ascii="Arial" w:cs="Arial" w:eastAsia="Arial" w:hAnsi="Arial"/>
                <w:sz w:val="18"/>
                <w:szCs w:val="18"/>
                <w:color w:val="auto"/>
                <w:w w:val="93"/>
              </w:rPr>
              <w:t>2011 Equity Incentive Plan of Fluidigm Corporation (incorporated by reference from Exhibit 10.4 to Fluidigm’s Registration Statement on</w:t>
            </w:r>
          </w:p>
        </w:tc>
      </w:tr>
      <w:tr>
        <w:trPr>
          <w:trHeight w:val="230"/>
        </w:trPr>
        <w:tc>
          <w:tcPr>
            <w:tcW w:w="90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Form S-1 filed with the Securities and Exchange Commission on January 28, 2011).</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(d)(2)*</w:t>
            </w:r>
          </w:p>
        </w:tc>
        <w:tc>
          <w:tcPr>
            <w:tcW w:w="10520" w:type="dxa"/>
            <w:vAlign w:val="bottom"/>
          </w:tcPr>
          <w:p>
            <w:pPr>
              <w:ind w:left="360"/>
              <w:spacing w:after="0"/>
              <w:rPr>
                <w:sz w:val="20"/>
                <w:szCs w:val="20"/>
                <w:color w:val="auto"/>
              </w:rPr>
            </w:pPr>
            <w:r>
              <w:rPr>
                <w:rFonts w:ascii="Arial" w:cs="Arial" w:eastAsia="Arial" w:hAnsi="Arial"/>
                <w:sz w:val="18"/>
                <w:szCs w:val="18"/>
                <w:color w:val="auto"/>
              </w:rPr>
              <w:t>Forms of U.S. agreements under the 2011 Equity Incentive Plan.</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(d)(3)*</w:t>
            </w:r>
          </w:p>
        </w:tc>
        <w:tc>
          <w:tcPr>
            <w:tcW w:w="10520" w:type="dxa"/>
            <w:vAlign w:val="bottom"/>
          </w:tcPr>
          <w:p>
            <w:pPr>
              <w:ind w:left="360"/>
              <w:spacing w:after="0"/>
              <w:rPr>
                <w:sz w:val="20"/>
                <w:szCs w:val="20"/>
                <w:color w:val="auto"/>
              </w:rPr>
            </w:pPr>
            <w:r>
              <w:rPr>
                <w:rFonts w:ascii="Arial" w:cs="Arial" w:eastAsia="Arial" w:hAnsi="Arial"/>
                <w:sz w:val="18"/>
                <w:szCs w:val="18"/>
                <w:color w:val="auto"/>
              </w:rPr>
              <w:t>Rules of the Fluidigm Corporation 2011 Equity Incentive Plan for Restricted Stock Unit Awards Granted to French Participants.</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(d)(4)*</w:t>
            </w:r>
          </w:p>
        </w:tc>
        <w:tc>
          <w:tcPr>
            <w:tcW w:w="10520" w:type="dxa"/>
            <w:vAlign w:val="bottom"/>
          </w:tcPr>
          <w:p>
            <w:pPr>
              <w:ind w:left="360"/>
              <w:spacing w:after="0"/>
              <w:rPr>
                <w:sz w:val="20"/>
                <w:szCs w:val="20"/>
                <w:color w:val="auto"/>
              </w:rPr>
            </w:pPr>
            <w:r>
              <w:rPr>
                <w:rFonts w:ascii="Arial" w:cs="Arial" w:eastAsia="Arial" w:hAnsi="Arial"/>
                <w:sz w:val="18"/>
                <w:szCs w:val="18"/>
                <w:color w:val="auto"/>
              </w:rPr>
              <w:t>Rules of the Fluidigm Corporation 2011 Equity Incentive Plan for Options Granted to French Participants.</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(d)(5)*</w:t>
            </w:r>
          </w:p>
        </w:tc>
        <w:tc>
          <w:tcPr>
            <w:tcW w:w="10520" w:type="dxa"/>
            <w:vAlign w:val="bottom"/>
          </w:tcPr>
          <w:p>
            <w:pPr>
              <w:ind w:left="360"/>
              <w:spacing w:after="0"/>
              <w:rPr>
                <w:sz w:val="20"/>
                <w:szCs w:val="20"/>
                <w:color w:val="auto"/>
              </w:rPr>
            </w:pPr>
            <w:r>
              <w:rPr>
                <w:rFonts w:ascii="Arial" w:cs="Arial" w:eastAsia="Arial" w:hAnsi="Arial"/>
                <w:sz w:val="18"/>
                <w:szCs w:val="18"/>
                <w:color w:val="auto"/>
              </w:rPr>
              <w:t>UK Sub-plan to the Fluidigm Corporation 2011 Equity Incentive Plan.</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(d)(6)*</w:t>
            </w:r>
          </w:p>
        </w:tc>
        <w:tc>
          <w:tcPr>
            <w:tcW w:w="10520" w:type="dxa"/>
            <w:vAlign w:val="bottom"/>
          </w:tcPr>
          <w:p>
            <w:pPr>
              <w:ind w:left="360"/>
              <w:spacing w:after="0"/>
              <w:rPr>
                <w:sz w:val="20"/>
                <w:szCs w:val="20"/>
                <w:color w:val="auto"/>
              </w:rPr>
            </w:pPr>
            <w:r>
              <w:rPr>
                <w:rFonts w:ascii="Arial" w:cs="Arial" w:eastAsia="Arial" w:hAnsi="Arial"/>
                <w:sz w:val="18"/>
                <w:szCs w:val="18"/>
                <w:color w:val="auto"/>
              </w:rPr>
              <w:t>Form of Restricted Stock Unit Agreement—Non–U.S. under the 2011 Equity Incentive Plan.</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(d)(7)*</w:t>
            </w:r>
          </w:p>
        </w:tc>
        <w:tc>
          <w:tcPr>
            <w:tcW w:w="10520" w:type="dxa"/>
            <w:vAlign w:val="bottom"/>
          </w:tcPr>
          <w:p>
            <w:pPr>
              <w:ind w:left="360"/>
              <w:spacing w:after="0"/>
              <w:rPr>
                <w:sz w:val="20"/>
                <w:szCs w:val="20"/>
                <w:color w:val="auto"/>
              </w:rPr>
            </w:pPr>
            <w:r>
              <w:rPr>
                <w:rFonts w:ascii="Arial" w:cs="Arial" w:eastAsia="Arial" w:hAnsi="Arial"/>
                <w:sz w:val="18"/>
                <w:szCs w:val="18"/>
                <w:color w:val="auto"/>
              </w:rPr>
              <w:t>Form of Stock Option Agreement—Non–U.S. under the 2011 Equity Incentive Plan.</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(d)(8)</w:t>
            </w:r>
          </w:p>
        </w:tc>
        <w:tc>
          <w:tcPr>
            <w:tcW w:w="10520" w:type="dxa"/>
            <w:vAlign w:val="bottom"/>
          </w:tcPr>
          <w:p>
            <w:pPr>
              <w:ind w:left="360"/>
              <w:spacing w:after="0"/>
              <w:rPr>
                <w:sz w:val="20"/>
                <w:szCs w:val="20"/>
                <w:color w:val="auto"/>
              </w:rPr>
            </w:pPr>
            <w:r>
              <w:rPr>
                <w:rFonts w:ascii="Arial" w:cs="Arial" w:eastAsia="Arial" w:hAnsi="Arial"/>
                <w:sz w:val="18"/>
                <w:szCs w:val="18"/>
                <w:color w:val="auto"/>
                <w:w w:val="94"/>
              </w:rPr>
              <w:t>2009 Equity Incentive Plan of Fluidigm Corporation, as amended (incorporated by reference from Exhibit 10.3 to Fluidigm’s Registration</w:t>
            </w:r>
          </w:p>
        </w:tc>
      </w:tr>
      <w:tr>
        <w:trPr>
          <w:trHeight w:val="230"/>
        </w:trPr>
        <w:tc>
          <w:tcPr>
            <w:tcW w:w="90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Statement on Form S-1 filed with the Securities and Exchange Commission on December 3, 2010).</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(d)(9)</w:t>
            </w:r>
          </w:p>
        </w:tc>
        <w:tc>
          <w:tcPr>
            <w:tcW w:w="10520" w:type="dxa"/>
            <w:vAlign w:val="bottom"/>
          </w:tcPr>
          <w:p>
            <w:pPr>
              <w:ind w:left="360"/>
              <w:spacing w:after="0"/>
              <w:rPr>
                <w:sz w:val="20"/>
                <w:szCs w:val="20"/>
                <w:color w:val="auto"/>
              </w:rPr>
            </w:pPr>
            <w:r>
              <w:rPr>
                <w:rFonts w:ascii="Arial" w:cs="Arial" w:eastAsia="Arial" w:hAnsi="Arial"/>
                <w:sz w:val="18"/>
                <w:szCs w:val="18"/>
                <w:color w:val="auto"/>
                <w:w w:val="96"/>
              </w:rPr>
              <w:t>Forms of agreements under the 2009 Equity Incentive Plan (incorporated by reference from Exhibit 10.3A to Fluidigm’s Registration</w:t>
            </w:r>
          </w:p>
        </w:tc>
      </w:tr>
      <w:tr>
        <w:trPr>
          <w:trHeight w:val="230"/>
        </w:trPr>
        <w:tc>
          <w:tcPr>
            <w:tcW w:w="90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Statement on Form S-1 filed with the Securities and Exchange Commission on December 3, 2010).</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(d)(10)</w:t>
            </w:r>
          </w:p>
        </w:tc>
        <w:tc>
          <w:tcPr>
            <w:tcW w:w="10520" w:type="dxa"/>
            <w:vAlign w:val="bottom"/>
          </w:tcPr>
          <w:p>
            <w:pPr>
              <w:ind w:left="360"/>
              <w:spacing w:after="0"/>
              <w:rPr>
                <w:sz w:val="20"/>
                <w:szCs w:val="20"/>
                <w:color w:val="auto"/>
              </w:rPr>
            </w:pPr>
            <w:r>
              <w:rPr>
                <w:rFonts w:ascii="Arial" w:cs="Arial" w:eastAsia="Arial" w:hAnsi="Arial"/>
                <w:sz w:val="18"/>
                <w:szCs w:val="18"/>
                <w:color w:val="auto"/>
                <w:w w:val="96"/>
              </w:rPr>
              <w:t>1999 Stock Option Plan of Fluidigm Corporation, as amended (incorporated by reference from Exhibit 10.2 to Fluidigm’s Registration</w:t>
            </w:r>
          </w:p>
        </w:tc>
      </w:tr>
      <w:tr>
        <w:trPr>
          <w:trHeight w:val="230"/>
        </w:trPr>
        <w:tc>
          <w:tcPr>
            <w:tcW w:w="90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Statement on Form S-1 filed with the Securities and Exchange Commission on December 3, 2010).</w:t>
            </w:r>
          </w:p>
        </w:tc>
      </w:tr>
      <w:tr>
        <w:trPr>
          <w:trHeight w:val="702"/>
        </w:trPr>
        <w:tc>
          <w:tcPr>
            <w:tcW w:w="900" w:type="dxa"/>
            <w:vAlign w:val="bottom"/>
            <w:tcBorders>
              <w:bottom w:val="single" w:sz="8" w:color="auto"/>
            </w:tcBorders>
          </w:tcPr>
          <w:p>
            <w:pPr>
              <w:spacing w:after="0"/>
              <w:rPr>
                <w:sz w:val="24"/>
                <w:szCs w:val="24"/>
                <w:color w:val="auto"/>
              </w:rPr>
            </w:pPr>
          </w:p>
        </w:tc>
        <w:tc>
          <w:tcPr>
            <w:tcW w:w="10520" w:type="dxa"/>
            <w:vAlign w:val="bottom"/>
            <w:tcBorders>
              <w:bottom w:val="single" w:sz="8" w:color="auto"/>
            </w:tcBorders>
          </w:tcPr>
          <w:p>
            <w:pPr>
              <w:ind w:left="4740"/>
              <w:spacing w:after="0"/>
              <w:rPr>
                <w:sz w:val="20"/>
                <w:szCs w:val="20"/>
                <w:color w:val="auto"/>
              </w:rPr>
            </w:pPr>
            <w:r>
              <w:rPr>
                <w:rFonts w:ascii="Arial" w:cs="Arial" w:eastAsia="Arial" w:hAnsi="Arial"/>
                <w:sz w:val="22"/>
                <w:szCs w:val="22"/>
                <w:color w:val="auto"/>
              </w:rPr>
              <w:t>3</w:t>
            </w:r>
          </w:p>
        </w:tc>
      </w:tr>
    </w:tbl>
    <w:p>
      <w:pPr>
        <w:sectPr>
          <w:pgSz w:w="11900" w:h="16838" w:orient="portrait"/>
          <w:cols w:equalWidth="0" w:num="1">
            <w:col w:w="11420"/>
          </w:cols>
          <w:pgMar w:left="240" w:top="904"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(d)(11)</w:t>
            </w:r>
          </w:p>
        </w:tc>
        <w:tc>
          <w:tcPr>
            <w:tcW w:w="10480" w:type="dxa"/>
            <w:vAlign w:val="bottom"/>
          </w:tcPr>
          <w:p>
            <w:pPr>
              <w:ind w:left="360"/>
              <w:spacing w:after="0"/>
              <w:rPr>
                <w:sz w:val="20"/>
                <w:szCs w:val="20"/>
                <w:color w:val="auto"/>
              </w:rPr>
            </w:pPr>
            <w:r>
              <w:rPr>
                <w:rFonts w:ascii="Arial" w:cs="Arial" w:eastAsia="Arial" w:hAnsi="Arial"/>
                <w:sz w:val="18"/>
                <w:szCs w:val="18"/>
                <w:color w:val="auto"/>
                <w:w w:val="91"/>
              </w:rPr>
              <w:t>Forms of agreements under the 1999 Stock Option Plan (incorporated by reference from Exhibit 10.2A to Fluidigm’s Registration Statement</w:t>
            </w:r>
          </w:p>
        </w:tc>
      </w:tr>
      <w:tr>
        <w:trPr>
          <w:trHeight w:val="230"/>
        </w:trPr>
        <w:tc>
          <w:tcPr>
            <w:tcW w:w="900" w:type="dxa"/>
            <w:vAlign w:val="bottom"/>
          </w:tcPr>
          <w:p>
            <w:pPr>
              <w:spacing w:after="0"/>
              <w:rPr>
                <w:sz w:val="20"/>
                <w:szCs w:val="20"/>
                <w:color w:val="auto"/>
              </w:rPr>
            </w:pPr>
          </w:p>
        </w:tc>
        <w:tc>
          <w:tcPr>
            <w:tcW w:w="10480" w:type="dxa"/>
            <w:vAlign w:val="bottom"/>
          </w:tcPr>
          <w:p>
            <w:pPr>
              <w:ind w:left="360"/>
              <w:spacing w:after="0"/>
              <w:rPr>
                <w:sz w:val="20"/>
                <w:szCs w:val="20"/>
                <w:color w:val="auto"/>
              </w:rPr>
            </w:pPr>
            <w:r>
              <w:rPr>
                <w:rFonts w:ascii="Arial" w:cs="Arial" w:eastAsia="Arial" w:hAnsi="Arial"/>
                <w:sz w:val="18"/>
                <w:szCs w:val="18"/>
                <w:color w:val="auto"/>
              </w:rPr>
              <w:t>on Form S-1 filed with the Securities and Exchange Commission on December 3, 2010).</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(d)(12)</w:t>
            </w:r>
          </w:p>
        </w:tc>
        <w:tc>
          <w:tcPr>
            <w:tcW w:w="10480" w:type="dxa"/>
            <w:vAlign w:val="bottom"/>
          </w:tcPr>
          <w:p>
            <w:pPr>
              <w:ind w:left="360"/>
              <w:spacing w:after="0"/>
              <w:rPr>
                <w:sz w:val="20"/>
                <w:szCs w:val="20"/>
                <w:color w:val="auto"/>
              </w:rPr>
            </w:pPr>
            <w:r>
              <w:rPr>
                <w:rFonts w:ascii="Arial" w:cs="Arial" w:eastAsia="Arial" w:hAnsi="Arial"/>
                <w:sz w:val="18"/>
                <w:szCs w:val="18"/>
                <w:color w:val="auto"/>
                <w:w w:val="96"/>
              </w:rPr>
              <w:t>DVS Sciences, Inc.’s 2010 Equity Incentive Plan, as amended (incorporated by reference from Exhibit 4.3 to Fluidigm’s Registration</w:t>
            </w:r>
          </w:p>
        </w:tc>
      </w:tr>
      <w:tr>
        <w:trPr>
          <w:trHeight w:val="230"/>
        </w:trPr>
        <w:tc>
          <w:tcPr>
            <w:tcW w:w="900" w:type="dxa"/>
            <w:vAlign w:val="bottom"/>
          </w:tcPr>
          <w:p>
            <w:pPr>
              <w:spacing w:after="0"/>
              <w:rPr>
                <w:sz w:val="20"/>
                <w:szCs w:val="20"/>
                <w:color w:val="auto"/>
              </w:rPr>
            </w:pPr>
          </w:p>
        </w:tc>
        <w:tc>
          <w:tcPr>
            <w:tcW w:w="10480" w:type="dxa"/>
            <w:vAlign w:val="bottom"/>
          </w:tcPr>
          <w:p>
            <w:pPr>
              <w:ind w:left="360"/>
              <w:spacing w:after="0"/>
              <w:rPr>
                <w:sz w:val="20"/>
                <w:szCs w:val="20"/>
                <w:color w:val="auto"/>
              </w:rPr>
            </w:pPr>
            <w:r>
              <w:rPr>
                <w:rFonts w:ascii="Arial" w:cs="Arial" w:eastAsia="Arial" w:hAnsi="Arial"/>
                <w:sz w:val="18"/>
                <w:szCs w:val="18"/>
                <w:color w:val="auto"/>
              </w:rPr>
              <w:t>Statement on Form S-8 filed with the Securities and Exchange Commission on February 21, 2014).</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(d)(13)</w:t>
            </w:r>
          </w:p>
        </w:tc>
        <w:tc>
          <w:tcPr>
            <w:tcW w:w="10480" w:type="dxa"/>
            <w:vAlign w:val="bottom"/>
          </w:tcPr>
          <w:p>
            <w:pPr>
              <w:ind w:left="360"/>
              <w:spacing w:after="0"/>
              <w:rPr>
                <w:sz w:val="20"/>
                <w:szCs w:val="20"/>
                <w:color w:val="auto"/>
              </w:rPr>
            </w:pPr>
            <w:r>
              <w:rPr>
                <w:rFonts w:ascii="Arial" w:cs="Arial" w:eastAsia="Arial" w:hAnsi="Arial"/>
                <w:sz w:val="18"/>
                <w:szCs w:val="18"/>
                <w:color w:val="auto"/>
                <w:w w:val="94"/>
              </w:rPr>
              <w:t>Amendments to the Fluidigm Corporation 2011 Equity Incentive Plan, 2009 Equity Incentive Plan, and 1999 Stock Option Plan and the</w:t>
            </w:r>
          </w:p>
        </w:tc>
      </w:tr>
      <w:tr>
        <w:trPr>
          <w:trHeight w:val="216"/>
        </w:trPr>
        <w:tc>
          <w:tcPr>
            <w:tcW w:w="900" w:type="dxa"/>
            <w:vAlign w:val="bottom"/>
          </w:tcPr>
          <w:p>
            <w:pPr>
              <w:spacing w:after="0"/>
              <w:rPr>
                <w:sz w:val="18"/>
                <w:szCs w:val="18"/>
                <w:color w:val="auto"/>
              </w:rPr>
            </w:pPr>
          </w:p>
        </w:tc>
        <w:tc>
          <w:tcPr>
            <w:tcW w:w="10480" w:type="dxa"/>
            <w:vAlign w:val="bottom"/>
          </w:tcPr>
          <w:p>
            <w:pPr>
              <w:ind w:left="360"/>
              <w:spacing w:after="0"/>
              <w:rPr>
                <w:sz w:val="20"/>
                <w:szCs w:val="20"/>
                <w:color w:val="auto"/>
              </w:rPr>
            </w:pPr>
            <w:r>
              <w:rPr>
                <w:rFonts w:ascii="Arial" w:cs="Arial" w:eastAsia="Arial" w:hAnsi="Arial"/>
                <w:sz w:val="18"/>
                <w:szCs w:val="18"/>
                <w:color w:val="auto"/>
                <w:w w:val="94"/>
              </w:rPr>
              <w:t>DVS Sciences, Inc. 2010 Equity Incentive Plan (incorporated by reference from Exhibit 10.2 to Fluidigm’s Current Report on Form 8-K</w:t>
            </w:r>
          </w:p>
        </w:tc>
      </w:tr>
      <w:tr>
        <w:trPr>
          <w:trHeight w:val="230"/>
        </w:trPr>
        <w:tc>
          <w:tcPr>
            <w:tcW w:w="900" w:type="dxa"/>
            <w:vAlign w:val="bottom"/>
          </w:tcPr>
          <w:p>
            <w:pPr>
              <w:spacing w:after="0"/>
              <w:rPr>
                <w:sz w:val="20"/>
                <w:szCs w:val="20"/>
                <w:color w:val="auto"/>
              </w:rPr>
            </w:pPr>
          </w:p>
        </w:tc>
        <w:tc>
          <w:tcPr>
            <w:tcW w:w="10480" w:type="dxa"/>
            <w:vAlign w:val="bottom"/>
          </w:tcPr>
          <w:p>
            <w:pPr>
              <w:ind w:left="360"/>
              <w:spacing w:after="0"/>
              <w:rPr>
                <w:sz w:val="20"/>
                <w:szCs w:val="20"/>
                <w:color w:val="auto"/>
              </w:rPr>
            </w:pPr>
            <w:r>
              <w:rPr>
                <w:rFonts w:ascii="Arial" w:cs="Arial" w:eastAsia="Arial" w:hAnsi="Arial"/>
                <w:sz w:val="18"/>
                <w:szCs w:val="18"/>
                <w:color w:val="auto"/>
              </w:rPr>
              <w:t>filed with the Securities and Exchange Commission on August 2, 2017).</w:t>
            </w:r>
          </w:p>
        </w:tc>
      </w:tr>
    </w:tbl>
    <w:p>
      <w:pPr>
        <w:spacing w:after="0" w:line="202" w:lineRule="exact"/>
        <w:rPr>
          <w:sz w:val="20"/>
          <w:szCs w:val="20"/>
          <w:color w:val="auto"/>
        </w:rPr>
      </w:pPr>
    </w:p>
    <w:p>
      <w:pPr>
        <w:ind w:left="1260" w:hanging="1252"/>
        <w:spacing w:after="0"/>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1260" w:hanging="1252"/>
        <w:spacing w:after="0"/>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Previously filed.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80"/>
      </w:cols>
      <w:pgMar w:left="240" w:top="1152"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x"/>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lowerLetter"/>
      <w:start w:val="2"/>
    </w:lvl>
  </w:abstractNum>
  <w:abstractNum w:abstractNumId="7">
    <w:nsid w:val="7545E146"/>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2019-12-06T17:45:02Z</dcterms:created>
  <dcterms:modified xsi:type="dcterms:W3CDTF">2019-12-06T17:45:02Z</dcterms:modified>
</cp:coreProperties>
</file>