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January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FLUIDIGM CORPORATION</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12" w:lineRule="exact"/>
        <w:rPr>
          <w:sz w:val="24"/>
          <w:szCs w:val="24"/>
          <w:color w:val="auto"/>
        </w:rPr>
      </w:pPr>
    </w:p>
    <w:p>
      <w:pPr>
        <w:sectPr>
          <w:pgSz w:w="11900" w:h="16838" w:orient="portrait"/>
          <w:cols w:equalWidth="0" w:num="3">
            <w:col w:w="4740" w:space="720"/>
            <w:col w:w="2980" w:space="720"/>
            <w:col w:w="2140"/>
          </w:cols>
          <w:pgMar w:left="240" w:top="362" w:right="35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7000 Shoreline Court, Suite 100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0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On January 12, 2016, Fluidigm Corporation issued a press release announcing preliminary fourth quarter and full year 2015 revenue. A copy of the press release is furnished herewith as Exhibit 99.1 to this Current Report on Form 8-K.</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4"/>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r>
      <w:tr>
        <w:trPr>
          <w:trHeight w:val="412"/>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300" w:type="dxa"/>
            <w:vAlign w:val="bottom"/>
            <w:gridSpan w:val="2"/>
          </w:tcPr>
          <w:p>
            <w:pPr>
              <w:spacing w:after="0"/>
              <w:rPr>
                <w:sz w:val="24"/>
                <w:szCs w:val="24"/>
                <w:color w:val="auto"/>
              </w:rPr>
            </w:pPr>
          </w:p>
        </w:tc>
        <w:tc>
          <w:tcPr>
            <w:tcW w:w="48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3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Fluidigm Corporation Press Release dated January 12, 2016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380"/>
          </w:cols>
          <w:pgMar w:left="240" w:top="266" w:right="27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January 12, 2016</w:t>
      </w:r>
      <w:r>
        <w:rPr>
          <w:sz w:val="20"/>
          <w:szCs w:val="20"/>
          <w:color w:val="auto"/>
        </w:rPr>
        <w:tab/>
      </w:r>
      <w:r>
        <w:rPr>
          <w:rFonts w:ascii="Times New Roman" w:cs="Times New Roman" w:eastAsia="Times New Roman" w:hAnsi="Times New Roman"/>
          <w:sz w:val="18"/>
          <w:szCs w:val="18"/>
          <w:color w:val="auto"/>
        </w:rPr>
        <w:t>By:  /s/ William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William Smith</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EVP, Legal Affairs and General Counsel</w:t>
      </w:r>
    </w:p>
    <w:p>
      <w:pPr>
        <w:sectPr>
          <w:pgSz w:w="11900" w:h="16838" w:orient="portrait"/>
          <w:cols w:equalWidth="0" w:num="1">
            <w:col w:w="10740"/>
          </w:cols>
          <w:pgMar w:left="240" w:top="266"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2"/>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70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Fluidigm Corporation Press Release dated January 12, 2016</w:t>
            </w:r>
          </w:p>
        </w:tc>
      </w:tr>
    </w:tbl>
    <w:p>
      <w:pPr>
        <w:ind w:left="780"/>
        <w:spacing w:after="0"/>
        <w:rPr>
          <w:sz w:val="20"/>
          <w:szCs w:val="20"/>
          <w:color w:val="auto"/>
        </w:rPr>
        <w:sectPr>
          <w:pgSz w:w="11900" w:h="16838" w:orient="portrait"/>
          <w:cols w:equalWidth="0" w:num="1">
            <w:col w:w="10219"/>
          </w:cols>
          <w:pgMar w:left="2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FLUIDIGM ANNOUNCES PRELIMINARY FULL YEAR AND FOURTH QUARTER 2015 REVENUE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SOUTH SAN FRANCISCO, Calif., – January 12, 2016 – Fluidigm Corporation (NASDAQ:FLDM) today announced total revenue for the fourth quarter of 2015 is expected to be in the range of approximately $30 million and $31 million based on preliminary, unaudited financial data. Total revenue for the full year of 2015 is expected to be in the range of approximately $114 and $115 million based on preliminary, unaudited financial data.</w:t>
      </w:r>
    </w:p>
    <w:p>
      <w:pPr>
        <w:spacing w:after="0" w:line="82" w:lineRule="exact"/>
        <w:rPr>
          <w:sz w:val="20"/>
          <w:szCs w:val="20"/>
          <w:color w:val="auto"/>
        </w:rPr>
      </w:pPr>
    </w:p>
    <w:p>
      <w:pPr>
        <w:ind w:left="440" w:right="20" w:hanging="324"/>
        <w:spacing w:after="0" w:line="266"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2015 revenue at the midpoint of the range represents a decrease of approximately 9% from $33.5 million in the fourth quarter of 2014 and an increase of approximately 6.5% from $28.6 million in the third quarter of 2015. On a constant currency basis, total revenue for the fourth quarter 2015 decreased approximately 5% year-over-year (see accompanying table for reconciliation of GAAP and non-GAAP measures).</w:t>
      </w:r>
    </w:p>
    <w:p>
      <w:pPr>
        <w:spacing w:after="0" w:line="81" w:lineRule="exact"/>
        <w:rPr>
          <w:rFonts w:ascii="Times New Roman" w:cs="Times New Roman" w:eastAsia="Times New Roman" w:hAnsi="Times New Roman"/>
          <w:sz w:val="18"/>
          <w:szCs w:val="18"/>
          <w:color w:val="auto"/>
        </w:rPr>
      </w:pPr>
    </w:p>
    <w:p>
      <w:pPr>
        <w:ind w:left="440" w:right="60" w:hanging="324"/>
        <w:spacing w:after="0" w:line="282"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2015 revenue at the midpoint of the range represents a decrease of approximately 2% from $116.5 million in the full year 2014. On a constant currency basis, total revenue for the full year 2015 increased approximately 4% year-over-year.</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pleased that our fourth quarter performance reflected continued stabilization of our business after a challenging start to the year. We remain encouraged by trends in the single-cell biology market. Additionally, given the adjustments and hires we’ve discussed over the year, we are exiting 2015 with a stronger and more focused commercial structure. We believe our organizational changes position us for growth in 2016 and beyond,” said Gajus Worthington, Fluidigm President and Chief Executive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will host a conference call in early February 2016 to discuss financial fourth quarter results and issue 2016 revenue guidance.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Use of Non-GAAP Financial Information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Fluidigm has presented certain financial information in accordance with GAAP and also on a non-GAAP basis for the fourth quarter and full year 2014 and 2015. Management believes that non-GAAP financial measures, taken in conjunction with GAAP financial measures, provide useful information for both management and investors by excluding the impact of foreign currency changes.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press release.</w:t>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others, statements relating to management’s current estimates of fourth quarter and fiscal 2015 total revenue; management’s current views with respect to stabilization in Fluidigm’s business and revenues; the potential impact of recent modifications in Fluidigm’s commercial organization; opportunities for revenue growth; and Fluidigm’s competitive position within the single-cell biology market. The financial results presented today are preliminary and subject to Fluidigm’s completing its financial statements for the year ended December 31, 2015 and the audit of those financial statements by Fluidigm’s independent registered public accounting firm. Forward-looking statements are subject to numerous risks and uncertainties that could cause actual results to differ materially from currently anticipated results, including but not limited to, adjustments arising in connection with the preparation and audit of Fluidigm’s financial statements as of and for the year ended December 31, 2015; risks relating to the future financial performance of Fluidigm’s product lines; challenges inherent in developing, manufacturing, launching, marketing, and selling new products; potential product performance and quality issues; the possible loss of key employees, customers, or suppliers; intellectual property risks, including risks relating to maintaining material in-licensed intellectual property rights; competition; Fluidigm’s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uncertainties, and other information affecting Fluidigm’s business and operating results are contained in Fluidigm’s Quarterly Report on Form 10-Q for the quarter ended September 30, 2015, and in its other filings with the Securities and Exchange Commission. Additional information will also be set forth in Fluidigm’s Annual Report on Form 10-K for the year ended December 31, 2015 to be filed with the Securities and Exchange Commission. These forward-looking statements speak only as of the date hereof. Fluidigm Corporation disclaims any obligation to update these forward-looking statements except as may be required by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Fluidigm</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w:t>
      </w:r>
    </w:p>
    <w:p>
      <w:pPr>
        <w:sectPr>
          <w:pgSz w:w="11900" w:h="16838" w:orient="portrait"/>
          <w:cols w:equalWidth="0" w:num="1">
            <w:col w:w="11420"/>
          </w:cols>
          <w:pgMar w:left="240" w:top="266" w:right="239" w:bottom="1440" w:gutter="0" w:footer="0" w:header="0"/>
        </w:sectPr>
      </w:pPr>
    </w:p>
    <w:bookmarkStart w:id="6" w:name="page7"/>
    <w:bookmarkEnd w:id="6"/>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the Fluidigm logo, Biomark, CyTOF, Helios, C1, Polaris, and Callisto are trademarks or registered trademarks of Fluidigm Corporation.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 Petrovic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 &amp; Strategy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650.243.6628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ana.petrovic@fluidigm.com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REVENUE GROWTH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EXCLUDING THE IMPACT OF FOREIGN EXCHANGE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and Full Year Ended December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2560" w:type="dxa"/>
            <w:vAlign w:val="bottom"/>
            <w:gridSpan w:val="2"/>
          </w:tcPr>
          <w:p>
            <w:pPr>
              <w:jc w:val="center"/>
              <w:ind w:right="1280"/>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2"/>
          </w:tcPr>
          <w:p>
            <w:pPr>
              <w:jc w:val="right"/>
              <w:ind w:right="360"/>
              <w:spacing w:after="0" w:line="133" w:lineRule="exact"/>
              <w:rPr>
                <w:sz w:val="20"/>
                <w:szCs w:val="20"/>
                <w:color w:val="auto"/>
              </w:rPr>
            </w:pPr>
            <w:r>
              <w:rPr>
                <w:rFonts w:ascii="Times New Roman" w:cs="Times New Roman" w:eastAsia="Times New Roman" w:hAnsi="Times New Roman"/>
                <w:sz w:val="14"/>
                <w:szCs w:val="14"/>
                <w:b w:val="1"/>
                <w:bCs w:val="1"/>
                <w:color w:val="auto"/>
              </w:rPr>
              <w:t>Full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28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revenue growth</w:t>
            </w:r>
          </w:p>
        </w:tc>
        <w:tc>
          <w:tcPr>
            <w:tcW w:w="1280" w:type="dxa"/>
            <w:vAlign w:val="bottom"/>
            <w:shd w:val="clear" w:color="auto" w:fill="000000"/>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vMerge w:val="continue"/>
            <w:shd w:val="clear" w:color="auto" w:fill="CCEEFF"/>
          </w:tcPr>
          <w:p>
            <w:pPr>
              <w:spacing w:after="0"/>
              <w:rPr>
                <w:sz w:val="18"/>
                <w:szCs w:val="18"/>
                <w:color w:val="auto"/>
              </w:rPr>
            </w:pPr>
          </w:p>
        </w:tc>
        <w:tc>
          <w:tcPr>
            <w:tcW w:w="25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exchange</w:t>
            </w:r>
          </w:p>
        </w:tc>
        <w:tc>
          <w:tcPr>
            <w:tcW w:w="25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revenue growth, constant currency</w:t>
            </w:r>
          </w:p>
        </w:tc>
        <w:tc>
          <w:tcPr>
            <w:tcW w:w="25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2019-12-07T15:33:44Z</dcterms:created>
  <dcterms:modified xsi:type="dcterms:W3CDTF">2019-12-07T15:33:44Z</dcterms:modified>
</cp:coreProperties>
</file>