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1177290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9"/>
          <w:szCs w:val="29"/>
          <w:b w:val="1"/>
          <w:bCs w:val="1"/>
          <w:color w:val="auto"/>
        </w:rPr>
        <w:t>SECURITIES AND EXCHANGE</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COMMISSION</w:t>
      </w:r>
    </w:p>
    <w:p>
      <w:pPr>
        <w:spacing w:after="0" w:line="8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240665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18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9"/>
          <w:szCs w:val="19"/>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231775</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39"/>
          <w:szCs w:val="39"/>
          <w:b w:val="1"/>
          <w:bCs w:val="1"/>
          <w:color w:val="auto"/>
        </w:rPr>
        <w:t>Standard BioTools Inc.</w:t>
      </w:r>
    </w:p>
    <w:p>
      <w:pPr>
        <w:spacing w:after="0" w:line="21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236220</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660" w:type="dxa"/>
        <w:tblCellMar>
          <w:top w:w="0" w:type="dxa"/>
          <w:left w:w="0" w:type="dxa"/>
          <w:bottom w:w="0" w:type="dxa"/>
          <w:right w:w="0" w:type="dxa"/>
        </w:tblCellMar>
      </w:tblPr>
      <w:tr>
        <w:trPr>
          <w:trHeight w:val="212"/>
        </w:trPr>
        <w:tc>
          <w:tcPr>
            <w:tcW w:w="3000" w:type="dxa"/>
            <w:vAlign w:val="bottom"/>
          </w:tcPr>
          <w:p>
            <w:pPr>
              <w:jc w:val="center"/>
              <w:ind w:left="34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06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001-34180</w:t>
            </w:r>
          </w:p>
        </w:tc>
        <w:tc>
          <w:tcPr>
            <w:tcW w:w="2080" w:type="dxa"/>
            <w:vAlign w:val="bottom"/>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77-0513190</w:t>
            </w:r>
          </w:p>
        </w:tc>
      </w:tr>
      <w:tr>
        <w:trPr>
          <w:trHeight w:val="260"/>
        </w:trPr>
        <w:tc>
          <w:tcPr>
            <w:tcW w:w="3000" w:type="dxa"/>
            <w:vAlign w:val="bottom"/>
          </w:tcPr>
          <w:p>
            <w:pPr>
              <w:jc w:val="center"/>
              <w:ind w:left="348"/>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w:t>
            </w:r>
          </w:p>
        </w:tc>
        <w:tc>
          <w:tcPr>
            <w:tcW w:w="406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080" w:type="dxa"/>
            <w:vAlign w:val="bottom"/>
          </w:tcPr>
          <w:p>
            <w:pPr>
              <w:jc w:val="center"/>
              <w:ind w:left="168"/>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388"/>
        </w:trPr>
        <w:tc>
          <w:tcPr>
            <w:tcW w:w="7060" w:type="dxa"/>
            <w:vAlign w:val="bottom"/>
            <w:gridSpan w:val="2"/>
          </w:tcPr>
          <w:p>
            <w:pPr>
              <w:jc w:val="center"/>
              <w:ind w:right="3561"/>
              <w:spacing w:after="0"/>
              <w:rPr>
                <w:sz w:val="20"/>
                <w:szCs w:val="20"/>
                <w:color w:val="auto"/>
              </w:rPr>
            </w:pPr>
            <w:r>
              <w:rPr>
                <w:rFonts w:ascii="Times New Roman" w:cs="Times New Roman" w:eastAsia="Times New Roman" w:hAnsi="Times New Roman"/>
                <w:sz w:val="16"/>
                <w:szCs w:val="16"/>
                <w:b w:val="1"/>
                <w:bCs w:val="1"/>
                <w:color w:val="auto"/>
              </w:rPr>
              <w:t>50 Milk Street, 10th Floor, Boston, Massachusetts</w:t>
            </w:r>
          </w:p>
        </w:tc>
        <w:tc>
          <w:tcPr>
            <w:tcW w:w="2080" w:type="dxa"/>
            <w:vAlign w:val="bottom"/>
          </w:tcPr>
          <w:p>
            <w:pPr>
              <w:jc w:val="right"/>
              <w:ind w:right="648"/>
              <w:spacing w:after="0"/>
              <w:rPr>
                <w:sz w:val="20"/>
                <w:szCs w:val="20"/>
                <w:color w:val="auto"/>
              </w:rPr>
            </w:pPr>
            <w:r>
              <w:rPr>
                <w:rFonts w:ascii="Times New Roman" w:cs="Times New Roman" w:eastAsia="Times New Roman" w:hAnsi="Times New Roman"/>
                <w:sz w:val="16"/>
                <w:szCs w:val="16"/>
                <w:b w:val="1"/>
                <w:bCs w:val="1"/>
                <w:color w:val="auto"/>
              </w:rPr>
              <w:t>02109</w:t>
            </w:r>
          </w:p>
        </w:tc>
      </w:tr>
      <w:tr>
        <w:trPr>
          <w:trHeight w:val="260"/>
        </w:trPr>
        <w:tc>
          <w:tcPr>
            <w:tcW w:w="3000" w:type="dxa"/>
            <w:vAlign w:val="bottom"/>
          </w:tcPr>
          <w:p>
            <w:pPr>
              <w:jc w:val="center"/>
              <w:ind w:left="348"/>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4060" w:type="dxa"/>
            <w:vAlign w:val="bottom"/>
          </w:tcPr>
          <w:p>
            <w:pPr>
              <w:spacing w:after="0"/>
              <w:rPr>
                <w:sz w:val="22"/>
                <w:szCs w:val="22"/>
                <w:color w:val="auto"/>
              </w:rPr>
            </w:pPr>
          </w:p>
        </w:tc>
        <w:tc>
          <w:tcPr>
            <w:tcW w:w="2080" w:type="dxa"/>
            <w:vAlign w:val="bottom"/>
          </w:tcPr>
          <w:p>
            <w:pPr>
              <w:jc w:val="center"/>
              <w:ind w:left="18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13"/>
        </w:trPr>
        <w:tc>
          <w:tcPr>
            <w:tcW w:w="3000" w:type="dxa"/>
            <w:vAlign w:val="bottom"/>
          </w:tcPr>
          <w:p>
            <w:pPr>
              <w:spacing w:after="0"/>
              <w:rPr>
                <w:sz w:val="24"/>
                <w:szCs w:val="24"/>
                <w:color w:val="auto"/>
              </w:rPr>
            </w:pPr>
          </w:p>
        </w:tc>
        <w:tc>
          <w:tcPr>
            <w:tcW w:w="4060" w:type="dxa"/>
            <w:vAlign w:val="bottom"/>
          </w:tcPr>
          <w:p>
            <w:pPr>
              <w:jc w:val="center"/>
              <w:ind w:right="61"/>
              <w:spacing w:after="0"/>
              <w:rPr>
                <w:sz w:val="20"/>
                <w:szCs w:val="20"/>
                <w:color w:val="auto"/>
              </w:rPr>
            </w:pPr>
            <w:r>
              <w:rPr>
                <w:rFonts w:ascii="Times New Roman" w:cs="Times New Roman" w:eastAsia="Times New Roman" w:hAnsi="Times New Roman"/>
                <w:sz w:val="18"/>
                <w:szCs w:val="18"/>
                <w:color w:val="auto"/>
              </w:rPr>
              <w:t>Alex Kim</w:t>
            </w:r>
          </w:p>
        </w:tc>
        <w:tc>
          <w:tcPr>
            <w:tcW w:w="2080" w:type="dxa"/>
            <w:vAlign w:val="bottom"/>
          </w:tcPr>
          <w:p>
            <w:pPr>
              <w:spacing w:after="0"/>
              <w:rPr>
                <w:sz w:val="24"/>
                <w:szCs w:val="24"/>
                <w:color w:val="auto"/>
              </w:rPr>
            </w:pPr>
          </w:p>
        </w:tc>
      </w:tr>
      <w:tr>
        <w:trPr>
          <w:trHeight w:val="250"/>
        </w:trPr>
        <w:tc>
          <w:tcPr>
            <w:tcW w:w="3000" w:type="dxa"/>
            <w:vAlign w:val="bottom"/>
          </w:tcPr>
          <w:p>
            <w:pPr>
              <w:spacing w:after="0"/>
              <w:rPr>
                <w:sz w:val="21"/>
                <w:szCs w:val="21"/>
                <w:color w:val="auto"/>
              </w:rPr>
            </w:pPr>
          </w:p>
        </w:tc>
        <w:tc>
          <w:tcPr>
            <w:tcW w:w="406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Chief Financial Officer, and Secretary (650) 266-6000</w:t>
            </w:r>
          </w:p>
        </w:tc>
        <w:tc>
          <w:tcPr>
            <w:tcW w:w="2080" w:type="dxa"/>
            <w:vAlign w:val="bottom"/>
          </w:tcPr>
          <w:p>
            <w:pPr>
              <w:spacing w:after="0"/>
              <w:rPr>
                <w:sz w:val="21"/>
                <w:szCs w:val="21"/>
                <w:color w:val="auto"/>
              </w:rPr>
            </w:pPr>
          </w:p>
        </w:tc>
      </w:tr>
    </w:tbl>
    <w:p>
      <w:pPr>
        <w:spacing w:after="0" w:line="9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3"/>
          <w:szCs w:val="13"/>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278130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w:t>
      </w:r>
    </w:p>
    <w:p>
      <w:pPr>
        <w:spacing w:after="0" w:line="235" w:lineRule="exact"/>
        <w:rPr>
          <w:sz w:val="24"/>
          <w:szCs w:val="24"/>
          <w:color w:val="auto"/>
        </w:rPr>
      </w:pPr>
    </w:p>
    <w:p>
      <w:pPr>
        <w:ind w:left="260" w:right="999" w:hanging="2"/>
        <w:spacing w:after="0" w:line="246" w:lineRule="exact"/>
        <w:tabs>
          <w:tab w:leader="none" w:pos="685"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1313180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9" w:lineRule="exact"/>
        <w:rPr>
          <w:sz w:val="20"/>
          <w:szCs w:val="20"/>
          <w:color w:val="auto"/>
        </w:rPr>
      </w:pPr>
    </w:p>
    <w:p>
      <w:pPr>
        <w:jc w:val="both"/>
        <w:ind w:left="300" w:right="300"/>
        <w:spacing w:after="0" w:line="261" w:lineRule="auto"/>
        <w:rPr>
          <w:sz w:val="20"/>
          <w:szCs w:val="20"/>
          <w:color w:val="auto"/>
        </w:rPr>
      </w:pPr>
      <w:r>
        <w:rPr>
          <w:rFonts w:ascii="Times New Roman" w:cs="Times New Roman" w:eastAsia="Times New Roman" w:hAnsi="Times New Roman"/>
          <w:sz w:val="18"/>
          <w:szCs w:val="18"/>
          <w:color w:val="auto"/>
        </w:rPr>
        <w:t>This Specialized Disclosure Report on Form SD of Standard BioTools Inc. (the “Company”) is being filed in accordance with Rule 13p-1 promulgated under the Securities Exchange Act of 1934, as amended, for the reporting period from January 1, 2025 to December 31, 2025. The Company is also filing a Conflict Minerals Report, which is attached as Exhibit 1.01 hereto. A copy of this Form SD and the Conflict Minerals Report are publicly available at https://investors.standardbio.com/sec-filings.</w:t>
      </w:r>
    </w:p>
    <w:p>
      <w:pPr>
        <w:spacing w:after="0" w:line="85" w:lineRule="exact"/>
        <w:rPr>
          <w:sz w:val="20"/>
          <w:szCs w:val="20"/>
          <w:color w:val="auto"/>
        </w:rPr>
      </w:pPr>
    </w:p>
    <w:p>
      <w:pPr>
        <w:jc w:val="both"/>
        <w:ind w:left="300" w:right="300"/>
        <w:spacing w:after="0" w:line="282" w:lineRule="auto"/>
        <w:rPr>
          <w:sz w:val="20"/>
          <w:szCs w:val="20"/>
          <w:color w:val="auto"/>
        </w:rPr>
      </w:pPr>
      <w:r>
        <w:rPr>
          <w:rFonts w:ascii="Times New Roman" w:cs="Times New Roman" w:eastAsia="Times New Roman" w:hAnsi="Times New Roman"/>
          <w:sz w:val="18"/>
          <w:szCs w:val="18"/>
          <w:color w:val="auto"/>
        </w:rPr>
        <w:t>Information contained on, or that can be accessed through, the Company’s website, does not constitute part of, and is not incorporated by reference into, this Form SD and inclusion of the Company’s website address in this Form SD is an inactive textual reference only.</w:t>
      </w:r>
    </w:p>
    <w:p>
      <w:pPr>
        <w:spacing w:after="0" w:line="171"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229" w:lineRule="exact"/>
        <w:rPr>
          <w:sz w:val="20"/>
          <w:szCs w:val="20"/>
          <w:color w:val="auto"/>
        </w:rPr>
      </w:pPr>
    </w:p>
    <w:p>
      <w:pPr>
        <w:jc w:val="both"/>
        <w:ind w:left="300" w:right="300"/>
        <w:spacing w:after="0" w:line="282" w:lineRule="auto"/>
        <w:rPr>
          <w:sz w:val="20"/>
          <w:szCs w:val="20"/>
          <w:color w:val="auto"/>
        </w:rPr>
      </w:pPr>
      <w:r>
        <w:rPr>
          <w:rFonts w:ascii="Times New Roman" w:cs="Times New Roman" w:eastAsia="Times New Roman" w:hAnsi="Times New Roman"/>
          <w:sz w:val="18"/>
          <w:szCs w:val="18"/>
          <w:color w:val="auto"/>
        </w:rPr>
        <w:t>In accordance with Rule 13p-1, and this Form SD, the Company is filing its Conflict Minerals Report, which is attached as Exhibit 1.01 to this Form SD.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Exhibits</w:t>
      </w:r>
    </w:p>
    <w:p>
      <w:pPr>
        <w:spacing w:after="0" w:line="239"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exhibit is filed as part of this Form SD.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0"/>
                <w:szCs w:val="20"/>
                <w:color w:val="auto"/>
              </w:rPr>
            </w:pPr>
          </w:p>
        </w:tc>
        <w:tc>
          <w:tcPr>
            <w:tcW w:w="95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58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9540" w:type="dxa"/>
            <w:vAlign w:val="bottom"/>
            <w:gridSpan w:val="3"/>
          </w:tcPr>
          <w:p>
            <w:pPr>
              <w:ind w:left="240"/>
              <w:spacing w:after="0" w:line="169" w:lineRule="exact"/>
              <w:rPr>
                <w:sz w:val="20"/>
                <w:szCs w:val="20"/>
                <w:color w:val="auto"/>
              </w:rPr>
            </w:pPr>
            <w:r>
              <w:rPr>
                <w:rFonts w:ascii="Times New Roman" w:cs="Times New Roman" w:eastAsia="Times New Roman" w:hAnsi="Times New Roman"/>
                <w:sz w:val="18"/>
                <w:szCs w:val="18"/>
                <w:color w:val="0000FF"/>
              </w:rPr>
              <w:t>Standard BioTools Inc. Conflict Minerals Report as required by Items 1.01 and 1.02 of this Form SD.</w:t>
            </w:r>
          </w:p>
        </w:tc>
      </w:tr>
      <w:tr>
        <w:trPr>
          <w:trHeight w:val="1998"/>
        </w:trPr>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320" w:type="dxa"/>
            <w:vAlign w:val="bottom"/>
            <w:tcBorders>
              <w:top w:val="single" w:sz="8" w:color="0000FF"/>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left="300" w:right="340" w:firstLine="3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Alex Kim</w:t>
            </w:r>
          </w:p>
        </w:tc>
        <w:tc>
          <w:tcPr>
            <w:tcW w:w="540" w:type="dxa"/>
            <w:vAlign w:val="bottom"/>
          </w:tcPr>
          <w:p>
            <w:pPr>
              <w:spacing w:after="0"/>
              <w:rPr>
                <w:sz w:val="18"/>
                <w:szCs w:val="18"/>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c>
          <w:tcPr>
            <w:tcW w:w="320" w:type="dxa"/>
            <w:vAlign w:val="bottom"/>
          </w:tcPr>
          <w:p>
            <w:pPr>
              <w:spacing w:after="0"/>
              <w:rPr>
                <w:sz w:val="18"/>
                <w:szCs w:val="18"/>
                <w:color w:val="auto"/>
              </w:rPr>
            </w:pPr>
          </w:p>
        </w:tc>
      </w:tr>
      <w:tr>
        <w:trPr>
          <w:trHeight w:val="250"/>
        </w:trPr>
        <w:tc>
          <w:tcPr>
            <w:tcW w:w="960" w:type="dxa"/>
            <w:vAlign w:val="bottom"/>
          </w:tcPr>
          <w:p>
            <w:pPr>
              <w:spacing w:after="0"/>
              <w:rPr>
                <w:sz w:val="21"/>
                <w:szCs w:val="21"/>
                <w:color w:val="auto"/>
              </w:rPr>
            </w:pPr>
          </w:p>
        </w:tc>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Alex Kim</w:t>
            </w:r>
          </w:p>
        </w:tc>
        <w:tc>
          <w:tcPr>
            <w:tcW w:w="540" w:type="dxa"/>
            <w:vAlign w:val="bottom"/>
          </w:tcPr>
          <w:p>
            <w:pPr>
              <w:spacing w:after="0"/>
              <w:rPr>
                <w:sz w:val="21"/>
                <w:szCs w:val="21"/>
                <w:color w:val="auto"/>
              </w:rPr>
            </w:pPr>
          </w:p>
        </w:tc>
        <w:tc>
          <w:tcPr>
            <w:tcW w:w="4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324"/>
        </w:trPr>
        <w:tc>
          <w:tcPr>
            <w:tcW w:w="960" w:type="dxa"/>
            <w:vAlign w:val="bottom"/>
          </w:tcPr>
          <w:p>
            <w:pPr>
              <w:spacing w:after="0"/>
              <w:rPr>
                <w:sz w:val="24"/>
                <w:szCs w:val="24"/>
                <w:color w:val="auto"/>
              </w:rPr>
            </w:pPr>
          </w:p>
        </w:tc>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5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801"/>
        </w:trPr>
        <w:tc>
          <w:tcPr>
            <w:tcW w:w="96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Standard BioTools Inc. Conflict Minerals Report</w:t>
      </w:r>
    </w:p>
    <w:p>
      <w:pPr>
        <w:spacing w:after="0" w:line="16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2025 to December 31, 2025</w:t>
      </w:r>
    </w:p>
    <w:p>
      <w:pPr>
        <w:spacing w:after="0" w:line="200" w:lineRule="exact"/>
        <w:rPr>
          <w:sz w:val="20"/>
          <w:szCs w:val="20"/>
          <w:color w:val="auto"/>
        </w:rPr>
      </w:pPr>
    </w:p>
    <w:p>
      <w:pPr>
        <w:spacing w:after="0" w:line="203" w:lineRule="exact"/>
        <w:rPr>
          <w:sz w:val="20"/>
          <w:szCs w:val="20"/>
          <w:color w:val="auto"/>
        </w:rPr>
      </w:pPr>
    </w:p>
    <w:p>
      <w:pPr>
        <w:ind w:right="200" w:firstLine="344"/>
        <w:spacing w:after="0" w:line="254" w:lineRule="auto"/>
        <w:rPr>
          <w:sz w:val="20"/>
          <w:szCs w:val="20"/>
          <w:color w:val="auto"/>
        </w:rPr>
      </w:pPr>
      <w:r>
        <w:rPr>
          <w:rFonts w:ascii="Times New Roman" w:cs="Times New Roman" w:eastAsia="Times New Roman" w:hAnsi="Times New Roman"/>
          <w:sz w:val="18"/>
          <w:szCs w:val="18"/>
          <w:i w:val="1"/>
          <w:iCs w:val="1"/>
          <w:color w:val="auto"/>
        </w:rPr>
        <w:t>Cautionary Note Concerning Forward-Looking Statements: This Conflict Minerals Report contains forward-looking statements within the meaning of federal securities laws. These forward-looking statements include statements concerning Standard BioTools Inc.’s objectives for its conflict minerals policy and compliance initiatives and actions it intends to take relating to conflict minerals. Forward-looking statements involve substantial risks and uncertainties that could cause actual results to differ materially from currently anticipated results. When considering forward-looking statements, you should consider, among other factors, the risk factors described in the reports and other filings that Standard BioTools Inc. files with the United States Securities and Exchange Commission (the “SEC”), including Standard BioTools Inc.’s Annual Report on Form 10-K and its Quarterly Reports on Form 10-Q. The risk factors included in these filings are not exhaustive, and risks that are not identified therein could materially affect whether Standard BioTools Inc. realizes the results anticipated or implied by any forward-looking statements contained in this Conflict Minerals Report. Except as required by law, Standard BioTools Inc. disclaims any obligation to update these forward-looking statements, whether as a result of new information, future events, or otherwise.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89" w:lineRule="exact"/>
        <w:rPr>
          <w:sz w:val="20"/>
          <w:szCs w:val="20"/>
          <w:color w:val="auto"/>
        </w:rPr>
      </w:pPr>
    </w:p>
    <w:p>
      <w:pPr>
        <w:jc w:val="both"/>
        <w:ind w:right="180" w:firstLine="329"/>
        <w:spacing w:after="0" w:line="256" w:lineRule="auto"/>
        <w:rPr>
          <w:sz w:val="20"/>
          <w:szCs w:val="20"/>
          <w:color w:val="auto"/>
        </w:rPr>
      </w:pPr>
      <w:r>
        <w:rPr>
          <w:rFonts w:ascii="Times New Roman" w:cs="Times New Roman" w:eastAsia="Times New Roman" w:hAnsi="Times New Roman"/>
          <w:sz w:val="18"/>
          <w:szCs w:val="18"/>
          <w:color w:val="auto"/>
        </w:rPr>
        <w:t>This Conflict Minerals Report (this “Report”) for Standard BioTools Inc. (“Standard BioTools”, the “Company”, “we” or “our”), covers the reporting period from January 1, 2025 to December 31, 2025 and is presented in accordance with Rule 13p-1 promulgated under the Securities Exchange Act of 1934, as amended (“Rule 13p-1”). This Report is filed as Exhibit 1.01 to our Specialized Disclosure Report on Form SD (the “Form SD”). A copy of this Report and the Form SD are publicly available on our website at https://investors.standardbio.com/sec-filings. Information contained on, or that can be accessed through, our website does not constitute part of this Report and inclusion of our website address in this Report is an inactive textual reference only.</w:t>
      </w:r>
    </w:p>
    <w:p>
      <w:pPr>
        <w:spacing w:after="0" w:line="147" w:lineRule="exact"/>
        <w:rPr>
          <w:sz w:val="20"/>
          <w:szCs w:val="20"/>
          <w:color w:val="auto"/>
        </w:rPr>
      </w:pPr>
    </w:p>
    <w:p>
      <w:pPr>
        <w:jc w:val="both"/>
        <w:ind w:right="180" w:firstLine="329"/>
        <w:spacing w:after="0" w:line="254" w:lineRule="auto"/>
        <w:rPr>
          <w:sz w:val="20"/>
          <w:szCs w:val="20"/>
          <w:color w:val="auto"/>
        </w:rPr>
      </w:pPr>
      <w:r>
        <w:rPr>
          <w:rFonts w:ascii="Times New Roman" w:cs="Times New Roman" w:eastAsia="Times New Roman" w:hAnsi="Times New Roman"/>
          <w:sz w:val="18"/>
          <w:szCs w:val="18"/>
          <w:color w:val="auto"/>
        </w:rPr>
        <w:t>In 2010, the United States Congress enacted the Dodd-Frank Wall Street Reform and Consumer Protection Act (the “Act”). Section 1502 of the Act relates to “conflict minerals” and requires companies subject to the Act to file a Form SD annually with the SEC. This disclosure must state whether “3TG minerals” - which are defined as columbite-tantalite (coltan), cassiterite, gold, wolframite, and their respective derivatives (tungsten, tantalum, and tin, as well as gold itself) - when used in the Company’s products, benefited, directly or indirectly, armed groups in the Democratic Republic of the Congo and adjoining countries (collectively, the “Covered Countries”). This Report, which is an exhibit to our Form SD, describes the design and implementation of our conflict minerals due diligence measures undertaken, including a description of how these measures were designed to determine, to our knowledge, the source mines, countries of origin, and processing facilities for 3TG minerals contained in components used in our products.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89" w:lineRule="exact"/>
        <w:rPr>
          <w:sz w:val="20"/>
          <w:szCs w:val="20"/>
          <w:color w:val="auto"/>
        </w:rPr>
      </w:pPr>
    </w:p>
    <w:p>
      <w:pPr>
        <w:ind w:right="220" w:firstLine="329"/>
        <w:spacing w:after="0" w:line="254" w:lineRule="auto"/>
        <w:rPr>
          <w:sz w:val="20"/>
          <w:szCs w:val="20"/>
          <w:color w:val="auto"/>
        </w:rPr>
      </w:pPr>
      <w:r>
        <w:rPr>
          <w:rFonts w:ascii="Times New Roman" w:cs="Times New Roman" w:eastAsia="Times New Roman" w:hAnsi="Times New Roman"/>
          <w:sz w:val="18"/>
          <w:szCs w:val="18"/>
          <w:color w:val="auto"/>
        </w:rPr>
        <w:t>Standard BioTools is committed to setting the new standard in the life science tools industry through strategic consolidation, best-in-class operations and a world-class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 Standard BioTools works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151" w:lineRule="exact"/>
        <w:rPr>
          <w:sz w:val="20"/>
          <w:szCs w:val="20"/>
          <w:color w:val="auto"/>
        </w:rPr>
      </w:pPr>
    </w:p>
    <w:p>
      <w:pPr>
        <w:ind w:right="260" w:firstLine="329"/>
        <w:spacing w:after="0" w:line="266" w:lineRule="auto"/>
        <w:rPr>
          <w:sz w:val="20"/>
          <w:szCs w:val="20"/>
          <w:color w:val="auto"/>
        </w:rPr>
      </w:pPr>
      <w:r>
        <w:rPr>
          <w:rFonts w:ascii="Times New Roman" w:cs="Times New Roman" w:eastAsia="Times New Roman" w:hAnsi="Times New Roman"/>
          <w:sz w:val="18"/>
          <w:szCs w:val="18"/>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 Our facility in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813435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00" w:top="1231" w:right="459" w:bottom="1440" w:gutter="0" w:footer="0" w:header="0"/>
        </w:sectPr>
      </w:pPr>
    </w:p>
    <w:bookmarkStart w:id="4" w:name="page5"/>
    <w:bookmarkEnd w:id="4"/>
    <w:p>
      <w:pPr>
        <w:ind w:left="8" w:right="180"/>
        <w:spacing w:after="0" w:line="261" w:lineRule="auto"/>
        <w:rPr>
          <w:sz w:val="20"/>
          <w:szCs w:val="20"/>
          <w:color w:val="auto"/>
        </w:rPr>
      </w:pPr>
      <w:r>
        <w:rPr>
          <w:rFonts w:ascii="Times New Roman" w:cs="Times New Roman" w:eastAsia="Times New Roman" w:hAnsi="Times New Roman"/>
          <w:sz w:val="18"/>
          <w:szCs w:val="18"/>
          <w:color w:val="auto"/>
        </w:rPr>
        <w:t>manufactures integrated fluidic circuits (“IFCs”) and assemblies of microfluidics instruments. All of our IFCs for commercial sale and some IFCs for our research and development purposes are also fabricated at our Singapore facility. Our mass cytometry instruments and reagents for commercial sale, as well as for internal research and development purposes, are manufactured at our facility in Markham, Canada. Genomics reagents are manufactured at our facility in Markham, Canada.</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Covered Products</w:t>
      </w:r>
    </w:p>
    <w:p>
      <w:pPr>
        <w:spacing w:after="0" w:line="189" w:lineRule="exact"/>
        <w:rPr>
          <w:sz w:val="20"/>
          <w:szCs w:val="20"/>
          <w:color w:val="auto"/>
        </w:rPr>
      </w:pPr>
    </w:p>
    <w:p>
      <w:pPr>
        <w:ind w:left="8" w:right="800" w:firstLine="329"/>
        <w:spacing w:after="0" w:line="282" w:lineRule="auto"/>
        <w:rPr>
          <w:sz w:val="20"/>
          <w:szCs w:val="20"/>
          <w:color w:val="auto"/>
        </w:rPr>
      </w:pPr>
      <w:r>
        <w:rPr>
          <w:rFonts w:ascii="Times New Roman" w:cs="Times New Roman" w:eastAsia="Times New Roman" w:hAnsi="Times New Roman"/>
          <w:sz w:val="18"/>
          <w:szCs w:val="18"/>
          <w:color w:val="auto"/>
        </w:rPr>
        <w:t>We have determined that one or more of the 3TG minerals may be necessary to the functionality or production of the products we manufactured, or contracted to manufacture, as applicable, during 2025 (collectively, “covered products”).</w:t>
      </w:r>
    </w:p>
    <w:p>
      <w:pPr>
        <w:spacing w:after="0" w:line="135" w:lineRule="exact"/>
        <w:rPr>
          <w:sz w:val="20"/>
          <w:szCs w:val="20"/>
          <w:color w:val="auto"/>
        </w:rPr>
      </w:pPr>
    </w:p>
    <w:p>
      <w:pPr>
        <w:ind w:left="8" w:right="100" w:firstLine="329"/>
        <w:spacing w:after="0" w:line="261" w:lineRule="auto"/>
        <w:rPr>
          <w:sz w:val="20"/>
          <w:szCs w:val="20"/>
          <w:color w:val="auto"/>
        </w:rPr>
      </w:pPr>
      <w:r>
        <w:rPr>
          <w:rFonts w:ascii="Times New Roman" w:cs="Times New Roman" w:eastAsia="Times New Roman" w:hAnsi="Times New Roman"/>
          <w:sz w:val="18"/>
          <w:szCs w:val="18"/>
          <w:color w:val="auto"/>
        </w:rPr>
        <w:t>Our supply chain with respect to the covered products is complex, and there are many third parties in the supply chain between the original source of the 3TG minerals and the manufacture of the covered products. We do not purchase raw ore or unrefined 3TG minerals directly and make no purchases in the Covered Countries. As a result, and as described more fully below, we rely on our suppliers to provide information on the origin of the conflict minerals contained in our products.</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189" w:lineRule="exact"/>
        <w:rPr>
          <w:sz w:val="20"/>
          <w:szCs w:val="20"/>
          <w:color w:val="auto"/>
        </w:rPr>
      </w:pPr>
    </w:p>
    <w:p>
      <w:pPr>
        <w:ind w:left="8" w:right="100" w:firstLine="329"/>
        <w:spacing w:after="0" w:line="261" w:lineRule="auto"/>
        <w:rPr>
          <w:sz w:val="20"/>
          <w:szCs w:val="20"/>
          <w:color w:val="auto"/>
        </w:rPr>
      </w:pPr>
      <w:r>
        <w:rPr>
          <w:rFonts w:ascii="Times New Roman" w:cs="Times New Roman" w:eastAsia="Times New Roman" w:hAnsi="Times New Roman"/>
          <w:sz w:val="18"/>
          <w:szCs w:val="18"/>
          <w:color w:val="auto"/>
        </w:rPr>
        <w:t>In accordance with Rule 13p-1 and Form SD, we determined that one or more of the 3TG minerals may be necessary to the functionality or production of our systems and IFCs and that such 3TG minerals are incorporated into our products during the manufacturing process. Accordingly, we undertook a reasonable country of origin inquiry (“RCOI”). This good faith RCOI was reasonably designed to determine whether any of the 3TG minerals incorporated into our products originated in the Covered Countries.</w:t>
      </w:r>
    </w:p>
    <w:p>
      <w:pPr>
        <w:spacing w:after="0" w:line="153" w:lineRule="exact"/>
        <w:rPr>
          <w:sz w:val="20"/>
          <w:szCs w:val="20"/>
          <w:color w:val="auto"/>
        </w:rPr>
      </w:pPr>
    </w:p>
    <w:p>
      <w:pPr>
        <w:ind w:left="8" w:right="20" w:firstLine="329"/>
        <w:spacing w:after="0" w:line="256" w:lineRule="auto"/>
        <w:rPr>
          <w:sz w:val="20"/>
          <w:szCs w:val="20"/>
          <w:color w:val="auto"/>
        </w:rPr>
      </w:pPr>
      <w:r>
        <w:rPr>
          <w:rFonts w:ascii="Times New Roman" w:cs="Times New Roman" w:eastAsia="Times New Roman" w:hAnsi="Times New Roman"/>
          <w:sz w:val="18"/>
          <w:szCs w:val="18"/>
          <w:color w:val="auto"/>
        </w:rPr>
        <w:t>Our RCOI consisted principally of submitting the conflict minerals reporting template (the “RMI Template”) prepared by the Responsible Minerals Initiative (“RMI”), a global leader for the responsible sourcing of minerals that provides information on conformant and active smelters and refiners, common tools to gather sourcing information, and forums for exchanging best practices on addressing conflict minerals, to suppliers of components for our products that are considered necessary to the functionality or production of our products and for which any 3TG minerals may be included (“first-tier suppliers”). We reviewed all responses for completeness, reasonableness, and consistency, and we followed up for corrections and clarifications as we determined appropriate.</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Due Diligence Process</w:t>
      </w:r>
    </w:p>
    <w:p>
      <w:pPr>
        <w:spacing w:after="0" w:line="189" w:lineRule="exact"/>
        <w:rPr>
          <w:sz w:val="20"/>
          <w:szCs w:val="20"/>
          <w:color w:val="auto"/>
        </w:rPr>
      </w:pPr>
    </w:p>
    <w:p>
      <w:pPr>
        <w:ind w:left="8" w:right="20" w:firstLine="329"/>
        <w:spacing w:after="0" w:line="255" w:lineRule="auto"/>
        <w:rPr>
          <w:sz w:val="20"/>
          <w:szCs w:val="20"/>
          <w:color w:val="auto"/>
        </w:rPr>
      </w:pPr>
      <w:r>
        <w:rPr>
          <w:rFonts w:ascii="Times New Roman" w:cs="Times New Roman" w:eastAsia="Times New Roman" w:hAnsi="Times New Roman"/>
          <w:sz w:val="18"/>
          <w:szCs w:val="18"/>
          <w:color w:val="auto"/>
        </w:rPr>
        <w:t>Our due diligence measures are designed to conform, in all material respects, with the framework in the Organisation for Economic Co-operation and Development (“OECD”) Due Diligence Guidance for Responsible Supply Chains of Minerals from Conflict-Affected and High-Risk Areas (the “OECD Framework”). The objectives of our diligence initiative are to determine, to the best of our ability: (i) whether any of the 3TG minerals are incorporated into our products and, if so, necessary for the functionality and/or production of our products; (ii) the source and chain of custody of the 3TG minerals necessary for the functionality and/or production of our products; and (iii) whether any such 3TG minerals originated in the Covered Countries. In the event that 3TG minerals from the Covered Countries are found in our supply chain, we will take appropriate actions in a timely manner to resolve the situation.</w:t>
      </w:r>
    </w:p>
    <w:p>
      <w:pPr>
        <w:spacing w:after="0" w:line="162"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8"/>
          <w:szCs w:val="18"/>
          <w:color w:val="auto"/>
        </w:rPr>
        <w:t>Due diligence measures that we have implemented include, but are not limited, to the following:</w:t>
      </w:r>
    </w:p>
    <w:p>
      <w:pPr>
        <w:spacing w:after="0" w:line="185" w:lineRule="exact"/>
        <w:rPr>
          <w:sz w:val="20"/>
          <w:szCs w:val="20"/>
          <w:color w:val="auto"/>
        </w:rPr>
      </w:pPr>
    </w:p>
    <w:p>
      <w:pPr>
        <w:ind w:left="268" w:hanging="268"/>
        <w:spacing w:after="0"/>
        <w:tabs>
          <w:tab w:leader="none" w:pos="2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Internal Management Systems</w:t>
      </w:r>
    </w:p>
    <w:p>
      <w:pPr>
        <w:spacing w:after="0" w:line="182" w:lineRule="exact"/>
        <w:rPr>
          <w:rFonts w:ascii="Times New Roman" w:cs="Times New Roman" w:eastAsia="Times New Roman" w:hAnsi="Times New Roman"/>
          <w:sz w:val="18"/>
          <w:szCs w:val="18"/>
          <w:color w:val="auto"/>
        </w:rPr>
      </w:pPr>
    </w:p>
    <w:p>
      <w:pPr>
        <w:jc w:val="both"/>
        <w:ind w:left="568" w:hanging="283"/>
        <w:spacing w:after="0" w:line="267" w:lineRule="auto"/>
        <w:tabs>
          <w:tab w:leader="none" w:pos="5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Conflict Minerals Policy. </w:t>
      </w:r>
      <w:r>
        <w:rPr>
          <w:rFonts w:ascii="Times New Roman" w:cs="Times New Roman" w:eastAsia="Times New Roman" w:hAnsi="Times New Roman"/>
          <w:sz w:val="18"/>
          <w:szCs w:val="18"/>
          <w:color w:val="auto"/>
        </w:rPr>
        <w:t>In 2013, we adopted a written policy relating to the use of conflict minerals in our supply chain.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communicated this written policy to each of our first-tier suppliers. A copy of the Standard BioTools Conflict Minerals Policy is publicly available at https://investors.standardbio.com/social-responsibility.</w:t>
      </w:r>
    </w:p>
    <w:p>
      <w:pPr>
        <w:spacing w:after="0" w:line="146" w:lineRule="exact"/>
        <w:rPr>
          <w:rFonts w:ascii="Times New Roman" w:cs="Times New Roman" w:eastAsia="Times New Roman" w:hAnsi="Times New Roman"/>
          <w:sz w:val="18"/>
          <w:szCs w:val="18"/>
          <w:color w:val="auto"/>
        </w:rPr>
      </w:pPr>
    </w:p>
    <w:p>
      <w:pPr>
        <w:jc w:val="both"/>
        <w:ind w:left="568" w:hanging="283"/>
        <w:spacing w:after="0" w:line="257" w:lineRule="auto"/>
        <w:tabs>
          <w:tab w:leader="none" w:pos="5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Internal Management to Support Supply Chain Due Diligence. </w:t>
      </w:r>
      <w:r>
        <w:rPr>
          <w:rFonts w:ascii="Times New Roman" w:cs="Times New Roman" w:eastAsia="Times New Roman" w:hAnsi="Times New Roman"/>
          <w:sz w:val="18"/>
          <w:szCs w:val="18"/>
          <w:color w:val="auto"/>
        </w:rPr>
        <w:t>Our legal department has collaborated with members from our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 in Singapore and Canada on the conflict minerals due diligence process. We have implemented a formal compliance review process for all new suppliers, which includes screening through third-party risk and compliance tools and monitoring against U.S. sanctions lists, including the U.S. Department of the Treasury’s Office of Foreign Assets Control (“OFAC”) Specially Designated Nationals (“SDN”) list, and applicable 50% ownership rules. Suppliers are subject to ongoing monitoring for sanctions, adverse media, and other compliance risks.</w:t>
      </w:r>
    </w:p>
    <w:p>
      <w:pPr>
        <w:spacing w:after="0" w:line="319" w:lineRule="exact"/>
        <w:rPr>
          <w:sz w:val="20"/>
          <w:szCs w:val="20"/>
          <w:color w:val="auto"/>
        </w:rPr>
      </w:pPr>
    </w:p>
    <w:p>
      <w:pPr>
        <w:jc w:val="center"/>
        <w:ind w:right="15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8"/>
          </w:cols>
          <w:pgMar w:left="792" w:top="1161" w:right="639" w:bottom="1440" w:gutter="0" w:footer="0" w:header="0"/>
        </w:sectPr>
      </w:pPr>
    </w:p>
    <w:bookmarkStart w:id="5" w:name="page6"/>
    <w:bookmarkEnd w:id="5"/>
    <w:p>
      <w:pPr>
        <w:jc w:val="both"/>
        <w:ind w:left="568"/>
        <w:spacing w:after="0" w:line="266" w:lineRule="auto"/>
        <w:rPr>
          <w:sz w:val="20"/>
          <w:szCs w:val="20"/>
          <w:color w:val="auto"/>
        </w:rPr>
      </w:pPr>
      <w:r>
        <w:rPr>
          <w:rFonts w:ascii="Times New Roman" w:cs="Times New Roman" w:eastAsia="Times New Roman" w:hAnsi="Times New Roman"/>
          <w:sz w:val="18"/>
          <w:szCs w:val="18"/>
          <w:color w:val="auto"/>
        </w:rPr>
        <w:t>We have also updated our standard supplier terms and conditions to include sanctions and OFAC compliance obligations. Such terms and conditions are expected to be incorporated into all new supplier agreements, including where suppliers propose their own terms and conditions.</w:t>
      </w:r>
    </w:p>
    <w:p>
      <w:pPr>
        <w:spacing w:after="0" w:line="133" w:lineRule="exact"/>
        <w:rPr>
          <w:sz w:val="20"/>
          <w:szCs w:val="20"/>
          <w:color w:val="auto"/>
        </w:rPr>
      </w:pPr>
    </w:p>
    <w:p>
      <w:pPr>
        <w:jc w:val="both"/>
        <w:ind w:left="568" w:hanging="283"/>
        <w:spacing w:after="0" w:line="258" w:lineRule="auto"/>
        <w:tabs>
          <w:tab w:leader="none" w:pos="5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Supplier Engagement. </w:t>
      </w:r>
      <w:r>
        <w:rPr>
          <w:rFonts w:ascii="Times New Roman" w:cs="Times New Roman" w:eastAsia="Times New Roman" w:hAnsi="Times New Roman"/>
          <w:sz w:val="18"/>
          <w:szCs w:val="18"/>
          <w:color w:val="auto"/>
        </w:rPr>
        <w:t>We continue to engage actively with our first-tier suppliers to strengthen our relationship with them.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communicated to our suppliers our commitment to source conflict minerals in a manner that does not, directly or indirectly, benefit armed groups in the Covered Countries. We will consider alternative arrangements for our supply needs if our suppliers are unable to cooperate in our due diligence efforts. In particular, as part of our supplier qualification process, we generally request conflict minerals information from each new supplier of potentially applicable products.</w:t>
      </w:r>
    </w:p>
    <w:p>
      <w:pPr>
        <w:spacing w:after="0" w:line="142" w:lineRule="exact"/>
        <w:rPr>
          <w:rFonts w:ascii="Times New Roman" w:cs="Times New Roman" w:eastAsia="Times New Roman" w:hAnsi="Times New Roman"/>
          <w:sz w:val="18"/>
          <w:szCs w:val="18"/>
          <w:color w:val="auto"/>
        </w:rPr>
      </w:pPr>
    </w:p>
    <w:p>
      <w:pPr>
        <w:jc w:val="both"/>
        <w:ind w:left="568" w:hanging="283"/>
        <w:spacing w:after="0" w:line="267" w:lineRule="auto"/>
        <w:tabs>
          <w:tab w:leader="none" w:pos="5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Grievance Mechanism. </w:t>
      </w:r>
      <w:r>
        <w:rPr>
          <w:rFonts w:ascii="Times New Roman" w:cs="Times New Roman" w:eastAsia="Times New Roman" w:hAnsi="Times New Roman"/>
          <w:sz w:val="18"/>
          <w:szCs w:val="18"/>
          <w:color w:val="auto"/>
        </w:rPr>
        <w:t>Our code of conduct includes procedures for reporting violations of our policies, including our Conflict Minerals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Policy. We provide mechanisms for anonymous reporting of violations or concerns about the conduct of our business, including the implementation and enforcement of our Conflict Minerals Policy.</w:t>
      </w:r>
    </w:p>
    <w:p>
      <w:pPr>
        <w:spacing w:after="0" w:line="148" w:lineRule="exact"/>
        <w:rPr>
          <w:rFonts w:ascii="Times New Roman" w:cs="Times New Roman" w:eastAsia="Times New Roman" w:hAnsi="Times New Roman"/>
          <w:sz w:val="18"/>
          <w:szCs w:val="18"/>
          <w:color w:val="auto"/>
        </w:rPr>
      </w:pPr>
    </w:p>
    <w:p>
      <w:pPr>
        <w:ind w:left="268" w:hanging="268"/>
        <w:spacing w:after="0"/>
        <w:tabs>
          <w:tab w:leader="none" w:pos="2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Identification and Assessment of Risks in the Supply Chain</w:t>
      </w:r>
    </w:p>
    <w:p>
      <w:pPr>
        <w:spacing w:after="0" w:line="182" w:lineRule="exact"/>
        <w:rPr>
          <w:rFonts w:ascii="Times New Roman" w:cs="Times New Roman" w:eastAsia="Times New Roman" w:hAnsi="Times New Roman"/>
          <w:sz w:val="18"/>
          <w:szCs w:val="18"/>
          <w:color w:val="auto"/>
        </w:rPr>
      </w:pPr>
    </w:p>
    <w:p>
      <w:pPr>
        <w:jc w:val="both"/>
        <w:ind w:left="568" w:hanging="283"/>
        <w:spacing w:after="0" w:line="267" w:lineRule="auto"/>
        <w:tabs>
          <w:tab w:leader="none" w:pos="56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Identification of 3TG Minerals in Our Products</w:t>
      </w:r>
      <w:r>
        <w:rPr>
          <w:rFonts w:ascii="Times New Roman" w:cs="Times New Roman" w:eastAsia="Times New Roman" w:hAnsi="Times New Roman"/>
          <w:sz w:val="18"/>
          <w:szCs w:val="18"/>
          <w:color w:val="auto"/>
        </w:rPr>
        <w:t>. As described above, we determined that one or more of the 3TG minerals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to the functionality or production of certain products we manufactured, or contracted to manufacture, as applicable, during 2025.</w:t>
      </w:r>
    </w:p>
    <w:p>
      <w:pPr>
        <w:spacing w:after="0" w:line="132" w:lineRule="exact"/>
        <w:rPr>
          <w:rFonts w:ascii="Times New Roman" w:cs="Times New Roman" w:eastAsia="Times New Roman" w:hAnsi="Times New Roman"/>
          <w:sz w:val="18"/>
          <w:szCs w:val="18"/>
          <w:color w:val="auto"/>
        </w:rPr>
      </w:pPr>
    </w:p>
    <w:p>
      <w:pPr>
        <w:jc w:val="both"/>
        <w:ind w:left="568" w:hanging="283"/>
        <w:spacing w:after="0" w:line="254" w:lineRule="auto"/>
        <w:tabs>
          <w:tab w:leader="none" w:pos="56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Determination of Source and Chain of Custody of the 3TG Minerals</w:t>
      </w:r>
      <w:r>
        <w:rPr>
          <w:rFonts w:ascii="Times New Roman" w:cs="Times New Roman" w:eastAsia="Times New Roman" w:hAnsi="Times New Roman"/>
          <w:sz w:val="18"/>
          <w:szCs w:val="18"/>
          <w:color w:val="auto"/>
        </w:rPr>
        <w:t>. As described above, we adopted RMI’s industry approach to trace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origin of 3TG minerals by identifying smelters or refiners (“SoRs”), recyclers and scrap supplier sources. We have leveraged industry initiatives such as RMI’s Responsible Minerals Assurance Process (“RMAP”), which provides us with verified information about the sourcing activities of the SoRs in our supply chain. We identified our first-tier suppliers and relied on them to provide the necessary information about the use of 3TG minerals in the products we purchase and incorporate into the manufacture of our systems and IFCs, and the source of such 3TG minerals. Similarly, our first-tier suppliers rely on information provided by their suppliers to provide information regarding the country of origin of 3TG minerals included in our products. In addition, as part of the Company’s broader compliance program, supplier due diligence includes screening against applicable sanctions lists, such as OFAC’s SDN list, and consideration of OFAC’s 50% ownership rule.</w:t>
      </w:r>
    </w:p>
    <w:p>
      <w:pPr>
        <w:spacing w:after="0" w:line="161" w:lineRule="exact"/>
        <w:rPr>
          <w:rFonts w:ascii="Times New Roman" w:cs="Times New Roman" w:eastAsia="Times New Roman" w:hAnsi="Times New Roman"/>
          <w:sz w:val="18"/>
          <w:szCs w:val="18"/>
          <w:color w:val="auto"/>
        </w:rPr>
      </w:pPr>
    </w:p>
    <w:p>
      <w:pPr>
        <w:jc w:val="both"/>
        <w:ind w:left="568" w:hanging="283"/>
        <w:spacing w:after="0" w:line="257" w:lineRule="auto"/>
        <w:tabs>
          <w:tab w:leader="none" w:pos="56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Determination of Whether 3TG Minerals Originated in Covered Countries</w:t>
      </w:r>
      <w:r>
        <w:rPr>
          <w:rFonts w:ascii="Times New Roman" w:cs="Times New Roman" w:eastAsia="Times New Roman" w:hAnsi="Times New Roman"/>
          <w:sz w:val="18"/>
          <w:szCs w:val="18"/>
          <w:color w:val="auto"/>
        </w:rPr>
        <w:t>. As described above, we undertook an RCOI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conflict minerals in our supply chain by providing the RMI Template to each of our first-tier suppliers to gather information about their use of 3TG minerals, the SoRs in their supply chain that are included in our products, and the countries of origin for 3TG minerals used in our products. We reviewed all responses for completeness, reasonableness, and consistency. We contacted first-tier suppliers that did not respond to our request for conflict minerals information by the requested date and followed up for corrections and clarifications as we determined appropriate.</w:t>
      </w:r>
    </w:p>
    <w:p>
      <w:pPr>
        <w:spacing w:after="0" w:line="143" w:lineRule="exact"/>
        <w:rPr>
          <w:rFonts w:ascii="Times New Roman" w:cs="Times New Roman" w:eastAsia="Times New Roman" w:hAnsi="Times New Roman"/>
          <w:sz w:val="18"/>
          <w:szCs w:val="18"/>
          <w:color w:val="auto"/>
        </w:rPr>
      </w:pPr>
    </w:p>
    <w:p>
      <w:pPr>
        <w:ind w:left="268" w:hanging="268"/>
        <w:spacing w:after="0"/>
        <w:tabs>
          <w:tab w:leader="none" w:pos="2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 and Implementation of a Strategy to Respond to Identified Risks</w:t>
      </w:r>
    </w:p>
    <w:p>
      <w:pPr>
        <w:spacing w:after="0" w:line="184" w:lineRule="exact"/>
        <w:rPr>
          <w:rFonts w:ascii="Times New Roman" w:cs="Times New Roman" w:eastAsia="Times New Roman" w:hAnsi="Times New Roman"/>
          <w:sz w:val="18"/>
          <w:szCs w:val="18"/>
          <w:color w:val="auto"/>
        </w:rPr>
      </w:pPr>
    </w:p>
    <w:p>
      <w:pPr>
        <w:jc w:val="both"/>
        <w:ind w:left="288"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 formal risk management plan through which our conflict minerals program is managed and monitored. As part of this risk management plan, where applicable, we will review circumstances in which certain suppliers are unable to provide us with complete or reliable responses to the RMI Template including, without limitation, considering whether to continue such contract or relationship or find a replacement supplier.</w:t>
      </w:r>
    </w:p>
    <w:p>
      <w:pPr>
        <w:spacing w:after="0" w:line="152" w:lineRule="exact"/>
        <w:rPr>
          <w:rFonts w:ascii="Times New Roman" w:cs="Times New Roman" w:eastAsia="Times New Roman" w:hAnsi="Times New Roman"/>
          <w:sz w:val="18"/>
          <w:szCs w:val="18"/>
          <w:color w:val="auto"/>
        </w:rPr>
      </w:pPr>
    </w:p>
    <w:p>
      <w:pPr>
        <w:ind w:left="268" w:hanging="268"/>
        <w:spacing w:after="0"/>
        <w:tabs>
          <w:tab w:leader="none" w:pos="2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Third-Party Audit of Supply Chain Due Diligence at Identified Points in the Supply Chain</w:t>
      </w:r>
    </w:p>
    <w:p>
      <w:pPr>
        <w:spacing w:after="0" w:line="184" w:lineRule="exact"/>
        <w:rPr>
          <w:rFonts w:ascii="Times New Roman" w:cs="Times New Roman" w:eastAsia="Times New Roman" w:hAnsi="Times New Roman"/>
          <w:sz w:val="18"/>
          <w:szCs w:val="18"/>
          <w:color w:val="auto"/>
        </w:rPr>
      </w:pPr>
    </w:p>
    <w:p>
      <w:pPr>
        <w:ind w:left="288" w:right="1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direct relationship with any SoRs in our supply chain. As a result, we do not and cannot conduct any audits directly. Instead, we support the development and implementation of independent third-party audits of smelters such as those by RMAP, which uses independent third-party audits of SoRs to determine if all of the minerals processed by the SoR originated from a conflict-free source. We encourage our suppliers to purchase materials from audited, conflict-free smelters and determining whether the smelters that were used to process these minerals were validated as conflict-free by RMAP.</w:t>
      </w:r>
    </w:p>
    <w:p>
      <w:pPr>
        <w:spacing w:after="0" w:line="318" w:lineRule="exact"/>
        <w:rPr>
          <w:sz w:val="20"/>
          <w:szCs w:val="20"/>
          <w:color w:val="auto"/>
        </w:rPr>
      </w:pPr>
    </w:p>
    <w:p>
      <w:pPr>
        <w:jc w:val="center"/>
        <w:ind w:right="15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8"/>
          </w:cols>
          <w:pgMar w:left="792" w:top="1161" w:right="639" w:bottom="1440" w:gutter="0" w:footer="0" w:header="0"/>
        </w:sectPr>
      </w:pPr>
    </w:p>
    <w:bookmarkStart w:id="6" w:name="page7"/>
    <w:bookmarkEnd w:id="6"/>
    <w:p>
      <w:pPr>
        <w:ind w:left="288" w:hanging="288"/>
        <w:spacing w:after="0"/>
        <w:tabs>
          <w:tab w:leader="none" w:pos="2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 on Supply Chain Due Diligence</w:t>
      </w:r>
    </w:p>
    <w:p>
      <w:pPr>
        <w:spacing w:after="0" w:line="185" w:lineRule="exact"/>
        <w:rPr>
          <w:sz w:val="20"/>
          <w:szCs w:val="20"/>
          <w:color w:val="auto"/>
        </w:rPr>
      </w:pPr>
    </w:p>
    <w:p>
      <w:pPr>
        <w:ind w:left="288"/>
        <w:spacing w:after="0" w:line="282" w:lineRule="auto"/>
        <w:rPr>
          <w:sz w:val="20"/>
          <w:szCs w:val="20"/>
          <w:color w:val="auto"/>
        </w:rPr>
      </w:pPr>
      <w:r>
        <w:rPr>
          <w:rFonts w:ascii="Times New Roman" w:cs="Times New Roman" w:eastAsia="Times New Roman" w:hAnsi="Times New Roman"/>
          <w:sz w:val="18"/>
          <w:szCs w:val="18"/>
          <w:color w:val="auto"/>
        </w:rPr>
        <w:t>We publicly filed the Form SD and this Report with the SEC. A copy of this Report and the Form SD are publicly available at https://investors.standardbio.com/sec-filings.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Findings and Conclusion</w:t>
      </w:r>
    </w:p>
    <w:p>
      <w:pPr>
        <w:spacing w:after="0" w:line="202" w:lineRule="exact"/>
        <w:rPr>
          <w:sz w:val="20"/>
          <w:szCs w:val="20"/>
          <w:color w:val="auto"/>
        </w:rPr>
      </w:pPr>
    </w:p>
    <w:p>
      <w:pPr>
        <w:ind w:left="8" w:right="80" w:firstLine="329"/>
        <w:spacing w:after="0" w:line="255" w:lineRule="auto"/>
        <w:rPr>
          <w:sz w:val="20"/>
          <w:szCs w:val="20"/>
          <w:color w:val="auto"/>
        </w:rPr>
      </w:pPr>
      <w:r>
        <w:rPr>
          <w:rFonts w:ascii="Times New Roman" w:cs="Times New Roman" w:eastAsia="Times New Roman" w:hAnsi="Times New Roman"/>
          <w:sz w:val="18"/>
          <w:szCs w:val="18"/>
          <w:color w:val="auto"/>
        </w:rPr>
        <w:t>Due to our downstream position in the supply chain, any efforts to understand the origin of raw materials rely heavily on the cooperation of our first-tier suppliers. Most of the responses received from our first-tier suppliers provided information at company/division levels, rather than specific product/part number levels. As a result, we were unable to determine whether or to what extent any of the 3TG minerals reported as used by these first-tier suppliers were contained specifically in components supplied to us. We also were unable to validate whether the SoRs reported by such first-tier suppliers are actually in our supply chain. Accordingly, based on information that was provided by our first-tier suppliers or that was otherwise obtained through our due diligence process, we are unable to determine and describe all facilities used to process the 3TG minerals contained in our covered products.</w:t>
      </w:r>
    </w:p>
    <w:p>
      <w:pPr>
        <w:spacing w:after="0" w:line="148" w:lineRule="exact"/>
        <w:rPr>
          <w:sz w:val="20"/>
          <w:szCs w:val="20"/>
          <w:color w:val="auto"/>
        </w:rPr>
      </w:pPr>
    </w:p>
    <w:p>
      <w:pPr>
        <w:jc w:val="both"/>
        <w:ind w:left="8" w:firstLine="329"/>
        <w:spacing w:after="0" w:line="261" w:lineRule="auto"/>
        <w:rPr>
          <w:sz w:val="20"/>
          <w:szCs w:val="20"/>
          <w:color w:val="auto"/>
        </w:rPr>
      </w:pPr>
      <w:r>
        <w:rPr>
          <w:rFonts w:ascii="Times New Roman" w:cs="Times New Roman" w:eastAsia="Times New Roman" w:hAnsi="Times New Roman"/>
          <w:sz w:val="18"/>
          <w:szCs w:val="18"/>
          <w:color w:val="auto"/>
        </w:rPr>
        <w:t>Based on the information that was provided by our suppliers and otherwise obtained through the due diligence process, we believe that, to the extent reasonably determinable, the facilities that were used to process the 3TG minerals contained in the covered products included the SoRs listed in Annex A attached hereto. This table excludes facilities that are not listed in the Smelter Reference List published by RMI as of April 17, 2026 (the “RMI Smelter Reference List”).</w:t>
      </w:r>
    </w:p>
    <w:p>
      <w:pPr>
        <w:spacing w:after="0" w:line="139" w:lineRule="exact"/>
        <w:rPr>
          <w:sz w:val="20"/>
          <w:szCs w:val="20"/>
          <w:color w:val="auto"/>
        </w:rPr>
      </w:pPr>
    </w:p>
    <w:p>
      <w:pPr>
        <w:ind w:left="8" w:right="40" w:firstLine="329"/>
        <w:spacing w:after="0" w:line="256" w:lineRule="auto"/>
        <w:rPr>
          <w:sz w:val="20"/>
          <w:szCs w:val="20"/>
          <w:color w:val="auto"/>
        </w:rPr>
      </w:pPr>
      <w:r>
        <w:rPr>
          <w:rFonts w:ascii="Times New Roman" w:cs="Times New Roman" w:eastAsia="Times New Roman" w:hAnsi="Times New Roman"/>
          <w:sz w:val="18"/>
          <w:szCs w:val="18"/>
          <w:color w:val="auto"/>
        </w:rPr>
        <w:t>Because the RMI Smelter Reference List generally did not indicate individual countries of origin of the conflict minerals processed by SoRs, we were not able to determine with greater specificity the countries of origin of the 3TG minerals processed by the listed SoRs. Furthermore, as stated earlier, submission of these smelters by our first-tier suppliers does not guarantee that these SoRs are present in Standard BioTools’s supply chain as our first-tier suppliers were generally only able to provide company-level RMI Templates and were not able to provide product-level RMI Templates directly linking those SoRs to such covered products. Therefore, based on our due diligence efforts, we do not have sufficient information to conclusively determine the countries of origin of the 3TG minerals contained in the covered products.</w:t>
      </w:r>
    </w:p>
    <w:p>
      <w:pPr>
        <w:spacing w:after="0" w:line="1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Future Steps</w:t>
      </w:r>
    </w:p>
    <w:p>
      <w:pPr>
        <w:spacing w:after="0" w:line="189" w:lineRule="exact"/>
        <w:rPr>
          <w:sz w:val="20"/>
          <w:szCs w:val="20"/>
          <w:color w:val="auto"/>
        </w:rPr>
      </w:pPr>
    </w:p>
    <w:p>
      <w:pPr>
        <w:ind w:left="8" w:right="100" w:firstLine="329"/>
        <w:spacing w:after="0" w:line="277" w:lineRule="auto"/>
        <w:rPr>
          <w:sz w:val="20"/>
          <w:szCs w:val="20"/>
          <w:color w:val="auto"/>
        </w:rPr>
      </w:pPr>
      <w:r>
        <w:rPr>
          <w:rFonts w:ascii="Times New Roman" w:cs="Times New Roman" w:eastAsia="Times New Roman" w:hAnsi="Times New Roman"/>
          <w:sz w:val="17"/>
          <w:szCs w:val="17"/>
          <w:color w:val="auto"/>
        </w:rPr>
        <w:t>We have communicated our expectations to our suppliers regarding our commitment to sourcing minerals for our products in a manner that does not, directly or indirectly, finance or benefit armed groups in the Covered Countries. We continue to take steps to mitigate the risk that the necessary conflict minerals in our products could benefit armed groups in the Covered Countries. These steps include ongoing engagement with our suppliers to build their knowledge and capacity so they are able to provide us with more complete and accurate information on the source and chain of custody of the 3TG minerals included in components and parts purchased by us and incorporated into our products.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Additional Risk Factors</w:t>
      </w:r>
    </w:p>
    <w:p>
      <w:pPr>
        <w:spacing w:after="0" w:line="202" w:lineRule="exact"/>
        <w:rPr>
          <w:sz w:val="20"/>
          <w:szCs w:val="20"/>
          <w:color w:val="auto"/>
        </w:rPr>
      </w:pPr>
    </w:p>
    <w:p>
      <w:pPr>
        <w:jc w:val="both"/>
        <w:ind w:left="8" w:right="20" w:firstLine="329"/>
        <w:spacing w:after="0" w:line="266" w:lineRule="auto"/>
        <w:rPr>
          <w:sz w:val="20"/>
          <w:szCs w:val="20"/>
          <w:color w:val="auto"/>
        </w:rPr>
      </w:pPr>
      <w:r>
        <w:rPr>
          <w:rFonts w:ascii="Times New Roman" w:cs="Times New Roman" w:eastAsia="Times New Roman" w:hAnsi="Times New Roman"/>
          <w:sz w:val="18"/>
          <w:szCs w:val="18"/>
          <w:color w:val="auto"/>
        </w:rPr>
        <w:t>The statements above are based on the RCOI process and due diligence performed in good faith by Standard BioTools. These statements are based on the infrastructure and information available at the time the RCOI and due diligence process were performed. A number of factors could introduce errors or otherwise affect the accuracy of our 3TG mineral disclosures. These factors include, but are not limited to:</w:t>
      </w:r>
    </w:p>
    <w:p>
      <w:pPr>
        <w:spacing w:after="0" w:line="135" w:lineRule="exact"/>
        <w:rPr>
          <w:sz w:val="20"/>
          <w:szCs w:val="20"/>
          <w:color w:val="auto"/>
        </w:rPr>
      </w:pPr>
    </w:p>
    <w:p>
      <w:pPr>
        <w:ind w:left="728" w:hanging="354"/>
        <w:spacing w:after="0"/>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gaps in supplier data;</w:t>
      </w:r>
    </w:p>
    <w:p>
      <w:pPr>
        <w:spacing w:after="0" w:line="27" w:lineRule="exact"/>
        <w:rPr>
          <w:rFonts w:ascii="Times New Roman" w:cs="Times New Roman" w:eastAsia="Times New Roman" w:hAnsi="Times New Roman"/>
          <w:sz w:val="18"/>
          <w:szCs w:val="18"/>
          <w:color w:val="auto"/>
        </w:rPr>
      </w:pPr>
    </w:p>
    <w:p>
      <w:pPr>
        <w:ind w:left="728" w:hanging="354"/>
        <w:spacing w:after="0"/>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gaps in smelter data;</w:t>
      </w:r>
    </w:p>
    <w:p>
      <w:pPr>
        <w:spacing w:after="0" w:line="9" w:lineRule="exact"/>
        <w:rPr>
          <w:rFonts w:ascii="Times New Roman" w:cs="Times New Roman" w:eastAsia="Times New Roman" w:hAnsi="Times New Roman"/>
          <w:sz w:val="18"/>
          <w:szCs w:val="18"/>
          <w:color w:val="auto"/>
        </w:rPr>
      </w:pPr>
    </w:p>
    <w:p>
      <w:pPr>
        <w:ind w:left="728" w:hanging="354"/>
        <w:spacing w:after="0"/>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or omissions by suppliers;</w:t>
      </w:r>
    </w:p>
    <w:p>
      <w:pPr>
        <w:spacing w:after="0" w:line="9" w:lineRule="exact"/>
        <w:rPr>
          <w:rFonts w:ascii="Times New Roman" w:cs="Times New Roman" w:eastAsia="Times New Roman" w:hAnsi="Times New Roman"/>
          <w:sz w:val="18"/>
          <w:szCs w:val="18"/>
          <w:color w:val="auto"/>
        </w:rPr>
      </w:pPr>
    </w:p>
    <w:p>
      <w:pPr>
        <w:ind w:left="728" w:hanging="354"/>
        <w:spacing w:after="0"/>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or omissions by smelters;</w:t>
      </w:r>
    </w:p>
    <w:p>
      <w:pPr>
        <w:spacing w:after="0" w:line="9" w:lineRule="exact"/>
        <w:rPr>
          <w:rFonts w:ascii="Times New Roman" w:cs="Times New Roman" w:eastAsia="Times New Roman" w:hAnsi="Times New Roman"/>
          <w:sz w:val="18"/>
          <w:szCs w:val="18"/>
          <w:color w:val="auto"/>
        </w:rPr>
      </w:pPr>
    </w:p>
    <w:p>
      <w:pPr>
        <w:ind w:left="728" w:hanging="354"/>
        <w:spacing w:after="0"/>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instances of 3TG minerals necessary to the functionality or manufacturing of our products not yet having been identified;</w:t>
      </w:r>
    </w:p>
    <w:p>
      <w:pPr>
        <w:spacing w:after="0" w:line="9" w:lineRule="exact"/>
        <w:rPr>
          <w:rFonts w:ascii="Times New Roman" w:cs="Times New Roman" w:eastAsia="Times New Roman" w:hAnsi="Times New Roman"/>
          <w:sz w:val="18"/>
          <w:szCs w:val="18"/>
          <w:color w:val="auto"/>
        </w:rPr>
      </w:pPr>
    </w:p>
    <w:p>
      <w:pPr>
        <w:ind w:left="728" w:hanging="354"/>
        <w:spacing w:after="0"/>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gaps in supplier education and knowledge;</w:t>
      </w:r>
    </w:p>
    <w:p>
      <w:pPr>
        <w:spacing w:after="0" w:line="9" w:lineRule="exact"/>
        <w:rPr>
          <w:rFonts w:ascii="Times New Roman" w:cs="Times New Roman" w:eastAsia="Times New Roman" w:hAnsi="Times New Roman"/>
          <w:sz w:val="18"/>
          <w:szCs w:val="18"/>
          <w:color w:val="auto"/>
        </w:rPr>
      </w:pPr>
    </w:p>
    <w:p>
      <w:pPr>
        <w:ind w:left="728" w:hanging="354"/>
        <w:spacing w:after="0"/>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timeliness of data;</w:t>
      </w:r>
    </w:p>
    <w:p>
      <w:pPr>
        <w:spacing w:after="0" w:line="9" w:lineRule="exact"/>
        <w:rPr>
          <w:rFonts w:ascii="Times New Roman" w:cs="Times New Roman" w:eastAsia="Times New Roman" w:hAnsi="Times New Roman"/>
          <w:sz w:val="18"/>
          <w:szCs w:val="18"/>
          <w:color w:val="auto"/>
        </w:rPr>
      </w:pPr>
    </w:p>
    <w:p>
      <w:pPr>
        <w:ind w:left="728" w:hanging="354"/>
        <w:spacing w:after="0"/>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information not discovered during a reasonable search;</w:t>
      </w:r>
    </w:p>
    <w:p>
      <w:pPr>
        <w:spacing w:after="0" w:line="9" w:lineRule="exact"/>
        <w:rPr>
          <w:rFonts w:ascii="Times New Roman" w:cs="Times New Roman" w:eastAsia="Times New Roman" w:hAnsi="Times New Roman"/>
          <w:sz w:val="18"/>
          <w:szCs w:val="18"/>
          <w:color w:val="auto"/>
        </w:rPr>
      </w:pPr>
    </w:p>
    <w:p>
      <w:pPr>
        <w:ind w:left="728" w:hanging="354"/>
        <w:spacing w:after="0"/>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public data;</w:t>
      </w:r>
    </w:p>
    <w:p>
      <w:pPr>
        <w:spacing w:after="0" w:line="166" w:lineRule="exact"/>
        <w:rPr>
          <w:sz w:val="20"/>
          <w:szCs w:val="20"/>
          <w:color w:val="auto"/>
        </w:rPr>
      </w:pPr>
    </w:p>
    <w:p>
      <w:pPr>
        <w:jc w:val="center"/>
        <w:ind w:right="15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8"/>
          </w:cols>
          <w:pgMar w:left="792" w:top="1161" w:right="639" w:bottom="1440" w:gutter="0" w:footer="0" w:header="0"/>
        </w:sectPr>
      </w:pPr>
    </w:p>
    <w:bookmarkStart w:id="7" w:name="page8"/>
    <w:bookmarkEnd w:id="7"/>
    <w:p>
      <w:pPr>
        <w:ind w:left="354" w:hanging="354"/>
        <w:spacing w:after="0"/>
        <w:tabs>
          <w:tab w:leader="none" w:pos="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and translation;</w:t>
      </w:r>
    </w:p>
    <w:p>
      <w:pPr>
        <w:spacing w:after="0" w:line="27" w:lineRule="exact"/>
        <w:rPr>
          <w:rFonts w:ascii="Times New Roman" w:cs="Times New Roman" w:eastAsia="Times New Roman" w:hAnsi="Times New Roman"/>
          <w:sz w:val="18"/>
          <w:szCs w:val="18"/>
          <w:color w:val="auto"/>
        </w:rPr>
      </w:pPr>
    </w:p>
    <w:p>
      <w:pPr>
        <w:ind w:left="354" w:hanging="354"/>
        <w:spacing w:after="0"/>
        <w:tabs>
          <w:tab w:leader="none" w:pos="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and smelter unfamiliarity with the protocols for identifying and sourcing potential 3TG minerals;</w:t>
      </w:r>
    </w:p>
    <w:p>
      <w:pPr>
        <w:spacing w:after="0" w:line="9" w:lineRule="exact"/>
        <w:rPr>
          <w:rFonts w:ascii="Times New Roman" w:cs="Times New Roman" w:eastAsia="Times New Roman" w:hAnsi="Times New Roman"/>
          <w:sz w:val="18"/>
          <w:szCs w:val="18"/>
          <w:color w:val="auto"/>
        </w:rPr>
      </w:pPr>
    </w:p>
    <w:p>
      <w:pPr>
        <w:ind w:left="354" w:hanging="354"/>
        <w:spacing w:after="0"/>
        <w:tabs>
          <w:tab w:leader="none" w:pos="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or errors in conflict-free smelter audits;</w:t>
      </w:r>
    </w:p>
    <w:p>
      <w:pPr>
        <w:spacing w:after="0" w:line="9" w:lineRule="exact"/>
        <w:rPr>
          <w:rFonts w:ascii="Times New Roman" w:cs="Times New Roman" w:eastAsia="Times New Roman" w:hAnsi="Times New Roman"/>
          <w:sz w:val="18"/>
          <w:szCs w:val="18"/>
          <w:color w:val="auto"/>
        </w:rPr>
      </w:pPr>
    </w:p>
    <w:p>
      <w:pPr>
        <w:ind w:left="354" w:hanging="354"/>
        <w:spacing w:after="0"/>
        <w:tabs>
          <w:tab w:leader="none" w:pos="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Countries sourced materials being declared secondary materials;</w:t>
      </w:r>
    </w:p>
    <w:p>
      <w:pPr>
        <w:spacing w:after="0" w:line="9" w:lineRule="exact"/>
        <w:rPr>
          <w:rFonts w:ascii="Times New Roman" w:cs="Times New Roman" w:eastAsia="Times New Roman" w:hAnsi="Times New Roman"/>
          <w:sz w:val="18"/>
          <w:szCs w:val="18"/>
          <w:color w:val="auto"/>
        </w:rPr>
      </w:pPr>
    </w:p>
    <w:p>
      <w:pPr>
        <w:ind w:left="354" w:hanging="354"/>
        <w:spacing w:after="0"/>
        <w:tabs>
          <w:tab w:leader="none" w:pos="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going out of business in 2025;</w:t>
      </w:r>
    </w:p>
    <w:p>
      <w:pPr>
        <w:spacing w:after="0" w:line="9" w:lineRule="exact"/>
        <w:rPr>
          <w:rFonts w:ascii="Times New Roman" w:cs="Times New Roman" w:eastAsia="Times New Roman" w:hAnsi="Times New Roman"/>
          <w:sz w:val="18"/>
          <w:szCs w:val="18"/>
          <w:color w:val="auto"/>
        </w:rPr>
      </w:pPr>
    </w:p>
    <w:p>
      <w:pPr>
        <w:ind w:left="354" w:hanging="354"/>
        <w:spacing w:after="0"/>
        <w:tabs>
          <w:tab w:leader="none" w:pos="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programs being not equally advanced for all industry segments and metals;</w:t>
      </w:r>
    </w:p>
    <w:p>
      <w:pPr>
        <w:spacing w:after="0" w:line="9" w:lineRule="exact"/>
        <w:rPr>
          <w:rFonts w:ascii="Times New Roman" w:cs="Times New Roman" w:eastAsia="Times New Roman" w:hAnsi="Times New Roman"/>
          <w:sz w:val="18"/>
          <w:szCs w:val="18"/>
          <w:color w:val="auto"/>
        </w:rPr>
      </w:pPr>
    </w:p>
    <w:p>
      <w:pPr>
        <w:ind w:left="354" w:hanging="354"/>
        <w:spacing w:after="0"/>
        <w:tabs>
          <w:tab w:leader="none" w:pos="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smuggling of 3TG minerals from the Covered Countries to other countries; and</w:t>
      </w:r>
    </w:p>
    <w:p>
      <w:pPr>
        <w:spacing w:after="0" w:line="9" w:lineRule="exact"/>
        <w:rPr>
          <w:rFonts w:ascii="Times New Roman" w:cs="Times New Roman" w:eastAsia="Times New Roman" w:hAnsi="Times New Roman"/>
          <w:sz w:val="18"/>
          <w:szCs w:val="18"/>
          <w:color w:val="auto"/>
        </w:rPr>
      </w:pPr>
    </w:p>
    <w:p>
      <w:pPr>
        <w:ind w:left="354" w:hanging="354"/>
        <w:spacing w:after="0"/>
        <w:tabs>
          <w:tab w:leader="none" w:pos="3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inclement weather conditions, natural disasters or pandemics.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5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93"/>
          </w:cols>
          <w:pgMar w:left="1166" w:top="1161" w:right="1440" w:bottom="1440" w:gutter="0" w:footer="0" w:header="0"/>
        </w:sectPr>
      </w:pPr>
    </w:p>
    <w:bookmarkStart w:id="8" w:name="page9"/>
    <w:bookmarkEnd w:id="8"/>
    <w:p>
      <w:pPr>
        <w:ind w:left="10340"/>
        <w:spacing w:after="0"/>
        <w:rPr>
          <w:sz w:val="20"/>
          <w:szCs w:val="20"/>
          <w:color w:val="auto"/>
        </w:rPr>
      </w:pPr>
      <w:r>
        <w:rPr>
          <w:rFonts w:ascii="Times New Roman" w:cs="Times New Roman" w:eastAsia="Times New Roman" w:hAnsi="Times New Roman"/>
          <w:sz w:val="19"/>
          <w:szCs w:val="19"/>
          <w:b w:val="1"/>
          <w:bCs w:val="1"/>
          <w:color w:val="auto"/>
        </w:rPr>
        <w:t>Annex 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80" w:type="dxa"/>
            <w:vAlign w:val="bottom"/>
          </w:tcPr>
          <w:p>
            <w:pPr>
              <w:spacing w:after="0"/>
              <w:rPr>
                <w:sz w:val="21"/>
                <w:szCs w:val="21"/>
                <w:color w:val="auto"/>
              </w:rPr>
            </w:pPr>
          </w:p>
        </w:tc>
        <w:tc>
          <w:tcPr>
            <w:tcW w:w="6980" w:type="dxa"/>
            <w:vAlign w:val="bottom"/>
          </w:tcPr>
          <w:p>
            <w:pPr>
              <w:ind w:left="3300"/>
              <w:spacing w:after="0"/>
              <w:rPr>
                <w:sz w:val="20"/>
                <w:szCs w:val="20"/>
                <w:color w:val="auto"/>
              </w:rPr>
            </w:pPr>
            <w:r>
              <w:rPr>
                <w:rFonts w:ascii="Times New Roman" w:cs="Times New Roman" w:eastAsia="Times New Roman" w:hAnsi="Times New Roman"/>
                <w:sz w:val="19"/>
                <w:szCs w:val="19"/>
                <w:b w:val="1"/>
                <w:bCs w:val="1"/>
                <w:color w:val="auto"/>
              </w:rPr>
              <w:t>2025 Facility and Country List</w:t>
            </w:r>
          </w:p>
        </w:tc>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8"/>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METAL</w:t>
            </w:r>
          </w:p>
        </w:tc>
        <w:tc>
          <w:tcPr>
            <w:tcW w:w="698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318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6980" w:type="dxa"/>
            <w:vAlign w:val="bottom"/>
            <w:vMerge w:val="continue"/>
          </w:tcPr>
          <w:p>
            <w:pPr>
              <w:spacing w:after="0"/>
              <w:rPr>
                <w:sz w:val="11"/>
                <w:szCs w:val="11"/>
                <w:color w:val="auto"/>
              </w:rPr>
            </w:pPr>
          </w:p>
        </w:tc>
        <w:tc>
          <w:tcPr>
            <w:tcW w:w="318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6980" w:type="dxa"/>
            <w:vAlign w:val="bottom"/>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6980" w:type="dxa"/>
            <w:vAlign w:val="bottom"/>
            <w:tcBorders>
              <w:bottom w:val="single" w:sz="8" w:color="666666"/>
            </w:tcBorders>
          </w:tcPr>
          <w:p>
            <w:pPr>
              <w:spacing w:after="0"/>
              <w:rPr>
                <w:sz w:val="7"/>
                <w:szCs w:val="7"/>
                <w:color w:val="auto"/>
              </w:rPr>
            </w:pPr>
          </w:p>
        </w:tc>
        <w:tc>
          <w:tcPr>
            <w:tcW w:w="3060" w:type="dxa"/>
            <w:vAlign w:val="bottom"/>
            <w:tcBorders>
              <w:bottom w:val="single" w:sz="8" w:color="666666"/>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8853 S.p.A.</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IT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ABC Refinery Pty Ltd.</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AU</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African Gold Refinery</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UG</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Agosi AG</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Al Ghaith Gold</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AE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Albino Mountinho Lda.</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Alexy Metals</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Allgemeine Gold-und Silberscheideanstalt A.G.</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UZ</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Argor-Heraeus S.A.</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CH</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ARY Aurum Plus</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ASAHI METALFINE, Inc.</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Asahi Pretec Corp.</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CA</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Asahi Refining USA Inc.</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Asaka Riken Co., Ltd.</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Atlantic Copper</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ES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Attero Recycling Pvt Ltd</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AU Traders and Refiners</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ZA</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Aurubis AG</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Aurubis AG, Hamburg</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Bangalore Refinery</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PH</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Boliden AB</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SE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Boliden Ronnskar</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 Hafner GmbH + Co. KG</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 Metales Procesados Industriales SAS</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CO</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Caridad</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MX</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CA</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Cendres + Metaux S.A.</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CH</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CGR Metalloys Pvt Ltd.</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Chimet S.p.A.</w:t>
            </w:r>
          </w:p>
        </w:tc>
        <w:tc>
          <w:tcPr>
            <w:tcW w:w="3060" w:type="dxa"/>
            <w:vAlign w:val="bottom"/>
            <w:tcBorders>
              <w:bottom w:val="single" w:sz="8" w:color="F2F2F2"/>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color w:val="auto"/>
              </w:rPr>
              <w:t>IT</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China's Shandong Gold Mining Co., Ltd</w:t>
            </w: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0"/>
        </w:trPr>
        <w:tc>
          <w:tcPr>
            <w:tcW w:w="108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METAL</w:t>
            </w:r>
          </w:p>
        </w:tc>
        <w:tc>
          <w:tcPr>
            <w:tcW w:w="674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34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6740" w:type="dxa"/>
            <w:vAlign w:val="bottom"/>
            <w:vMerge w:val="continue"/>
          </w:tcPr>
          <w:p>
            <w:pPr>
              <w:spacing w:after="0"/>
              <w:rPr>
                <w:sz w:val="11"/>
                <w:szCs w:val="11"/>
                <w:color w:val="auto"/>
              </w:rPr>
            </w:pPr>
          </w:p>
        </w:tc>
        <w:tc>
          <w:tcPr>
            <w:tcW w:w="342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6740" w:type="dxa"/>
            <w:vAlign w:val="bottom"/>
            <w:tcBorders>
              <w:bottom w:val="single" w:sz="8" w:color="666666"/>
            </w:tcBorders>
          </w:tcPr>
          <w:p>
            <w:pPr>
              <w:spacing w:after="0"/>
              <w:rPr>
                <w:sz w:val="7"/>
                <w:szCs w:val="7"/>
                <w:color w:val="auto"/>
              </w:rPr>
            </w:pPr>
          </w:p>
        </w:tc>
        <w:tc>
          <w:tcPr>
            <w:tcW w:w="3300" w:type="dxa"/>
            <w:vAlign w:val="bottom"/>
            <w:tcBorders>
              <w:bottom w:val="single" w:sz="8" w:color="666666"/>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Chugai Mining</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Coimpa Industrial LTDA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AE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DODUCO Contacts and Refining GmbH</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Dongwu Gold Group</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Dowa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DSC (Do Sung Corporation)</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KR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Eco-System Recycling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Elemetal Refining, LLC</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Elite Industech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TW</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Emirates Gold DMCC</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Fenix Metals</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PL</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ZW</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Freeport Cobalt Oy</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FI</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Fujairah Gold FZC</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Gasabo Gold Refinery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RW</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GCC Gujrat Gold Centre Pvt.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Geib Refining Corp.</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GG Refinery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TZ</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Gold by Gold Colombia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Gold Coast Refinery</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GH</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Guangdong Hua Jian Trade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GUANGDONG JINXIAN GAOXIN CAI LIAO GONG SI</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Hang Seng Technology</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Heimerle + Meule GmbH</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Henan Yuguang Gold &amp; Lead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67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A-2</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METAL</w:t>
            </w:r>
          </w:p>
        </w:tc>
        <w:tc>
          <w:tcPr>
            <w:tcW w:w="674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34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6740" w:type="dxa"/>
            <w:vAlign w:val="bottom"/>
            <w:vMerge w:val="continue"/>
          </w:tcPr>
          <w:p>
            <w:pPr>
              <w:spacing w:after="0"/>
              <w:rPr>
                <w:sz w:val="11"/>
                <w:szCs w:val="11"/>
                <w:color w:val="auto"/>
              </w:rPr>
            </w:pPr>
          </w:p>
        </w:tc>
        <w:tc>
          <w:tcPr>
            <w:tcW w:w="342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6740" w:type="dxa"/>
            <w:vAlign w:val="bottom"/>
            <w:tcBorders>
              <w:bottom w:val="single" w:sz="8" w:color="666666"/>
            </w:tcBorders>
          </w:tcPr>
          <w:p>
            <w:pPr>
              <w:spacing w:after="0"/>
              <w:rPr>
                <w:sz w:val="7"/>
                <w:szCs w:val="7"/>
                <w:color w:val="auto"/>
              </w:rPr>
            </w:pPr>
          </w:p>
        </w:tc>
        <w:tc>
          <w:tcPr>
            <w:tcW w:w="3300" w:type="dxa"/>
            <w:vAlign w:val="bottom"/>
            <w:tcBorders>
              <w:bottom w:val="single" w:sz="8" w:color="666666"/>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Heraeus Precious Metals GmbH &amp; Co. KG</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Hetai Gold Mineral Guangdong Co., Ltd.</w:t>
            </w:r>
          </w:p>
        </w:tc>
        <w:tc>
          <w:tcPr>
            <w:tcW w:w="3300" w:type="dxa"/>
            <w:vAlign w:val="bottom"/>
            <w:tcBorders>
              <w:bottom w:val="single" w:sz="8" w:color="F2F2F2"/>
            </w:tcBorders>
            <w:shd w:val="clear" w:color="auto" w:fill="F2F2F2"/>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Hop Hing electroplating factory Zhejiang</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House of Currency of Brazil (Casa da Moeda do Brazil)</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Hung Cheong Metal Manufacturing Limited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HwaSeong CJ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KR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Impala Platinum - Base Metal Refinery (BMR)</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ZA</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ZA</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Impala Platinum - Rustenburg Smelter</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ZA</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Impala Refineries – Base Metals Refinery (BMR)</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ZA</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Impala Rustenburg</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ZA</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Inca One (Chala One Plant)</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PE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Inca One (Koricancha Plant)</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BE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AE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Istanbul Gold Refinery</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TR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Italpreziosi</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JALAN &amp; Company</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Japan Mint</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Jiangxi Copper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Jin Jinyin Refining Co., Ltd.</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Jinlong Copper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JSC Novosibirsk Refinery</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JSC Uralelectromed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K.A. Rasmussen</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NO</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Kaloti Precious Metals</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AE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Kazakhmys Smelting LLC</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KZ</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Kazzinc</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KZ</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KGHM Polska Miedz S.A. Oddzial Huta Miedzi, Glogow</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PL</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Kojima Chemicals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Korea Zinc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KR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KP Sanghvi International Airport</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KP Sanghvi International Pvt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67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A-3</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METAL</w:t>
            </w:r>
          </w:p>
        </w:tc>
        <w:tc>
          <w:tcPr>
            <w:tcW w:w="674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34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6740" w:type="dxa"/>
            <w:vAlign w:val="bottom"/>
            <w:vMerge w:val="continue"/>
          </w:tcPr>
          <w:p>
            <w:pPr>
              <w:spacing w:after="0"/>
              <w:rPr>
                <w:sz w:val="11"/>
                <w:szCs w:val="11"/>
                <w:color w:val="auto"/>
              </w:rPr>
            </w:pPr>
          </w:p>
        </w:tc>
        <w:tc>
          <w:tcPr>
            <w:tcW w:w="342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6740" w:type="dxa"/>
            <w:vAlign w:val="bottom"/>
            <w:tcBorders>
              <w:bottom w:val="single" w:sz="8" w:color="666666"/>
            </w:tcBorders>
          </w:tcPr>
          <w:p>
            <w:pPr>
              <w:spacing w:after="0"/>
              <w:rPr>
                <w:sz w:val="7"/>
                <w:szCs w:val="7"/>
                <w:color w:val="auto"/>
              </w:rPr>
            </w:pPr>
          </w:p>
        </w:tc>
        <w:tc>
          <w:tcPr>
            <w:tcW w:w="3300" w:type="dxa"/>
            <w:vAlign w:val="bottom"/>
            <w:tcBorders>
              <w:bottom w:val="single" w:sz="8" w:color="666666"/>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Kundan Care Products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Kyrgyzaltyn JSC</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KG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SA</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Lingbao Gold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L'Orfebre S.A.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AD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LS MnM Inc.</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KR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LS-NIKKO Copper Inc.</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KR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LT Metal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KR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Marsam Metals</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Materion</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Matsuda Sangyo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MD Overseas</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ZA</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Metallix Refining Inc.</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SG</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Metalor Technologies S.A.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CH</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MX</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Minera Titan del Peru SRL (MTP) - Belen Plant</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MKS PAMP SA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CH</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MMTC-PAMP India Pvt.,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Modeltech Sdn Bhd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MY</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Morris and Watson</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NZ</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Morris and Watson</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AU</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Morris and Watson Gold Coast</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AU</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Naoshima Smelter &amp; Refinery</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UZ</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NH Recytech Company</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KR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Nihon Material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NOBLE METAL SERVICES</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Nyrstar Metals</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AT</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67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A-4</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METAL</w:t>
            </w:r>
          </w:p>
        </w:tc>
        <w:tc>
          <w:tcPr>
            <w:tcW w:w="752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26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7520" w:type="dxa"/>
            <w:vAlign w:val="bottom"/>
            <w:vMerge w:val="continue"/>
          </w:tcPr>
          <w:p>
            <w:pPr>
              <w:spacing w:after="0"/>
              <w:rPr>
                <w:sz w:val="11"/>
                <w:szCs w:val="11"/>
                <w:color w:val="auto"/>
              </w:rPr>
            </w:pPr>
          </w:p>
        </w:tc>
        <w:tc>
          <w:tcPr>
            <w:tcW w:w="26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7520" w:type="dxa"/>
            <w:vAlign w:val="bottom"/>
          </w:tcPr>
          <w:p>
            <w:pPr>
              <w:spacing w:after="0"/>
              <w:rPr>
                <w:sz w:val="9"/>
                <w:szCs w:val="9"/>
                <w:color w:val="auto"/>
              </w:rPr>
            </w:pPr>
          </w:p>
        </w:tc>
        <w:tc>
          <w:tcPr>
            <w:tcW w:w="2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7520" w:type="dxa"/>
            <w:vAlign w:val="bottom"/>
            <w:tcBorders>
              <w:bottom w:val="single" w:sz="8" w:color="666666"/>
            </w:tcBorders>
          </w:tcPr>
          <w:p>
            <w:pPr>
              <w:spacing w:after="0"/>
              <w:rPr>
                <w:sz w:val="7"/>
                <w:szCs w:val="7"/>
                <w:color w:val="auto"/>
              </w:rPr>
            </w:pPr>
          </w:p>
        </w:tc>
        <w:tc>
          <w:tcPr>
            <w:tcW w:w="2520" w:type="dxa"/>
            <w:vAlign w:val="bottom"/>
            <w:tcBorders>
              <w:bottom w:val="single" w:sz="8" w:color="666666"/>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OJSC "The Gulidov Krasnoyarsk Non-Ferrous Metals Plant" (OJSC Krastsvetmet)</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OJSC Novosibirsk Refinery</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Pease &amp; Curren</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CL</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PX Precinox S.A.</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PX Précinox S.A.</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CH</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QG Refining, LLC</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Rand Refinery (Pty) Ltd.</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ZA</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Realized the Enterprise Co., Ltd.</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REMONDIS PMR B.V.</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Royal Canadian Mint</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CA</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SAAMP</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Sabin Metal Corp.</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Safimet S.p.A</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SAFINA A.S.</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CZ</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Sai Refinery</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Sam Precious Metals</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AE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SAM Precious Metals FZ-LLC</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Samduck Precious Metals</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KR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Samwon Metals Corp.</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Sancus ZFS (L’Orfebre, SA)</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CO</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SAXONIA Edelmetalle GmbH</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Sellem Industries Ltd.</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MR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Shan Tou Shi Yong Yuan Jin Shu Zai Sheng Co., Ltd.</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Shandon Jin Jinyin Refining Limited</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Shandong Hengbang Smelter Co., Ltd.</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Shandong penglai gold smelter</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Shandong Yanggu Xiangguang Co., Ltd.</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Shenzhen Heng Zhong Industry Co., Ltd.</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SHENZHEN JINJUNWEI RESOURCE COMPREHENSIVE DEVELOPMENT CO., LTD.</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5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252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752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A-5</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METAL</w:t>
            </w:r>
          </w:p>
        </w:tc>
        <w:tc>
          <w:tcPr>
            <w:tcW w:w="674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34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6740" w:type="dxa"/>
            <w:vAlign w:val="bottom"/>
            <w:vMerge w:val="continue"/>
          </w:tcPr>
          <w:p>
            <w:pPr>
              <w:spacing w:after="0"/>
              <w:rPr>
                <w:sz w:val="11"/>
                <w:szCs w:val="11"/>
                <w:color w:val="auto"/>
              </w:rPr>
            </w:pPr>
          </w:p>
        </w:tc>
        <w:tc>
          <w:tcPr>
            <w:tcW w:w="342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6740" w:type="dxa"/>
            <w:vAlign w:val="bottom"/>
            <w:tcBorders>
              <w:bottom w:val="single" w:sz="8" w:color="666666"/>
            </w:tcBorders>
          </w:tcPr>
          <w:p>
            <w:pPr>
              <w:spacing w:after="0"/>
              <w:rPr>
                <w:sz w:val="7"/>
                <w:szCs w:val="7"/>
                <w:color w:val="auto"/>
              </w:rPr>
            </w:pPr>
          </w:p>
        </w:tc>
        <w:tc>
          <w:tcPr>
            <w:tcW w:w="3300" w:type="dxa"/>
            <w:vAlign w:val="bottom"/>
            <w:tcBorders>
              <w:bottom w:val="single" w:sz="8" w:color="666666"/>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TW</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Sino-Platinum Metals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TW</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Sovereign Metals</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LT</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Sudan Gold Refinery</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SungEel HiMetal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KR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TW</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SuZhou ShenChuang recycling Ltd.</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T.C.A S.p.A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IT</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Tai Perng</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TAIWAN TOTAI CO., LTD.</w:t>
            </w:r>
          </w:p>
        </w:tc>
        <w:tc>
          <w:tcPr>
            <w:tcW w:w="3300" w:type="dxa"/>
            <w:vAlign w:val="bottom"/>
            <w:tcBorders>
              <w:bottom w:val="single" w:sz="8" w:color="F2F2F2"/>
            </w:tcBorders>
            <w:shd w:val="clear" w:color="auto" w:fill="F2F2F2"/>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The Refinery of Shandong Gold Mining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Tokuriki Honten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TOO Tau-Ken-Altyn</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KZ</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Torecom</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KR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Toyo Smelter &amp; Refinery</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Tsai Brother industries</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TH</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Valcambi S.A.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CH</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Value Trading</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BE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Viagra Di precious metals (Zhaoyuan)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WEEEREFINING</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FR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AU</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Wuzhong Group</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Xiamen JInbo Metal Co., Ltd.</w:t>
            </w:r>
          </w:p>
        </w:tc>
        <w:tc>
          <w:tcPr>
            <w:tcW w:w="3300" w:type="dxa"/>
            <w:vAlign w:val="bottom"/>
            <w:tcBorders>
              <w:bottom w:val="single" w:sz="8" w:color="F2F2F2"/>
            </w:tcBorders>
            <w:shd w:val="clear" w:color="auto" w:fill="F2F2F2"/>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Yamakin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Yokohama Metal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Yunnan Gold Mining Group Co., Ltd. (YGMG)</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Zhaojun Maifu</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Zhe Jiang Guang Yuan Noble Metal Smelting Factory</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Zhongkuang Gold Industry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67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A-6</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METAL</w:t>
            </w:r>
          </w:p>
        </w:tc>
        <w:tc>
          <w:tcPr>
            <w:tcW w:w="674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34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6740" w:type="dxa"/>
            <w:vAlign w:val="bottom"/>
            <w:vMerge w:val="continue"/>
          </w:tcPr>
          <w:p>
            <w:pPr>
              <w:spacing w:after="0"/>
              <w:rPr>
                <w:sz w:val="11"/>
                <w:szCs w:val="11"/>
                <w:color w:val="auto"/>
              </w:rPr>
            </w:pPr>
          </w:p>
        </w:tc>
        <w:tc>
          <w:tcPr>
            <w:tcW w:w="342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6740" w:type="dxa"/>
            <w:vAlign w:val="bottom"/>
            <w:tcBorders>
              <w:bottom w:val="single" w:sz="8" w:color="666666"/>
            </w:tcBorders>
          </w:tcPr>
          <w:p>
            <w:pPr>
              <w:spacing w:after="0"/>
              <w:rPr>
                <w:sz w:val="7"/>
                <w:szCs w:val="7"/>
                <w:color w:val="auto"/>
              </w:rPr>
            </w:pPr>
          </w:p>
        </w:tc>
        <w:tc>
          <w:tcPr>
            <w:tcW w:w="3300" w:type="dxa"/>
            <w:vAlign w:val="bottom"/>
            <w:tcBorders>
              <w:bottom w:val="single" w:sz="8" w:color="666666"/>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Zhongshan Hyper-Toxic Substance Monopolized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Zhongshan Poison Material Proprietary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Zhuhai toxic materials Monopoly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Zhuzhou Smelting Group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5D Production OU</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AMG Brasil</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ANHUI HERRMAN IMPEX CO.</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Asaka Riken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Avon Specialty Metals Ltd.</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CMT Rare Metal Advanced Materials (Hunan)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 Block Metals, LLC</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Exotech Inc.</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Gannon &amp; Scott</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Global Advanced Metals</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Guangdong Zhiyuan New Material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H.C. Starck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H.C. Starck Hermsdorf GmbH</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H.C. Starck Inc.</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H.C. Starck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H.C. Starck Smelting GmbH &amp; Co. KG</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H.C. Starck Tantalum and Niobium GmbH</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Jiangxi Sanshi Nonferrous Metals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Jiujiang Tanbre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KEMET Blue Metals</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MX</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KEMET Blue Powder</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KEMET de Mexico</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MX</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LSM Brasil S.A.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67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A-7</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METAL</w:t>
            </w:r>
          </w:p>
        </w:tc>
        <w:tc>
          <w:tcPr>
            <w:tcW w:w="674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34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6740" w:type="dxa"/>
            <w:vAlign w:val="bottom"/>
            <w:vMerge w:val="continue"/>
          </w:tcPr>
          <w:p>
            <w:pPr>
              <w:spacing w:after="0"/>
              <w:rPr>
                <w:sz w:val="11"/>
                <w:szCs w:val="11"/>
                <w:color w:val="auto"/>
              </w:rPr>
            </w:pPr>
          </w:p>
        </w:tc>
        <w:tc>
          <w:tcPr>
            <w:tcW w:w="342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6740" w:type="dxa"/>
            <w:vAlign w:val="bottom"/>
            <w:tcBorders>
              <w:bottom w:val="single" w:sz="8" w:color="666666"/>
            </w:tcBorders>
          </w:tcPr>
          <w:p>
            <w:pPr>
              <w:spacing w:after="0"/>
              <w:rPr>
                <w:sz w:val="7"/>
                <w:szCs w:val="7"/>
                <w:color w:val="auto"/>
              </w:rPr>
            </w:pPr>
          </w:p>
        </w:tc>
        <w:tc>
          <w:tcPr>
            <w:tcW w:w="3300" w:type="dxa"/>
            <w:vAlign w:val="bottom"/>
            <w:tcBorders>
              <w:bottom w:val="single" w:sz="8" w:color="666666"/>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MY</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Materion</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Materion Newton Inc.</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Mineracao Taboca S.A.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Molycorp Silmet A.S.</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EE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NPM Silmet AS</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EE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Plansee SE Liezen</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Plansee SE Reutte</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AT</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 Resources Ltd. or Meta Materials</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MK</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PowerX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RW</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QSIL Metals Hermsdorf GmbH</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QuantumClean</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RFH Recycling Metals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Rui Da Hung</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TW</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Shanghai Jiangxi Metals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Taike Technology (Suzhou) Co.,Ltd.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Taki Chemical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TANIOBIS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TANIOBIS GmbH</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TANIOBIS Japan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Telex Metals</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KZ</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ULVAC Inc.</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V&amp;D New Materials (Jiangsu)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XIMEI RESOURCES(GUIZHOU) TECHNOLOGY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A.L.M.T. Corp.</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Alpha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Alpha Metals</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Alpha Metals Taiwan</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VN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67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A-8</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METAL</w:t>
            </w:r>
          </w:p>
        </w:tc>
        <w:tc>
          <w:tcPr>
            <w:tcW w:w="746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27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7460" w:type="dxa"/>
            <w:vAlign w:val="bottom"/>
            <w:vMerge w:val="continue"/>
          </w:tcPr>
          <w:p>
            <w:pPr>
              <w:spacing w:after="0"/>
              <w:rPr>
                <w:sz w:val="11"/>
                <w:szCs w:val="11"/>
                <w:color w:val="auto"/>
              </w:rPr>
            </w:pPr>
          </w:p>
        </w:tc>
        <w:tc>
          <w:tcPr>
            <w:tcW w:w="27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7460" w:type="dxa"/>
            <w:vAlign w:val="bottom"/>
          </w:tcPr>
          <w:p>
            <w:pPr>
              <w:spacing w:after="0"/>
              <w:rPr>
                <w:sz w:val="9"/>
                <w:szCs w:val="9"/>
                <w:color w:val="auto"/>
              </w:rPr>
            </w:pPr>
          </w:p>
        </w:tc>
        <w:tc>
          <w:tcPr>
            <w:tcW w:w="2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7460" w:type="dxa"/>
            <w:vAlign w:val="bottom"/>
            <w:tcBorders>
              <w:bottom w:val="single" w:sz="8" w:color="666666"/>
            </w:tcBorders>
          </w:tcPr>
          <w:p>
            <w:pPr>
              <w:spacing w:after="0"/>
              <w:rPr>
                <w:sz w:val="7"/>
                <w:szCs w:val="7"/>
                <w:color w:val="auto"/>
              </w:rPr>
            </w:pPr>
          </w:p>
        </w:tc>
        <w:tc>
          <w:tcPr>
            <w:tcW w:w="2580" w:type="dxa"/>
            <w:vAlign w:val="bottom"/>
            <w:tcBorders>
              <w:bottom w:val="single" w:sz="8" w:color="666666"/>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Aurubis Beerse</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BE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Aurubis Berango</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China Tin Group Co., Ltd.</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Chofu Works</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Chofu Works</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Conecsus LLC</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Cooperativa Metalurgica de Rondônia Ltda.</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 Brasil Ltda</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CRM Synergies</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ES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CV Ayi Jaya</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CV Gita Pesona</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CV Tiga Sekawan</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CV United Smelting</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CV Venus Inti Perkasa</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Dingnan Jiawang environmental Tin technology Co.</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Dongguan City Xida Soldering Tin Products Co.</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Dowa</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Dragon Silver Holdings Limited</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DS Myanmar</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MM</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 Metallurgy Joint Stock Company</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VN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EM Vinto</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BO</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Empresa Metalúrgica Vinto</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BO</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Estanho de Rondonia S.A.</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Estanho de Rondônia S.A.</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Feinhutte Halsbrucke GmbH</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Fenix Metals</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PL</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Gejiu Fengming Metallurgy Chemical Plant</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Gejiu Yunxi Group Corp.</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AU</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GUANGXI HUA TIN GOLD MINUTE FEE, LTD.</w:t>
            </w:r>
          </w:p>
        </w:tc>
        <w:tc>
          <w:tcPr>
            <w:tcW w:w="2580" w:type="dxa"/>
            <w:vAlign w:val="bottom"/>
            <w:tcBorders>
              <w:bottom w:val="single" w:sz="8" w:color="F2F2F2"/>
            </w:tcBorders>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Guangxi Nonferrous Metals Group</w:t>
            </w:r>
          </w:p>
        </w:tc>
        <w:tc>
          <w:tcPr>
            <w:tcW w:w="2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746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A-9</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METAL</w:t>
            </w:r>
          </w:p>
        </w:tc>
        <w:tc>
          <w:tcPr>
            <w:tcW w:w="716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30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7160" w:type="dxa"/>
            <w:vAlign w:val="bottom"/>
            <w:vMerge w:val="continue"/>
          </w:tcPr>
          <w:p>
            <w:pPr>
              <w:spacing w:after="0"/>
              <w:rPr>
                <w:sz w:val="11"/>
                <w:szCs w:val="11"/>
                <w:color w:val="auto"/>
              </w:rPr>
            </w:pPr>
          </w:p>
        </w:tc>
        <w:tc>
          <w:tcPr>
            <w:tcW w:w="300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7160" w:type="dxa"/>
            <w:vAlign w:val="bottom"/>
          </w:tcPr>
          <w:p>
            <w:pPr>
              <w:spacing w:after="0"/>
              <w:rPr>
                <w:sz w:val="9"/>
                <w:szCs w:val="9"/>
                <w:color w:val="auto"/>
              </w:rPr>
            </w:pPr>
          </w:p>
        </w:tc>
        <w:tc>
          <w:tcPr>
            <w:tcW w:w="3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7160" w:type="dxa"/>
            <w:vAlign w:val="bottom"/>
            <w:tcBorders>
              <w:bottom w:val="single" w:sz="8" w:color="666666"/>
            </w:tcBorders>
          </w:tcPr>
          <w:p>
            <w:pPr>
              <w:spacing w:after="0"/>
              <w:rPr>
                <w:sz w:val="7"/>
                <w:szCs w:val="7"/>
                <w:color w:val="auto"/>
              </w:rPr>
            </w:pPr>
          </w:p>
        </w:tc>
        <w:tc>
          <w:tcPr>
            <w:tcW w:w="2880" w:type="dxa"/>
            <w:vAlign w:val="bottom"/>
            <w:tcBorders>
              <w:bottom w:val="single" w:sz="8" w:color="666666"/>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Guangxi Zhongshan Jin Yi Smelting Co., Ltd.</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Hezhou Jinwei Tin Co., Ltd.</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HME</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FR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Hongqiao Metals (Kunshan) Co., Ltd.</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Huichang Jinshunda Tin Co., Ltd.</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Hulterworth Smelter</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MY</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Jean Goldschmidt International (JGI Hydrometal)</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Jiang Jia Wang Technology Co.</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Jiang Xi Jia Wang Technology Tin Products Environmental Ltd.</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Jiangxi Ketai Advanced Material Co., Ltd.</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LIAN JING</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Longnan Chuangyue Environmental Protection Technology Development Co., Ltd</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Luna Smelter, Ltd.</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RW</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Ma An Shan Shu Guang Smelter Corp.</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MY</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MY</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Materials Eco-Refining Co., Ltd.</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Melt Metais e Ligas S.A.</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Menara Cipta Mulia</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Metahub Industries Sdn. Bhd.</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MY</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ZA</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Metallic Resources, Inc.</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Metallo Belgium N.V.</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Metallo Spain S.L.U.</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ES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Metallo-Chimique N.V.</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Minchali Metal Industry Co., Ltd.</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TW</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Mineracao Taboca S.A.</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Ming Li Jia smelt Metal Factory</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Minsur</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PE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Modeltech Sdn Bhd</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MY</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Ney Metals and Alloys</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VN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Novosibirsk Tin Combine</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880" w:type="dxa"/>
            <w:vAlign w:val="bottom"/>
            <w:tcBorders>
              <w:bottom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18"/>
                <w:szCs w:val="18"/>
                <w:color w:val="auto"/>
              </w:rPr>
              <w:t>TH</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PH</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71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A-10</w:t>
            </w: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METAL</w:t>
            </w:r>
          </w:p>
        </w:tc>
        <w:tc>
          <w:tcPr>
            <w:tcW w:w="674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34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6740" w:type="dxa"/>
            <w:vAlign w:val="bottom"/>
            <w:vMerge w:val="continue"/>
          </w:tcPr>
          <w:p>
            <w:pPr>
              <w:spacing w:after="0"/>
              <w:rPr>
                <w:sz w:val="11"/>
                <w:szCs w:val="11"/>
                <w:color w:val="auto"/>
              </w:rPr>
            </w:pPr>
          </w:p>
        </w:tc>
        <w:tc>
          <w:tcPr>
            <w:tcW w:w="342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6740" w:type="dxa"/>
            <w:vAlign w:val="bottom"/>
            <w:tcBorders>
              <w:bottom w:val="single" w:sz="8" w:color="666666"/>
            </w:tcBorders>
          </w:tcPr>
          <w:p>
            <w:pPr>
              <w:spacing w:after="0"/>
              <w:rPr>
                <w:sz w:val="7"/>
                <w:szCs w:val="7"/>
                <w:color w:val="auto"/>
              </w:rPr>
            </w:pPr>
          </w:p>
        </w:tc>
        <w:tc>
          <w:tcPr>
            <w:tcW w:w="3300" w:type="dxa"/>
            <w:vAlign w:val="bottom"/>
            <w:tcBorders>
              <w:bottom w:val="single" w:sz="8" w:color="666666"/>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OMODEO A. E S. METALLEGHE SRL</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OMSA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BO</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Operaciones Metalurgical S.A.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BO</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BO</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 Kay Metal, Inc</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MM</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Arsed Indonesia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Artha Cipta Langgeng</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Babel Inti Perkasa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Bangka Prima Tin</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Bangka Serumpun</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Bangka Tin Industry</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Bukit Timah</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Cipta Persada Mulia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DS Jaya Abadi</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Eunindo Usaha Mandiri</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Inti Stania Prima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Karimun Mining</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Lautan Harmonis Sejahtera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Masbro Alam Stania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Menara Cipta Mulia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Mitra Graha Raya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Mitra Stania Prima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Panca Mega Persada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Premium Tin Indonesia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Prima Timah Utama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Rajehan Ariq</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Refined Bangka Tin</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Stanindo Inti Perkasa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Sukses Inti Makmur</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Sukses Inti Makmur (SIM)</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Sumber Jaya Indah</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Timah (Persero) Tbk Kundur</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674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A-11</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METAL</w:t>
            </w:r>
          </w:p>
        </w:tc>
        <w:tc>
          <w:tcPr>
            <w:tcW w:w="800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2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8000" w:type="dxa"/>
            <w:vAlign w:val="bottom"/>
            <w:vMerge w:val="continue"/>
          </w:tcPr>
          <w:p>
            <w:pPr>
              <w:spacing w:after="0"/>
              <w:rPr>
                <w:sz w:val="11"/>
                <w:szCs w:val="11"/>
                <w:color w:val="auto"/>
              </w:rPr>
            </w:pPr>
          </w:p>
        </w:tc>
        <w:tc>
          <w:tcPr>
            <w:tcW w:w="2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8000" w:type="dxa"/>
            <w:vAlign w:val="bottom"/>
            <w:tcBorders>
              <w:bottom w:val="single" w:sz="8" w:color="666666"/>
            </w:tcBorders>
          </w:tcPr>
          <w:p>
            <w:pPr>
              <w:spacing w:after="0"/>
              <w:rPr>
                <w:sz w:val="7"/>
                <w:szCs w:val="7"/>
                <w:color w:val="auto"/>
              </w:rPr>
            </w:pPr>
          </w:p>
        </w:tc>
        <w:tc>
          <w:tcPr>
            <w:tcW w:w="2040" w:type="dxa"/>
            <w:vAlign w:val="bottom"/>
            <w:tcBorders>
              <w:bottom w:val="single" w:sz="8" w:color="666666"/>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Timah (Persero) Tbk Mentok</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Timah Nusantara</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Timah Tbk</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Timah Tbk Kundur</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Timah Tbk Mentok</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TIMAH TIN</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Tinindo Inter Nusa</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Tirus Putra Mandiri</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Tommy Utama</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ID</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Rian Resources SDN. BHD.</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MY</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Rui Da Hung</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TW</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Shan Tou Shi Yong Yuan Jin Shu Zai Sheng Co., Ltd.</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Shangrao Xuri Smelting Factory</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Shenzhen Hong Chang Metal Manufacturing Factory</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Sichuan Guanghan Jiangnan casting smelters</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Sigma Tin Alloy Co., Ltd.</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Soft Metais Ltda.</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Solder Court Ltd.</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Super Ligas</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Suzhou Nuonengda Chemical Co., Ltd.</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Tai Perng</w:t>
            </w:r>
          </w:p>
        </w:tc>
        <w:tc>
          <w:tcPr>
            <w:tcW w:w="2040" w:type="dxa"/>
            <w:vAlign w:val="bottom"/>
            <w:tcBorders>
              <w:bottom w:val="single" w:sz="8" w:color="F2F2F2"/>
            </w:tcBorders>
            <w:shd w:val="clear" w:color="auto" w:fill="F2F2F2"/>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Taiwan Huanliang</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Takehara PVD Materials Plant / PVD Materials Division of MITSUI MINING &amp; SMELTING CO., LTD.</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Thai Nguyen Mining and Metallurgy Co., Ltd.</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Thailand Mine Factory</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TH</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Thailand Smelting &amp; Refining Co Ltd</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Thaisarco</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TH</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Three green surface technology limited company</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TIN PLATING GEJIU</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TONG LONG</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Top-Team Technology (Shenzhen) Ltd.</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TRATHO Metal Quimica</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Tratho Metal Química Ltda</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VN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WANG TING</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White Solder Metalurgia e Mineração Ltda.</w:t>
            </w:r>
          </w:p>
        </w:tc>
        <w:tc>
          <w:tcPr>
            <w:tcW w:w="2040" w:type="dxa"/>
            <w:vAlign w:val="bottom"/>
            <w:tcBorders>
              <w:bottom w:val="single" w:sz="8" w:color="F2F2F2"/>
            </w:tcBorders>
            <w:shd w:val="clear" w:color="auto" w:fill="F2F2F2"/>
          </w:tcPr>
          <w:p>
            <w:pPr>
              <w:ind w:left="20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White Solder Metalurgica</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800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A-12</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80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METAL</w:t>
            </w:r>
          </w:p>
        </w:tc>
        <w:tc>
          <w:tcPr>
            <w:tcW w:w="674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34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6740" w:type="dxa"/>
            <w:vAlign w:val="bottom"/>
            <w:vMerge w:val="continue"/>
          </w:tcPr>
          <w:p>
            <w:pPr>
              <w:spacing w:after="0"/>
              <w:rPr>
                <w:sz w:val="11"/>
                <w:szCs w:val="11"/>
                <w:color w:val="auto"/>
              </w:rPr>
            </w:pPr>
          </w:p>
        </w:tc>
        <w:tc>
          <w:tcPr>
            <w:tcW w:w="342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6740" w:type="dxa"/>
            <w:vAlign w:val="bottom"/>
            <w:tcBorders>
              <w:bottom w:val="single" w:sz="8" w:color="666666"/>
            </w:tcBorders>
          </w:tcPr>
          <w:p>
            <w:pPr>
              <w:spacing w:after="0"/>
              <w:rPr>
                <w:sz w:val="7"/>
                <w:szCs w:val="7"/>
                <w:color w:val="auto"/>
              </w:rPr>
            </w:pPr>
          </w:p>
        </w:tc>
        <w:tc>
          <w:tcPr>
            <w:tcW w:w="3300" w:type="dxa"/>
            <w:vAlign w:val="bottom"/>
            <w:tcBorders>
              <w:bottom w:val="single" w:sz="8" w:color="666666"/>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UG</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WUJIANG CITY LUXE TIN FACTORY</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Xiamen Honglu Tungsten Molybdenum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Xianghualing Tin Industry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Xin Furukawa Metal ( Wuxi )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XURI</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Yifeng Tin</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Yiquan Manufacturing</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Yuecheng Tin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Yunnan Chengo Electric Smelting Plant</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Yunnan Copper Zinc Industry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Yunnan Geiju Smelting Corp.</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Yunnan Industrial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Yunnan Malipo Baiyi Kuangye Co.</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Yunnan Tin Company Limited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Yuntinic Resources</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Zhongshan Jinye Smelting Co.,Ltd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A.L.M.T. Corp.</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A.L.M.T. TUNGSTEN Corp.</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ACL Metais Eireli</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Artek LLC</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VN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Avon Specialty Metals Ltd.</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China Molybdenum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CNMC (Guangxi) PGMA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Cronimet Brasil Ltda</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BR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KR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Fujian Jinxin Tungsten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Ganzhou Beseem Ferrotungsten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Ganzhou Haichuang Tungsten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Ganzhou Huaxing Tungsten Products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Ganzhou Sunny Non-Ferrous Metals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Geo Enterprise</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GE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674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A-13</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728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288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7280" w:type="dxa"/>
            <w:vAlign w:val="bottom"/>
            <w:vMerge w:val="continue"/>
          </w:tcPr>
          <w:p>
            <w:pPr>
              <w:spacing w:after="0"/>
              <w:rPr>
                <w:sz w:val="11"/>
                <w:szCs w:val="11"/>
                <w:color w:val="auto"/>
              </w:rPr>
            </w:pPr>
          </w:p>
        </w:tc>
        <w:tc>
          <w:tcPr>
            <w:tcW w:w="28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7280" w:type="dxa"/>
            <w:vAlign w:val="bottom"/>
          </w:tcPr>
          <w:p>
            <w:pPr>
              <w:spacing w:after="0"/>
              <w:rPr>
                <w:sz w:val="9"/>
                <w:szCs w:val="9"/>
                <w:color w:val="auto"/>
              </w:rPr>
            </w:pPr>
          </w:p>
        </w:tc>
        <w:tc>
          <w:tcPr>
            <w:tcW w:w="2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7280" w:type="dxa"/>
            <w:vAlign w:val="bottom"/>
            <w:tcBorders>
              <w:bottom w:val="single" w:sz="8" w:color="666666"/>
            </w:tcBorders>
          </w:tcPr>
          <w:p>
            <w:pPr>
              <w:spacing w:after="0"/>
              <w:rPr>
                <w:sz w:val="7"/>
                <w:szCs w:val="7"/>
                <w:color w:val="auto"/>
              </w:rPr>
            </w:pPr>
          </w:p>
        </w:tc>
        <w:tc>
          <w:tcPr>
            <w:tcW w:w="2760" w:type="dxa"/>
            <w:vAlign w:val="bottom"/>
            <w:tcBorders>
              <w:bottom w:val="single" w:sz="8" w:color="666666"/>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H.C. Starck Smelting GmbH &amp; Co. KG</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H.C. Starck Tungsten GmbH</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HANNAE FOR T Co., Ltd.</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KR</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Hunan Chuangda Vanadium Tungsten Co., Ltd. Wuji</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 Products Branch</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Hydrometallurg, JSC</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Japan New Metals Co., Ltd.</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TW</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Kenee Mining Corporation Vietnam</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VN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Kennametal Fallon</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Kennametal Huntsville</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KGETS Co., Ltd.</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KR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LAOS SOUTHERN MINING SMELTING SOLE CO.,LTD</w:t>
            </w:r>
          </w:p>
        </w:tc>
        <w:tc>
          <w:tcPr>
            <w:tcW w:w="2760" w:type="dxa"/>
            <w:vAlign w:val="bottom"/>
            <w:tcBorders>
              <w:bottom w:val="single" w:sz="8" w:color="F2F2F2"/>
            </w:tcBorders>
            <w:shd w:val="clear" w:color="auto" w:fill="F2F2F2"/>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Lianyou Metals Co., Ltd.</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TW</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Lianyou Resources Co., Ltd.</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TW</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LLC Vostok</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MALAMET SMELTING SDN. BHD.</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MY</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Masan High-Tech Materials</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VN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Masan Tungsten Chemical LLC (MTC)</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Materion</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Minmetals Ganzhou Tin Co. Ltd.</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Moliren Ltd.</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VN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Niagara Refining LLC</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72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2760" w:type="dxa"/>
            <w:vAlign w:val="bottom"/>
            <w:tcBorders>
              <w:bottom w:val="single" w:sz="8" w:color="F2F2F2"/>
            </w:tcBorders>
            <w:shd w:val="clear" w:color="auto" w:fill="F2F2F2"/>
          </w:tcPr>
          <w:p>
            <w:pPr>
              <w:ind w:left="920"/>
              <w:spacing w:after="0"/>
              <w:rPr>
                <w:sz w:val="20"/>
                <w:szCs w:val="20"/>
                <w:color w:val="auto"/>
              </w:rPr>
            </w:pPr>
            <w:r>
              <w:rPr>
                <w:rFonts w:ascii="Times New Roman" w:cs="Times New Roman" w:eastAsia="Times New Roman" w:hAnsi="Times New Roman"/>
                <w:sz w:val="18"/>
                <w:szCs w:val="18"/>
                <w:color w:val="auto"/>
              </w:rPr>
              <w:t>CN</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NPP Tyazhmetprom LLC</w:t>
            </w:r>
          </w:p>
        </w:tc>
        <w:tc>
          <w:tcPr>
            <w:tcW w:w="2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RU</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728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A-14</w:t>
            </w: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674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OFFICIAL SMELTER NAME</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SMELTER</w:t>
            </w: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6740" w:type="dxa"/>
            <w:vAlign w:val="bottom"/>
            <w:vMerge w:val="continue"/>
          </w:tcPr>
          <w:p>
            <w:pPr>
              <w:spacing w:after="0"/>
              <w:rPr>
                <w:sz w:val="11"/>
                <w:szCs w:val="11"/>
                <w:color w:val="auto"/>
              </w:rPr>
            </w:pPr>
          </w:p>
        </w:tc>
        <w:tc>
          <w:tcPr>
            <w:tcW w:w="330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Borders>
              <w:bottom w:val="single" w:sz="8" w:color="666666"/>
            </w:tcBorders>
          </w:tcPr>
          <w:p>
            <w:pPr>
              <w:spacing w:after="0"/>
              <w:rPr>
                <w:sz w:val="7"/>
                <w:szCs w:val="7"/>
                <w:color w:val="auto"/>
              </w:rPr>
            </w:pPr>
          </w:p>
        </w:tc>
        <w:tc>
          <w:tcPr>
            <w:tcW w:w="6740" w:type="dxa"/>
            <w:vAlign w:val="bottom"/>
            <w:tcBorders>
              <w:bottom w:val="single" w:sz="8" w:color="666666"/>
            </w:tcBorders>
          </w:tcPr>
          <w:p>
            <w:pPr>
              <w:spacing w:after="0"/>
              <w:rPr>
                <w:sz w:val="7"/>
                <w:szCs w:val="7"/>
                <w:color w:val="auto"/>
              </w:rPr>
            </w:pPr>
          </w:p>
        </w:tc>
        <w:tc>
          <w:tcPr>
            <w:tcW w:w="330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OOO “Technolom” 1</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RU</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OOO “Technolom” 2</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RU</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PH</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PH</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PH</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Plansee Composite Materials GmbH</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Plansee SE Liezen</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Stanindo Inti Perkasa</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PT Timah (Persero), Tbk</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ID</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S.P.T. spol.s r.o.</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CZ</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Sanher Tungsten Vietnam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VN</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TW</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JP</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Tejing (Vietnam) Tungsten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VN</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Thaisarco</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TH</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Tungamoy Metals Inc.</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KR</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Tungsten Diversified Industries LLC</w:t>
            </w:r>
          </w:p>
        </w:tc>
        <w:tc>
          <w:tcPr>
            <w:tcW w:w="330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VN</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RU</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Uzbek Refractory and Heat-Resistant Metals</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UZ</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Wolfram Bergbau und Hütten AG</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Woltech Korea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KR</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Xiamen Tungsten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Xinfeng Huarui Tungsten &amp; Molybdenum New Material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Zhangzhou Chuen Bao Apt Smeltery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67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F2F2F2"/>
            </w:tcBorders>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Zhuzhou Cement Carbide</w:t>
            </w:r>
          </w:p>
        </w:tc>
        <w:tc>
          <w:tcPr>
            <w:tcW w:w="3300" w:type="dxa"/>
            <w:vAlign w:val="bottom"/>
            <w:tcBorders>
              <w:bottom w:val="single" w:sz="8" w:color="F2F2F2"/>
            </w:tcBorders>
            <w:shd w:val="clear" w:color="auto" w:fill="F2F2F2"/>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0" w:type="dxa"/>
            <w:vAlign w:val="bottom"/>
          </w:tcPr>
          <w:p>
            <w:pPr>
              <w:spacing w:after="0"/>
              <w:rPr>
                <w:sz w:val="1"/>
                <w:szCs w:val="1"/>
                <w:color w:val="auto"/>
              </w:rPr>
            </w:pPr>
          </w:p>
        </w:tc>
      </w:tr>
      <w:tr>
        <w:trPr>
          <w:trHeight w:val="234"/>
        </w:trPr>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Tungsten</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3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CN</w:t>
            </w: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102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first-tier suppliers reported the presence of certain smelters sanctioned by the United States Department of Treasury, Office of Foreign Assets Control. Because of the over-reporting nature of the RMI Template information collection process, and the nature of the supply chains and goods, we are unable to confirm whether any sanctioned smelter or refiner is or was active in our supply chain. However prior diligence suggests this may be unlikely. We have been in communication with first-tier suppliers who listed sanctioned smelters and will continue, as necessary, follow-up to have this refiner removed from their supply chain.</w:t>
      </w: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60"/>
      </w:cols>
      <w:pgMar w:left="320" w:top="126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1"/>
    </w:lvl>
    <w:lvl w:ilvl="1">
      <w:lvlJc w:val="left"/>
      <w:lvlText w:val="%2."/>
      <w:numFmt w:val="lowerLetter"/>
      <w:start w:val="3"/>
    </w:lvl>
  </w:abstractNum>
  <w:abstractNum w:abstractNumId="3">
    <w:nsid w:val="507ED7AB"/>
    <w:multiLevelType w:val="hybridMultilevel"/>
    <w:lvl w:ilvl="0">
      <w:lvlJc w:val="left"/>
      <w:lvlText w:val="%1."/>
      <w:numFmt w:val="decimal"/>
      <w:start w:val="2"/>
    </w:lvl>
    <w:lvl w:ilvl="1">
      <w:lvlJc w:val="left"/>
      <w:lvlText w:val="%2."/>
      <w:numFmt w:val="lowerLetter"/>
      <w:start w:val="1"/>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2026-05-29T16:45:24Z</dcterms:created>
  <dcterms:modified xsi:type="dcterms:W3CDTF">2026-05-29T16:45:24Z</dcterms:modified>
</cp:coreProperties>
</file>