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60"/>
        <w:spacing w:after="0"/>
        <w:rPr>
          <w:sz w:val="20"/>
          <w:szCs w:val="20"/>
          <w:color w:val="auto"/>
        </w:rPr>
      </w:pPr>
      <w:r>
        <w:rPr>
          <w:rFonts w:ascii="Arial" w:cs="Arial" w:eastAsia="Arial" w:hAnsi="Arial"/>
          <w:sz w:val="20"/>
          <w:szCs w:val="20"/>
          <w:b w:val="1"/>
          <w:bCs w:val="1"/>
          <w:color w:val="auto"/>
        </w:rPr>
        <w:t xml:space="preserve">WASHINGTON, </w:t>
      </w:r>
      <w:r>
        <w:rPr>
          <w:rFonts w:ascii="Arial" w:cs="Arial" w:eastAsia="Arial" w:hAnsi="Arial"/>
          <w:sz w:val="17"/>
          <w:szCs w:val="17"/>
          <w:b w:val="1"/>
          <w:bCs w:val="1"/>
          <w:color w:val="auto"/>
        </w:rPr>
        <w:t>D.C.</w:t>
      </w:r>
      <w:r>
        <w:rPr>
          <w:rFonts w:ascii="Arial" w:cs="Arial" w:eastAsia="Arial" w:hAnsi="Arial"/>
          <w:sz w:val="20"/>
          <w:szCs w:val="20"/>
          <w:b w:val="1"/>
          <w:bCs w:val="1"/>
          <w:color w:val="auto"/>
        </w:rPr>
        <w:t xml:space="preserve">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Pursuant to Section 13 or 15(d) of the</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Exchange Act of 1934</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June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Fluidigm Corporation</w:t>
      </w:r>
    </w:p>
    <w:p>
      <w:pPr>
        <w:spacing w:after="0" w:line="7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1820" w:type="dxa"/>
            <w:vAlign w:val="bottom"/>
          </w:tcPr>
          <w:p>
            <w:pPr>
              <w:jc w:val="center"/>
              <w:ind w:right="162"/>
              <w:spacing w:after="0"/>
              <w:rPr>
                <w:sz w:val="20"/>
                <w:szCs w:val="20"/>
                <w:color w:val="auto"/>
              </w:rPr>
            </w:pPr>
            <w:r>
              <w:rPr>
                <w:rFonts w:ascii="Arial" w:cs="Arial" w:eastAsia="Arial" w:hAnsi="Arial"/>
                <w:sz w:val="18"/>
                <w:szCs w:val="18"/>
                <w:b w:val="1"/>
                <w:bCs w:val="1"/>
                <w:color w:val="auto"/>
                <w:w w:val="93"/>
              </w:rPr>
              <w:t>Delaware</w:t>
            </w:r>
          </w:p>
        </w:tc>
        <w:tc>
          <w:tcPr>
            <w:tcW w:w="5640" w:type="dxa"/>
            <w:vAlign w:val="bottom"/>
          </w:tcPr>
          <w:p>
            <w:pPr>
              <w:jc w:val="center"/>
              <w:ind w:right="61"/>
              <w:spacing w:after="0"/>
              <w:rPr>
                <w:sz w:val="20"/>
                <w:szCs w:val="20"/>
                <w:color w:val="auto"/>
              </w:rPr>
            </w:pPr>
            <w:r>
              <w:rPr>
                <w:rFonts w:ascii="Arial" w:cs="Arial" w:eastAsia="Arial" w:hAnsi="Arial"/>
                <w:sz w:val="18"/>
                <w:szCs w:val="18"/>
                <w:b w:val="1"/>
                <w:bCs w:val="1"/>
                <w:color w:val="auto"/>
                <w:w w:val="90"/>
              </w:rPr>
              <w:t>001-34180</w:t>
            </w:r>
          </w:p>
        </w:tc>
        <w:tc>
          <w:tcPr>
            <w:tcW w:w="1440" w:type="dxa"/>
            <w:vAlign w:val="bottom"/>
          </w:tcPr>
          <w:p>
            <w:pPr>
              <w:jc w:val="center"/>
              <w:ind w:left="282"/>
              <w:spacing w:after="0"/>
              <w:rPr>
                <w:sz w:val="20"/>
                <w:szCs w:val="20"/>
                <w:color w:val="auto"/>
              </w:rPr>
            </w:pPr>
            <w:r>
              <w:rPr>
                <w:rFonts w:ascii="Arial" w:cs="Arial" w:eastAsia="Arial" w:hAnsi="Arial"/>
                <w:sz w:val="18"/>
                <w:szCs w:val="18"/>
                <w:b w:val="1"/>
                <w:bCs w:val="1"/>
                <w:color w:val="auto"/>
                <w:w w:val="91"/>
              </w:rPr>
              <w:t>77-0513190</w:t>
            </w:r>
          </w:p>
        </w:tc>
      </w:tr>
      <w:tr>
        <w:trPr>
          <w:trHeight w:val="197"/>
        </w:trPr>
        <w:tc>
          <w:tcPr>
            <w:tcW w:w="1820" w:type="dxa"/>
            <w:vAlign w:val="bottom"/>
          </w:tcPr>
          <w:p>
            <w:pPr>
              <w:jc w:val="center"/>
              <w:ind w:right="162"/>
              <w:spacing w:after="0"/>
              <w:rPr>
                <w:sz w:val="20"/>
                <w:szCs w:val="20"/>
                <w:color w:val="auto"/>
              </w:rPr>
            </w:pPr>
            <w:r>
              <w:rPr>
                <w:rFonts w:ascii="Arial" w:cs="Arial" w:eastAsia="Arial" w:hAnsi="Arial"/>
                <w:sz w:val="14"/>
                <w:szCs w:val="14"/>
                <w:color w:val="auto"/>
                <w:w w:val="94"/>
              </w:rPr>
              <w:t>(State or Other Jurisdiction</w:t>
            </w:r>
          </w:p>
        </w:tc>
        <w:tc>
          <w:tcPr>
            <w:tcW w:w="5640" w:type="dxa"/>
            <w:vAlign w:val="bottom"/>
          </w:tcPr>
          <w:p>
            <w:pPr>
              <w:jc w:val="center"/>
              <w:ind w:right="61"/>
              <w:spacing w:after="0"/>
              <w:rPr>
                <w:sz w:val="20"/>
                <w:szCs w:val="20"/>
                <w:color w:val="auto"/>
              </w:rPr>
            </w:pPr>
            <w:r>
              <w:rPr>
                <w:rFonts w:ascii="Arial" w:cs="Arial" w:eastAsia="Arial" w:hAnsi="Arial"/>
                <w:sz w:val="14"/>
                <w:szCs w:val="14"/>
                <w:color w:val="auto"/>
                <w:w w:val="95"/>
              </w:rPr>
              <w:t>(Commission</w:t>
            </w:r>
          </w:p>
        </w:tc>
        <w:tc>
          <w:tcPr>
            <w:tcW w:w="1440" w:type="dxa"/>
            <w:vAlign w:val="bottom"/>
          </w:tcPr>
          <w:p>
            <w:pPr>
              <w:jc w:val="center"/>
              <w:ind w:left="302"/>
              <w:spacing w:after="0"/>
              <w:rPr>
                <w:sz w:val="20"/>
                <w:szCs w:val="20"/>
                <w:color w:val="auto"/>
              </w:rPr>
            </w:pPr>
            <w:r>
              <w:rPr>
                <w:rFonts w:ascii="Arial" w:cs="Arial" w:eastAsia="Arial" w:hAnsi="Arial"/>
                <w:sz w:val="14"/>
                <w:szCs w:val="14"/>
                <w:color w:val="auto"/>
                <w:w w:val="95"/>
              </w:rPr>
              <w:t>(I.R.S. Employer</w:t>
            </w:r>
          </w:p>
        </w:tc>
      </w:tr>
      <w:tr>
        <w:trPr>
          <w:trHeight w:val="182"/>
        </w:trPr>
        <w:tc>
          <w:tcPr>
            <w:tcW w:w="1820" w:type="dxa"/>
            <w:vAlign w:val="bottom"/>
          </w:tcPr>
          <w:p>
            <w:pPr>
              <w:jc w:val="center"/>
              <w:ind w:right="162"/>
              <w:spacing w:after="0"/>
              <w:rPr>
                <w:sz w:val="20"/>
                <w:szCs w:val="20"/>
                <w:color w:val="auto"/>
              </w:rPr>
            </w:pPr>
            <w:r>
              <w:rPr>
                <w:rFonts w:ascii="Arial" w:cs="Arial" w:eastAsia="Arial" w:hAnsi="Arial"/>
                <w:sz w:val="14"/>
                <w:szCs w:val="14"/>
                <w:color w:val="auto"/>
                <w:w w:val="96"/>
              </w:rPr>
              <w:t>of Incorporation)</w:t>
            </w:r>
          </w:p>
        </w:tc>
        <w:tc>
          <w:tcPr>
            <w:tcW w:w="5640" w:type="dxa"/>
            <w:vAlign w:val="bottom"/>
          </w:tcPr>
          <w:p>
            <w:pPr>
              <w:jc w:val="center"/>
              <w:ind w:right="61"/>
              <w:spacing w:after="0"/>
              <w:rPr>
                <w:sz w:val="20"/>
                <w:szCs w:val="20"/>
                <w:color w:val="auto"/>
              </w:rPr>
            </w:pPr>
            <w:r>
              <w:rPr>
                <w:rFonts w:ascii="Arial" w:cs="Arial" w:eastAsia="Arial" w:hAnsi="Arial"/>
                <w:sz w:val="14"/>
                <w:szCs w:val="14"/>
                <w:color w:val="auto"/>
                <w:w w:val="96"/>
              </w:rPr>
              <w:t>File Number)</w:t>
            </w:r>
          </w:p>
        </w:tc>
        <w:tc>
          <w:tcPr>
            <w:tcW w:w="1440" w:type="dxa"/>
            <w:vAlign w:val="bottom"/>
          </w:tcPr>
          <w:p>
            <w:pPr>
              <w:jc w:val="center"/>
              <w:ind w:left="282"/>
              <w:spacing w:after="0"/>
              <w:rPr>
                <w:sz w:val="20"/>
                <w:szCs w:val="20"/>
                <w:color w:val="auto"/>
              </w:rPr>
            </w:pPr>
            <w:r>
              <w:rPr>
                <w:rFonts w:ascii="Arial" w:cs="Arial" w:eastAsia="Arial" w:hAnsi="Arial"/>
                <w:sz w:val="14"/>
                <w:szCs w:val="14"/>
                <w:color w:val="auto"/>
                <w:w w:val="99"/>
              </w:rPr>
              <w:t>Identification No.)</w:t>
            </w:r>
          </w:p>
        </w:tc>
      </w:tr>
      <w:tr>
        <w:trPr>
          <w:trHeight w:val="601"/>
        </w:trPr>
        <w:tc>
          <w:tcPr>
            <w:tcW w:w="1820" w:type="dxa"/>
            <w:vAlign w:val="bottom"/>
          </w:tcPr>
          <w:p>
            <w:pPr>
              <w:spacing w:after="0"/>
              <w:rPr>
                <w:sz w:val="24"/>
                <w:szCs w:val="24"/>
                <w:color w:val="auto"/>
              </w:rPr>
            </w:pPr>
          </w:p>
        </w:tc>
        <w:tc>
          <w:tcPr>
            <w:tcW w:w="5640" w:type="dxa"/>
            <w:vAlign w:val="bottom"/>
          </w:tcPr>
          <w:p>
            <w:pPr>
              <w:jc w:val="center"/>
              <w:ind w:right="41"/>
              <w:spacing w:after="0"/>
              <w:rPr>
                <w:sz w:val="20"/>
                <w:szCs w:val="20"/>
                <w:color w:val="auto"/>
              </w:rPr>
            </w:pPr>
            <w:r>
              <w:rPr>
                <w:rFonts w:ascii="Arial" w:cs="Arial" w:eastAsia="Arial" w:hAnsi="Arial"/>
                <w:sz w:val="18"/>
                <w:szCs w:val="18"/>
                <w:b w:val="1"/>
                <w:bCs w:val="1"/>
                <w:color w:val="auto"/>
                <w:w w:val="89"/>
              </w:rPr>
              <w:t>2 Tower Place, Suite 2000, South San Francisco, California 94080</w:t>
            </w:r>
          </w:p>
        </w:tc>
        <w:tc>
          <w:tcPr>
            <w:tcW w:w="1440" w:type="dxa"/>
            <w:vAlign w:val="bottom"/>
          </w:tcPr>
          <w:p>
            <w:pPr>
              <w:spacing w:after="0"/>
              <w:rPr>
                <w:sz w:val="24"/>
                <w:szCs w:val="24"/>
                <w:color w:val="auto"/>
              </w:rPr>
            </w:pPr>
          </w:p>
        </w:tc>
      </w:tr>
      <w:tr>
        <w:trPr>
          <w:trHeight w:val="182"/>
        </w:trPr>
        <w:tc>
          <w:tcPr>
            <w:tcW w:w="1820" w:type="dxa"/>
            <w:vAlign w:val="bottom"/>
          </w:tcPr>
          <w:p>
            <w:pPr>
              <w:spacing w:after="0"/>
              <w:rPr>
                <w:sz w:val="15"/>
                <w:szCs w:val="15"/>
                <w:color w:val="auto"/>
              </w:rPr>
            </w:pPr>
          </w:p>
        </w:tc>
        <w:tc>
          <w:tcPr>
            <w:tcW w:w="5640" w:type="dxa"/>
            <w:vAlign w:val="bottom"/>
          </w:tcPr>
          <w:p>
            <w:pPr>
              <w:jc w:val="center"/>
              <w:ind w:right="21"/>
              <w:spacing w:after="0"/>
              <w:rPr>
                <w:sz w:val="20"/>
                <w:szCs w:val="20"/>
                <w:color w:val="auto"/>
              </w:rPr>
            </w:pPr>
            <w:r>
              <w:rPr>
                <w:rFonts w:ascii="Arial" w:cs="Arial" w:eastAsia="Arial" w:hAnsi="Arial"/>
                <w:sz w:val="14"/>
                <w:szCs w:val="14"/>
                <w:color w:val="auto"/>
                <w:w w:val="95"/>
              </w:rPr>
              <w:t>(Address of Principal Executive Offices) (Zip Code)</w:t>
            </w:r>
          </w:p>
        </w:tc>
        <w:tc>
          <w:tcPr>
            <w:tcW w:w="1440" w:type="dxa"/>
            <w:vAlign w:val="bottom"/>
          </w:tcPr>
          <w:p>
            <w:pPr>
              <w:spacing w:after="0"/>
              <w:rPr>
                <w:sz w:val="15"/>
                <w:szCs w:val="15"/>
                <w:color w:val="auto"/>
              </w:rPr>
            </w:pPr>
          </w:p>
        </w:tc>
      </w:tr>
      <w:tr>
        <w:trPr>
          <w:trHeight w:val="466"/>
        </w:trPr>
        <w:tc>
          <w:tcPr>
            <w:tcW w:w="1820" w:type="dxa"/>
            <w:vAlign w:val="bottom"/>
          </w:tcPr>
          <w:p>
            <w:pPr>
              <w:spacing w:after="0"/>
              <w:rPr>
                <w:sz w:val="24"/>
                <w:szCs w:val="24"/>
                <w:color w:val="auto"/>
              </w:rPr>
            </w:pPr>
          </w:p>
        </w:tc>
        <w:tc>
          <w:tcPr>
            <w:tcW w:w="5640" w:type="dxa"/>
            <w:vAlign w:val="bottom"/>
          </w:tcPr>
          <w:p>
            <w:pPr>
              <w:jc w:val="center"/>
              <w:ind w:right="41"/>
              <w:spacing w:after="0"/>
              <w:rPr>
                <w:sz w:val="20"/>
                <w:szCs w:val="20"/>
                <w:color w:val="auto"/>
              </w:rPr>
            </w:pPr>
            <w:r>
              <w:rPr>
                <w:rFonts w:ascii="Arial" w:cs="Arial" w:eastAsia="Arial" w:hAnsi="Arial"/>
                <w:sz w:val="18"/>
                <w:szCs w:val="18"/>
                <w:b w:val="1"/>
                <w:bCs w:val="1"/>
                <w:color w:val="auto"/>
                <w:w w:val="90"/>
              </w:rPr>
              <w:t>(650) 266-6000</w:t>
            </w:r>
          </w:p>
        </w:tc>
        <w:tc>
          <w:tcPr>
            <w:tcW w:w="1440" w:type="dxa"/>
            <w:vAlign w:val="bottom"/>
          </w:tcPr>
          <w:p>
            <w:pPr>
              <w:spacing w:after="0"/>
              <w:rPr>
                <w:sz w:val="24"/>
                <w:szCs w:val="24"/>
                <w:color w:val="auto"/>
              </w:rPr>
            </w:pPr>
          </w:p>
        </w:tc>
      </w:tr>
      <w:tr>
        <w:trPr>
          <w:trHeight w:val="182"/>
        </w:trPr>
        <w:tc>
          <w:tcPr>
            <w:tcW w:w="1820" w:type="dxa"/>
            <w:vAlign w:val="bottom"/>
          </w:tcPr>
          <w:p>
            <w:pPr>
              <w:spacing w:after="0"/>
              <w:rPr>
                <w:sz w:val="15"/>
                <w:szCs w:val="15"/>
                <w:color w:val="auto"/>
              </w:rPr>
            </w:pPr>
          </w:p>
        </w:tc>
        <w:tc>
          <w:tcPr>
            <w:tcW w:w="5640" w:type="dxa"/>
            <w:vAlign w:val="bottom"/>
          </w:tcPr>
          <w:p>
            <w:pPr>
              <w:jc w:val="center"/>
              <w:ind w:right="21"/>
              <w:spacing w:after="0"/>
              <w:rPr>
                <w:sz w:val="20"/>
                <w:szCs w:val="20"/>
                <w:color w:val="auto"/>
              </w:rPr>
            </w:pPr>
            <w:r>
              <w:rPr>
                <w:rFonts w:ascii="Arial" w:cs="Arial" w:eastAsia="Arial" w:hAnsi="Arial"/>
                <w:sz w:val="14"/>
                <w:szCs w:val="14"/>
                <w:color w:val="auto"/>
                <w:w w:val="93"/>
              </w:rPr>
              <w:t>Registrant’s Telephone Number, Including Area Code</w:t>
            </w:r>
          </w:p>
        </w:tc>
        <w:tc>
          <w:tcPr>
            <w:tcW w:w="1440" w:type="dxa"/>
            <w:vAlign w:val="bottom"/>
          </w:tcPr>
          <w:p>
            <w:pPr>
              <w:spacing w:after="0"/>
              <w:rPr>
                <w:sz w:val="15"/>
                <w:szCs w:val="15"/>
                <w:color w:val="auto"/>
              </w:rPr>
            </w:pPr>
          </w:p>
        </w:tc>
      </w:tr>
      <w:tr>
        <w:trPr>
          <w:trHeight w:val="486"/>
        </w:trPr>
        <w:tc>
          <w:tcPr>
            <w:tcW w:w="1820" w:type="dxa"/>
            <w:vAlign w:val="bottom"/>
          </w:tcPr>
          <w:p>
            <w:pPr>
              <w:spacing w:after="0"/>
              <w:rPr>
                <w:sz w:val="24"/>
                <w:szCs w:val="24"/>
                <w:color w:val="auto"/>
              </w:rPr>
            </w:pPr>
          </w:p>
        </w:tc>
        <w:tc>
          <w:tcPr>
            <w:tcW w:w="5640" w:type="dxa"/>
            <w:vAlign w:val="bottom"/>
          </w:tcPr>
          <w:p>
            <w:pPr>
              <w:jc w:val="center"/>
              <w:ind w:right="81"/>
              <w:spacing w:after="0"/>
              <w:rPr>
                <w:sz w:val="20"/>
                <w:szCs w:val="20"/>
                <w:color w:val="auto"/>
              </w:rPr>
            </w:pPr>
            <w:r>
              <w:rPr>
                <w:rFonts w:ascii="Arial" w:cs="Arial" w:eastAsia="Arial" w:hAnsi="Arial"/>
                <w:sz w:val="14"/>
                <w:szCs w:val="14"/>
                <w:color w:val="auto"/>
                <w:w w:val="93"/>
              </w:rPr>
              <w:t>(Former Name or Former Address, if Changed Since Last Report)</w:t>
            </w:r>
          </w:p>
        </w:tc>
        <w:tc>
          <w:tcPr>
            <w:tcW w:w="1440" w:type="dxa"/>
            <w:vAlign w:val="bottom"/>
          </w:tcPr>
          <w:p>
            <w:pPr>
              <w:spacing w:after="0"/>
              <w:rPr>
                <w:sz w:val="24"/>
                <w:szCs w:val="24"/>
                <w:color w:val="auto"/>
              </w:rPr>
            </w:pPr>
          </w:p>
        </w:tc>
      </w:tr>
    </w:tbl>
    <w:p>
      <w:pPr>
        <w:spacing w:after="0" w:line="23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i w:val="1"/>
          <w:iCs w:val="1"/>
          <w:color w:val="auto"/>
        </w:rPr>
        <w:t>see</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234" w:lineRule="exact"/>
        <w:rPr>
          <w:sz w:val="24"/>
          <w:szCs w:val="24"/>
          <w:color w:val="auto"/>
        </w:rPr>
      </w:pPr>
    </w:p>
    <w:p>
      <w:pPr>
        <w:ind w:left="860" w:hanging="389"/>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 pursuant to Rule 425 under the Securities Act (17 CFR 230.425)</w:t>
      </w:r>
    </w:p>
    <w:p>
      <w:pPr>
        <w:spacing w:after="0" w:line="207" w:lineRule="exact"/>
        <w:rPr>
          <w:rFonts w:ascii="MS PGothic" w:cs="MS PGothic" w:eastAsia="MS PGothic" w:hAnsi="MS PGothic"/>
          <w:sz w:val="16"/>
          <w:szCs w:val="16"/>
          <w:color w:val="auto"/>
        </w:rPr>
      </w:pPr>
    </w:p>
    <w:p>
      <w:pPr>
        <w:ind w:left="860" w:hanging="389"/>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840" w:hanging="369"/>
        <w:spacing w:after="0"/>
        <w:tabs>
          <w:tab w:leader="none" w:pos="8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 pursuant to Rule 14d-2(b) under the Exchange Act (17 CFR 240.14d-2(b))</w:t>
      </w:r>
    </w:p>
    <w:p>
      <w:pPr>
        <w:spacing w:after="0" w:line="207" w:lineRule="exact"/>
        <w:rPr>
          <w:rFonts w:ascii="MS PGothic" w:cs="MS PGothic" w:eastAsia="MS PGothic" w:hAnsi="MS PGothic"/>
          <w:sz w:val="16"/>
          <w:szCs w:val="16"/>
          <w:color w:val="auto"/>
        </w:rPr>
      </w:pPr>
    </w:p>
    <w:p>
      <w:pPr>
        <w:ind w:left="840" w:hanging="369"/>
        <w:spacing w:after="0"/>
        <w:tabs>
          <w:tab w:leader="none" w:pos="8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 pursuant to Rule 13e-4(c) under the Exchange Act (17 CFR 240.13e-4(c))</w:t>
      </w:r>
    </w:p>
    <w:p>
      <w:pPr>
        <w:spacing w:after="0" w:line="3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236"/>
        </w:trPr>
        <w:tc>
          <w:tcPr>
            <w:tcW w:w="4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82" w:right="319" w:bottom="1440" w:gutter="0" w:footer="0" w:header="0"/>
        </w:sectPr>
      </w:pPr>
    </w:p>
    <w:bookmarkStart w:id="1" w:name="page2"/>
    <w:bookmarkEnd w:id="1"/>
    <w:p>
      <w:pPr>
        <w:ind w:right="140"/>
        <w:spacing w:after="0" w:line="29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Principal Officers; Compensatory Arrangements of Certain Officers.</w:t>
      </w:r>
    </w:p>
    <w:p>
      <w:pPr>
        <w:spacing w:after="0" w:line="194" w:lineRule="exact"/>
        <w:rPr>
          <w:sz w:val="20"/>
          <w:szCs w:val="20"/>
          <w:color w:val="auto"/>
        </w:rPr>
      </w:pPr>
    </w:p>
    <w:p>
      <w:pPr>
        <w:ind w:right="40" w:firstLine="324"/>
        <w:spacing w:after="0" w:line="288" w:lineRule="auto"/>
        <w:rPr>
          <w:sz w:val="20"/>
          <w:szCs w:val="20"/>
          <w:color w:val="auto"/>
        </w:rPr>
      </w:pPr>
      <w:r>
        <w:rPr>
          <w:rFonts w:ascii="Arial" w:cs="Arial" w:eastAsia="Arial" w:hAnsi="Arial"/>
          <w:sz w:val="17"/>
          <w:szCs w:val="17"/>
          <w:color w:val="auto"/>
        </w:rPr>
        <w:t>As described under Item 5.07 below, on June 23, 2020, our stockholders approved (1) the amendment and restatement of the Fluidigm Corporation 2017 Employee Stock Purchase Plan (the “ESPP”) to increase the number of shares reserved for issuance thereunder by 3,000,000 shares and (2) the amendment of the Fluidigm Corporation 2011 Equity Incentive Plan (the “2011 Plan”) to increase the number of shares reserved for issuance thereunder by 1,420,000 shares. Descriptions of the material terms of the ESPP and the 2011 Plan are set forth on pages 22 – 25 and 26 – 31, respectively, of our definitive proxy statement on Schedule 14A filed with the Securities and Exchange Commission on May 14, 2020, and are incorporated herein by reference. The descriptions of the ESPP and the 2011 Plan are qualified, each in its entirety, by reference to the full text of the ESPP and the 2011 Plan, copies of which are attached to this Current Report on Form 8-K as Exhibit 10.1 and Exhibit 10.2, respectively.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7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8"/>
          <w:szCs w:val="18"/>
          <w:color w:val="auto"/>
        </w:rPr>
        <w:t>We held our 2020 Annual Meeting of Stockholders on June 23, 2020. Of the 70,706,062 shares of our common stock outstanding as of the record date of May 1, 2020, 59,611,711 shares were represented at the Annual Meeting, either in person or by proxy, constituting approximately 84.3% of the outstanding shares of common stock. The five matters voted on at the Annual Meeting and the voting results with respect to each such matter are set forth below:</w:t>
      </w:r>
    </w:p>
    <w:p>
      <w:pPr>
        <w:spacing w:after="0" w:line="208" w:lineRule="exact"/>
        <w:rPr>
          <w:sz w:val="20"/>
          <w:szCs w:val="20"/>
          <w:color w:val="auto"/>
        </w:rPr>
      </w:pPr>
    </w:p>
    <w:p>
      <w:pPr>
        <w:ind w:right="300" w:firstLine="332"/>
        <w:spacing w:after="0" w:line="329" w:lineRule="auto"/>
        <w:tabs>
          <w:tab w:leader="none" w:pos="504"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Election of Class I Directors. </w:t>
      </w:r>
      <w:r>
        <w:rPr>
          <w:rFonts w:ascii="Arial" w:cs="Arial" w:eastAsia="Arial" w:hAnsi="Arial"/>
          <w:sz w:val="17"/>
          <w:szCs w:val="17"/>
          <w:color w:val="auto"/>
        </w:rPr>
        <w:t>The following nominees were elected to serve as Class I directors, to hold office until our 2023 annual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or until their respective successor has been duly elected and qualified or their earlier resignation or removal:</w:t>
      </w:r>
    </w:p>
    <w:p>
      <w:pPr>
        <w:spacing w:after="0" w:line="36" w:lineRule="exact"/>
        <w:rPr>
          <w:sz w:val="20"/>
          <w:szCs w:val="20"/>
          <w:color w:val="auto"/>
        </w:rPr>
      </w:pPr>
    </w:p>
    <w:tbl>
      <w:tblPr>
        <w:tblLayout w:type="fixed"/>
        <w:tblInd w:w="1960" w:type="dxa"/>
        <w:tblCellMar>
          <w:top w:w="0" w:type="dxa"/>
          <w:left w:w="0" w:type="dxa"/>
          <w:bottom w:w="0" w:type="dxa"/>
          <w:right w:w="0" w:type="dxa"/>
        </w:tblCellMar>
      </w:tblPr>
      <w:tr>
        <w:trPr>
          <w:trHeight w:val="210"/>
        </w:trPr>
        <w:tc>
          <w:tcPr>
            <w:tcW w:w="1860" w:type="dxa"/>
            <w:vAlign w:val="bottom"/>
            <w:gridSpan w:val="2"/>
          </w:tcPr>
          <w:p>
            <w:pPr>
              <w:ind w:left="20"/>
              <w:spacing w:after="0"/>
              <w:rPr>
                <w:sz w:val="20"/>
                <w:szCs w:val="20"/>
                <w:color w:val="auto"/>
              </w:rPr>
            </w:pPr>
            <w:r>
              <w:rPr>
                <w:rFonts w:ascii="Arial" w:cs="Arial" w:eastAsia="Arial" w:hAnsi="Arial"/>
                <w:sz w:val="16"/>
                <w:szCs w:val="16"/>
                <w:b w:val="1"/>
                <w:bCs w:val="1"/>
                <w:color w:val="auto"/>
              </w:rPr>
              <w:t>Nominee</w:t>
            </w: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Votes For</w:t>
            </w: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Votes Withheld</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Broker Non-Votes</w:t>
            </w:r>
          </w:p>
        </w:tc>
      </w:tr>
      <w:tr>
        <w:trPr>
          <w:trHeight w:val="33"/>
        </w:trPr>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860" w:type="dxa"/>
            <w:vAlign w:val="bottom"/>
            <w:gridSpan w:val="2"/>
          </w:tcPr>
          <w:p>
            <w:pPr>
              <w:ind w:left="20"/>
              <w:spacing w:after="0"/>
              <w:rPr>
                <w:sz w:val="20"/>
                <w:szCs w:val="20"/>
                <w:color w:val="auto"/>
              </w:rPr>
            </w:pPr>
            <w:r>
              <w:rPr>
                <w:rFonts w:ascii="Arial" w:cs="Arial" w:eastAsia="Arial" w:hAnsi="Arial"/>
                <w:sz w:val="18"/>
                <w:szCs w:val="18"/>
                <w:color w:val="auto"/>
              </w:rPr>
              <w:t>Nicolas M. Barthelemy</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49,361,187</w:t>
            </w:r>
          </w:p>
        </w:tc>
        <w:tc>
          <w:tcPr>
            <w:tcW w:w="100" w:type="dxa"/>
            <w:vAlign w:val="bottom"/>
          </w:tcPr>
          <w:p>
            <w:pPr>
              <w:spacing w:after="0"/>
              <w:rPr>
                <w:sz w:val="20"/>
                <w:szCs w:val="20"/>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1,495,508</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8,755,016</w:t>
            </w:r>
          </w:p>
        </w:tc>
      </w:tr>
      <w:tr>
        <w:trPr>
          <w:trHeight w:val="270"/>
        </w:trPr>
        <w:tc>
          <w:tcPr>
            <w:tcW w:w="1860" w:type="dxa"/>
            <w:vAlign w:val="bottom"/>
            <w:gridSpan w:val="2"/>
          </w:tcPr>
          <w:p>
            <w:pPr>
              <w:ind w:left="20"/>
              <w:spacing w:after="0"/>
              <w:rPr>
                <w:sz w:val="20"/>
                <w:szCs w:val="20"/>
                <w:color w:val="auto"/>
              </w:rPr>
            </w:pPr>
            <w:r>
              <w:rPr>
                <w:rFonts w:ascii="Arial" w:cs="Arial" w:eastAsia="Arial" w:hAnsi="Arial"/>
                <w:sz w:val="18"/>
                <w:szCs w:val="18"/>
                <w:color w:val="auto"/>
              </w:rPr>
              <w:t>Bill W. Colston</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50,140,590</w:t>
            </w:r>
          </w:p>
        </w:tc>
        <w:tc>
          <w:tcPr>
            <w:tcW w:w="100" w:type="dxa"/>
            <w:vAlign w:val="bottom"/>
          </w:tcPr>
          <w:p>
            <w:pPr>
              <w:spacing w:after="0"/>
              <w:rPr>
                <w:sz w:val="23"/>
                <w:szCs w:val="23"/>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716,105</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8,755,016</w:t>
            </w:r>
          </w:p>
        </w:tc>
      </w:tr>
    </w:tbl>
    <w:p>
      <w:pPr>
        <w:spacing w:after="0" w:line="360" w:lineRule="exact"/>
        <w:rPr>
          <w:sz w:val="20"/>
          <w:szCs w:val="20"/>
          <w:color w:val="auto"/>
        </w:rPr>
      </w:pPr>
    </w:p>
    <w:p>
      <w:pPr>
        <w:ind w:firstLine="332"/>
        <w:spacing w:after="0" w:line="282" w:lineRule="auto"/>
        <w:tabs>
          <w:tab w:leader="none" w:pos="49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Advisory Vote on Approval of Executive Compensation. </w:t>
      </w:r>
      <w:r>
        <w:rPr>
          <w:rFonts w:ascii="Arial" w:cs="Arial" w:eastAsia="Arial" w:hAnsi="Arial"/>
          <w:sz w:val="18"/>
          <w:szCs w:val="18"/>
          <w:color w:val="auto"/>
        </w:rPr>
        <w:t>The proposal to approve, on an advisory basis, the compensation of our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for the year ended December 31, 2019, was approved by the following vote:</w:t>
      </w:r>
    </w:p>
    <w:p>
      <w:pPr>
        <w:spacing w:after="0" w:line="85" w:lineRule="exact"/>
        <w:rPr>
          <w:sz w:val="20"/>
          <w:szCs w:val="20"/>
          <w:color w:val="auto"/>
        </w:rPr>
      </w:pPr>
    </w:p>
    <w:tbl>
      <w:tblPr>
        <w:tblLayout w:type="fixed"/>
        <w:tblInd w:w="2280" w:type="dxa"/>
        <w:tblCellMar>
          <w:top w:w="0" w:type="dxa"/>
          <w:left w:w="0" w:type="dxa"/>
          <w:bottom w:w="0" w:type="dxa"/>
          <w:right w:w="0" w:type="dxa"/>
        </w:tblCellMar>
      </w:tblPr>
      <w:tr>
        <w:trPr>
          <w:trHeight w:val="210"/>
        </w:trPr>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Votes For</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Votes Against</w:t>
            </w: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Abstentions</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1"/>
              </w:rPr>
              <w:t>Broker Non-Votes</w:t>
            </w:r>
          </w:p>
        </w:tc>
      </w:tr>
      <w:tr>
        <w:trPr>
          <w:trHeight w:val="33"/>
        </w:trPr>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jc w:val="right"/>
              <w:spacing w:after="0"/>
              <w:rPr>
                <w:sz w:val="20"/>
                <w:szCs w:val="20"/>
                <w:color w:val="auto"/>
              </w:rPr>
            </w:pPr>
            <w:r>
              <w:rPr>
                <w:rFonts w:ascii="Arial" w:cs="Arial" w:eastAsia="Arial" w:hAnsi="Arial"/>
                <w:sz w:val="18"/>
                <w:szCs w:val="18"/>
                <w:color w:val="auto"/>
                <w:w w:val="95"/>
              </w:rPr>
              <w:t>49,367,120</w:t>
            </w:r>
          </w:p>
        </w:tc>
        <w:tc>
          <w:tcPr>
            <w:tcW w:w="100" w:type="dxa"/>
            <w:vAlign w:val="bottom"/>
          </w:tcPr>
          <w:p>
            <w:pPr>
              <w:spacing w:after="0"/>
              <w:rPr>
                <w:sz w:val="20"/>
                <w:szCs w:val="20"/>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1,417,263</w:t>
            </w:r>
          </w:p>
        </w:tc>
        <w:tc>
          <w:tcPr>
            <w:tcW w:w="100" w:type="dxa"/>
            <w:vAlign w:val="bottom"/>
          </w:tcPr>
          <w:p>
            <w:pPr>
              <w:spacing w:after="0"/>
              <w:rPr>
                <w:sz w:val="20"/>
                <w:szCs w:val="20"/>
                <w:color w:val="auto"/>
              </w:rPr>
            </w:pP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72,312</w:t>
            </w:r>
          </w:p>
        </w:tc>
        <w:tc>
          <w:tcPr>
            <w:tcW w:w="80" w:type="dxa"/>
            <w:vAlign w:val="bottom"/>
          </w:tcPr>
          <w:p>
            <w:pPr>
              <w:spacing w:after="0"/>
              <w:rPr>
                <w:sz w:val="20"/>
                <w:szCs w:val="20"/>
                <w:color w:val="auto"/>
              </w:rPr>
            </w:pPr>
          </w:p>
        </w:tc>
        <w:tc>
          <w:tcPr>
            <w:tcW w:w="1320" w:type="dxa"/>
            <w:vAlign w:val="bottom"/>
          </w:tcPr>
          <w:p>
            <w:pPr>
              <w:jc w:val="right"/>
              <w:ind w:right="215"/>
              <w:spacing w:after="0"/>
              <w:rPr>
                <w:sz w:val="20"/>
                <w:szCs w:val="20"/>
                <w:color w:val="auto"/>
              </w:rPr>
            </w:pPr>
            <w:r>
              <w:rPr>
                <w:rFonts w:ascii="Arial" w:cs="Arial" w:eastAsia="Arial" w:hAnsi="Arial"/>
                <w:sz w:val="18"/>
                <w:szCs w:val="18"/>
                <w:color w:val="auto"/>
              </w:rPr>
              <w:t>8,755,016</w:t>
            </w:r>
          </w:p>
        </w:tc>
      </w:tr>
    </w:tbl>
    <w:p>
      <w:pPr>
        <w:spacing w:after="0" w:line="360" w:lineRule="exact"/>
        <w:rPr>
          <w:sz w:val="20"/>
          <w:szCs w:val="20"/>
          <w:color w:val="auto"/>
        </w:rPr>
      </w:pPr>
    </w:p>
    <w:p>
      <w:pPr>
        <w:ind w:right="740" w:firstLine="332"/>
        <w:spacing w:after="0" w:line="282" w:lineRule="auto"/>
        <w:tabs>
          <w:tab w:leader="none" w:pos="49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Approval of the Amended and Restated 2017 Employee Stock Purchase Plan. </w:t>
      </w:r>
      <w:r>
        <w:rPr>
          <w:rFonts w:ascii="Arial" w:cs="Arial" w:eastAsia="Arial" w:hAnsi="Arial"/>
          <w:sz w:val="18"/>
          <w:szCs w:val="18"/>
          <w:color w:val="auto"/>
        </w:rPr>
        <w:t>The proposal to approve the amended and restated 2017</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Stock Purchase Plan was approved by the following vote:</w:t>
      </w:r>
    </w:p>
    <w:p>
      <w:pPr>
        <w:spacing w:after="0" w:line="72" w:lineRule="exact"/>
        <w:rPr>
          <w:sz w:val="20"/>
          <w:szCs w:val="20"/>
          <w:color w:val="auto"/>
        </w:rPr>
      </w:pPr>
    </w:p>
    <w:p>
      <w:pPr>
        <w:ind w:left="2420"/>
        <w:spacing w:after="0"/>
        <w:tabs>
          <w:tab w:leader="none" w:pos="3380" w:val="left"/>
          <w:tab w:leader="none" w:pos="4500" w:val="left"/>
          <w:tab w:leader="none" w:pos="5500" w:val="left"/>
        </w:tabs>
        <w:rPr>
          <w:sz w:val="20"/>
          <w:szCs w:val="20"/>
          <w:color w:val="auto"/>
        </w:rPr>
      </w:pPr>
      <w:r>
        <w:rPr>
          <w:rFonts w:ascii="Arial" w:cs="Arial" w:eastAsia="Arial" w:hAnsi="Arial"/>
          <w:sz w:val="16"/>
          <w:szCs w:val="16"/>
          <w:b w:val="1"/>
          <w:bCs w:val="1"/>
          <w:color w:val="auto"/>
        </w:rPr>
        <w:t>Votes For</w:t>
      </w:r>
      <w:r>
        <w:rPr>
          <w:sz w:val="20"/>
          <w:szCs w:val="20"/>
          <w:color w:val="auto"/>
        </w:rPr>
        <w:tab/>
      </w:r>
      <w:r>
        <w:rPr>
          <w:rFonts w:ascii="Arial" w:cs="Arial" w:eastAsia="Arial" w:hAnsi="Arial"/>
          <w:sz w:val="16"/>
          <w:szCs w:val="16"/>
          <w:b w:val="1"/>
          <w:bCs w:val="1"/>
          <w:color w:val="auto"/>
        </w:rPr>
        <w:t>Votes Against</w:t>
        <w:tab/>
        <w:t>Abstentions</w:t>
      </w:r>
      <w:r>
        <w:rPr>
          <w:sz w:val="20"/>
          <w:szCs w:val="20"/>
          <w:color w:val="auto"/>
        </w:rPr>
        <w:tab/>
      </w:r>
      <w:r>
        <w:rPr>
          <w:rFonts w:ascii="Arial" w:cs="Arial" w:eastAsia="Arial" w:hAnsi="Arial"/>
          <w:sz w:val="14"/>
          <w:szCs w:val="14"/>
          <w:b w:val="1"/>
          <w:bCs w:val="1"/>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37465</wp:posOffset>
            </wp:positionV>
            <wp:extent cx="2863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66" w:lineRule="exact"/>
        <w:rPr>
          <w:sz w:val="20"/>
          <w:szCs w:val="20"/>
          <w:color w:val="auto"/>
        </w:rPr>
      </w:pPr>
    </w:p>
    <w:p>
      <w:pPr>
        <w:ind w:left="2360"/>
        <w:spacing w:after="0"/>
        <w:tabs>
          <w:tab w:leader="none" w:pos="3560" w:val="left"/>
          <w:tab w:leader="none" w:pos="4660" w:val="left"/>
          <w:tab w:leader="none" w:pos="5760" w:val="left"/>
        </w:tabs>
        <w:rPr>
          <w:sz w:val="20"/>
          <w:szCs w:val="20"/>
          <w:color w:val="auto"/>
        </w:rPr>
      </w:pPr>
      <w:r>
        <w:rPr>
          <w:rFonts w:ascii="Arial" w:cs="Arial" w:eastAsia="Arial" w:hAnsi="Arial"/>
          <w:sz w:val="18"/>
          <w:szCs w:val="18"/>
          <w:color w:val="auto"/>
        </w:rPr>
        <w:t>50,624,821</w:t>
      </w:r>
      <w:r>
        <w:rPr>
          <w:sz w:val="20"/>
          <w:szCs w:val="20"/>
          <w:color w:val="auto"/>
        </w:rPr>
        <w:tab/>
      </w:r>
      <w:r>
        <w:rPr>
          <w:rFonts w:ascii="Arial" w:cs="Arial" w:eastAsia="Arial" w:hAnsi="Arial"/>
          <w:sz w:val="18"/>
          <w:szCs w:val="18"/>
          <w:color w:val="auto"/>
        </w:rPr>
        <w:t>205,689</w:t>
      </w:r>
      <w:r>
        <w:rPr>
          <w:sz w:val="20"/>
          <w:szCs w:val="20"/>
          <w:color w:val="auto"/>
        </w:rPr>
        <w:tab/>
      </w:r>
      <w:r>
        <w:rPr>
          <w:rFonts w:ascii="Arial" w:cs="Arial" w:eastAsia="Arial" w:hAnsi="Arial"/>
          <w:sz w:val="18"/>
          <w:szCs w:val="18"/>
          <w:color w:val="auto"/>
        </w:rPr>
        <w:t>26,185</w:t>
      </w:r>
      <w:r>
        <w:rPr>
          <w:sz w:val="20"/>
          <w:szCs w:val="20"/>
          <w:color w:val="auto"/>
        </w:rPr>
        <w:tab/>
      </w:r>
      <w:r>
        <w:rPr>
          <w:rFonts w:ascii="Arial" w:cs="Arial" w:eastAsia="Arial" w:hAnsi="Arial"/>
          <w:sz w:val="16"/>
          <w:szCs w:val="16"/>
          <w:color w:val="auto"/>
        </w:rPr>
        <w:t>8,755,016</w:t>
      </w:r>
    </w:p>
    <w:p>
      <w:pPr>
        <w:spacing w:after="0" w:line="383" w:lineRule="exact"/>
        <w:rPr>
          <w:sz w:val="20"/>
          <w:szCs w:val="20"/>
          <w:color w:val="auto"/>
        </w:rPr>
      </w:pPr>
    </w:p>
    <w:p>
      <w:pPr>
        <w:ind w:right="160" w:firstLine="332"/>
        <w:spacing w:after="0" w:line="282" w:lineRule="auto"/>
        <w:tabs>
          <w:tab w:leader="none" w:pos="49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Approval of the Amendment of the 2011 Equity Incentive Plan. </w:t>
      </w:r>
      <w:r>
        <w:rPr>
          <w:rFonts w:ascii="Arial" w:cs="Arial" w:eastAsia="Arial" w:hAnsi="Arial"/>
          <w:sz w:val="18"/>
          <w:szCs w:val="18"/>
          <w:color w:val="auto"/>
        </w:rPr>
        <w:t>The proposal to approve the amendment of the 2011 Equity Incentive Plan was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following vote:</w:t>
      </w:r>
    </w:p>
    <w:p>
      <w:pPr>
        <w:spacing w:after="0" w:line="72" w:lineRule="exact"/>
        <w:rPr>
          <w:sz w:val="20"/>
          <w:szCs w:val="20"/>
          <w:color w:val="auto"/>
        </w:rPr>
      </w:pPr>
    </w:p>
    <w:p>
      <w:pPr>
        <w:ind w:left="2440"/>
        <w:spacing w:after="0"/>
        <w:tabs>
          <w:tab w:leader="none" w:pos="3400" w:val="left"/>
          <w:tab w:leader="none" w:pos="4520" w:val="left"/>
          <w:tab w:leader="none" w:pos="5500" w:val="left"/>
        </w:tabs>
        <w:rPr>
          <w:sz w:val="20"/>
          <w:szCs w:val="20"/>
          <w:color w:val="auto"/>
        </w:rPr>
      </w:pPr>
      <w:r>
        <w:rPr>
          <w:rFonts w:ascii="Arial" w:cs="Arial" w:eastAsia="Arial" w:hAnsi="Arial"/>
          <w:sz w:val="16"/>
          <w:szCs w:val="16"/>
          <w:b w:val="1"/>
          <w:bCs w:val="1"/>
          <w:color w:val="auto"/>
        </w:rPr>
        <w:t>Votes For</w:t>
      </w:r>
      <w:r>
        <w:rPr>
          <w:sz w:val="20"/>
          <w:szCs w:val="20"/>
          <w:color w:val="auto"/>
        </w:rPr>
        <w:tab/>
      </w:r>
      <w:r>
        <w:rPr>
          <w:rFonts w:ascii="Arial" w:cs="Arial" w:eastAsia="Arial" w:hAnsi="Arial"/>
          <w:sz w:val="16"/>
          <w:szCs w:val="16"/>
          <w:b w:val="1"/>
          <w:bCs w:val="1"/>
          <w:color w:val="auto"/>
        </w:rPr>
        <w:t>Votes Against</w:t>
        <w:tab/>
        <w:t>Abstentions</w:t>
      </w:r>
      <w:r>
        <w:rPr>
          <w:sz w:val="20"/>
          <w:szCs w:val="20"/>
          <w:color w:val="auto"/>
        </w:rPr>
        <w:tab/>
      </w:r>
      <w:r>
        <w:rPr>
          <w:rFonts w:ascii="Arial" w:cs="Arial" w:eastAsia="Arial" w:hAnsi="Arial"/>
          <w:sz w:val="14"/>
          <w:szCs w:val="14"/>
          <w:b w:val="1"/>
          <w:bCs w:val="1"/>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37465</wp:posOffset>
            </wp:positionV>
            <wp:extent cx="2871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line="66" w:lineRule="exact"/>
        <w:rPr>
          <w:sz w:val="20"/>
          <w:szCs w:val="20"/>
          <w:color w:val="auto"/>
        </w:rPr>
      </w:pPr>
    </w:p>
    <w:p>
      <w:pPr>
        <w:ind w:left="2360"/>
        <w:spacing w:after="0"/>
        <w:tabs>
          <w:tab w:leader="none" w:pos="3580" w:val="left"/>
          <w:tab w:leader="none" w:pos="4680" w:val="left"/>
          <w:tab w:leader="none" w:pos="5780" w:val="left"/>
        </w:tabs>
        <w:rPr>
          <w:sz w:val="20"/>
          <w:szCs w:val="20"/>
          <w:color w:val="auto"/>
        </w:rPr>
      </w:pPr>
      <w:r>
        <w:rPr>
          <w:rFonts w:ascii="Arial" w:cs="Arial" w:eastAsia="Arial" w:hAnsi="Arial"/>
          <w:sz w:val="18"/>
          <w:szCs w:val="18"/>
          <w:color w:val="auto"/>
        </w:rPr>
        <w:t>49,922,793</w:t>
      </w:r>
      <w:r>
        <w:rPr>
          <w:sz w:val="20"/>
          <w:szCs w:val="20"/>
          <w:color w:val="auto"/>
        </w:rPr>
        <w:tab/>
      </w:r>
      <w:r>
        <w:rPr>
          <w:rFonts w:ascii="Arial" w:cs="Arial" w:eastAsia="Arial" w:hAnsi="Arial"/>
          <w:sz w:val="18"/>
          <w:szCs w:val="18"/>
          <w:color w:val="auto"/>
        </w:rPr>
        <w:t>905,549</w:t>
      </w:r>
      <w:r>
        <w:rPr>
          <w:sz w:val="20"/>
          <w:szCs w:val="20"/>
          <w:color w:val="auto"/>
        </w:rPr>
        <w:tab/>
      </w:r>
      <w:r>
        <w:rPr>
          <w:rFonts w:ascii="Arial" w:cs="Arial" w:eastAsia="Arial" w:hAnsi="Arial"/>
          <w:sz w:val="18"/>
          <w:szCs w:val="18"/>
          <w:color w:val="auto"/>
        </w:rPr>
        <w:t>28,353</w:t>
      </w:r>
      <w:r>
        <w:rPr>
          <w:sz w:val="20"/>
          <w:szCs w:val="20"/>
          <w:color w:val="auto"/>
        </w:rPr>
        <w:tab/>
      </w:r>
      <w:r>
        <w:rPr>
          <w:rFonts w:ascii="Arial" w:cs="Arial" w:eastAsia="Arial" w:hAnsi="Arial"/>
          <w:sz w:val="16"/>
          <w:szCs w:val="16"/>
          <w:color w:val="auto"/>
        </w:rPr>
        <w:t>8,755,016</w:t>
      </w:r>
    </w:p>
    <w:p>
      <w:pPr>
        <w:spacing w:after="0" w:line="383" w:lineRule="exact"/>
        <w:rPr>
          <w:sz w:val="20"/>
          <w:szCs w:val="20"/>
          <w:color w:val="auto"/>
        </w:rPr>
      </w:pPr>
    </w:p>
    <w:p>
      <w:pPr>
        <w:ind w:right="100" w:firstLine="332"/>
        <w:spacing w:after="0" w:line="266" w:lineRule="auto"/>
        <w:tabs>
          <w:tab w:leader="none" w:pos="50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Ratification of Appointment of Independent Registered Public Accounting Firm. </w:t>
      </w:r>
      <w:r>
        <w:rPr>
          <w:rFonts w:ascii="Arial" w:cs="Arial" w:eastAsia="Arial" w:hAnsi="Arial"/>
          <w:sz w:val="18"/>
          <w:szCs w:val="18"/>
          <w:color w:val="auto"/>
        </w:rPr>
        <w:t>The proposal to ratify the appointment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PricewaterhouseCoopers LLP as our independent registered public accounting firm for the year ending December 31, 2020 was approved by the following vote: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Votes</w:t>
            </w:r>
          </w:p>
        </w:tc>
        <w:tc>
          <w:tcPr>
            <w:tcW w:w="84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10"/>
        </w:trPr>
        <w:tc>
          <w:tcPr>
            <w:tcW w:w="29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Votes For</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Against</w:t>
            </w:r>
          </w:p>
        </w:tc>
        <w:tc>
          <w:tcPr>
            <w:tcW w:w="6260" w:type="dxa"/>
            <w:vAlign w:val="bottom"/>
            <w:gridSpan w:val="2"/>
          </w:tcPr>
          <w:p>
            <w:pPr>
              <w:jc w:val="center"/>
              <w:ind w:right="5400"/>
              <w:spacing w:after="0"/>
              <w:rPr>
                <w:sz w:val="20"/>
                <w:szCs w:val="20"/>
                <w:color w:val="auto"/>
              </w:rPr>
            </w:pPr>
            <w:r>
              <w:rPr>
                <w:rFonts w:ascii="Arial" w:cs="Arial" w:eastAsia="Arial" w:hAnsi="Arial"/>
                <w:sz w:val="16"/>
                <w:szCs w:val="16"/>
                <w:b w:val="1"/>
                <w:bCs w:val="1"/>
                <w:color w:val="auto"/>
                <w:w w:val="88"/>
              </w:rPr>
              <w:t>Abstentions</w:t>
            </w:r>
          </w:p>
        </w:tc>
      </w:tr>
      <w:tr>
        <w:trPr>
          <w:trHeight w:val="33"/>
        </w:trPr>
        <w:tc>
          <w:tcPr>
            <w:tcW w:w="29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20" w:type="dxa"/>
            <w:vAlign w:val="bottom"/>
          </w:tcPr>
          <w:p>
            <w:pPr>
              <w:spacing w:after="0"/>
              <w:rPr>
                <w:sz w:val="2"/>
                <w:szCs w:val="2"/>
                <w:color w:val="auto"/>
              </w:rPr>
            </w:pPr>
          </w:p>
        </w:tc>
      </w:tr>
      <w:tr>
        <w:trPr>
          <w:trHeight w:val="236"/>
        </w:trPr>
        <w:tc>
          <w:tcPr>
            <w:tcW w:w="3820" w:type="dxa"/>
            <w:vAlign w:val="bottom"/>
            <w:gridSpan w:val="2"/>
          </w:tcPr>
          <w:p>
            <w:pPr>
              <w:jc w:val="right"/>
              <w:spacing w:after="0"/>
              <w:rPr>
                <w:sz w:val="20"/>
                <w:szCs w:val="20"/>
                <w:color w:val="auto"/>
              </w:rPr>
            </w:pPr>
            <w:r>
              <w:rPr>
                <w:rFonts w:ascii="Arial" w:cs="Arial" w:eastAsia="Arial" w:hAnsi="Arial"/>
                <w:sz w:val="18"/>
                <w:szCs w:val="18"/>
                <w:color w:val="auto"/>
              </w:rPr>
              <w:t>59,500,179</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53,661</w:t>
            </w:r>
          </w:p>
        </w:tc>
        <w:tc>
          <w:tcPr>
            <w:tcW w:w="12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57,871</w:t>
            </w:r>
          </w:p>
        </w:tc>
        <w:tc>
          <w:tcPr>
            <w:tcW w:w="5420" w:type="dxa"/>
            <w:vAlign w:val="bottom"/>
          </w:tcPr>
          <w:p>
            <w:pPr>
              <w:spacing w:after="0"/>
              <w:rPr>
                <w:sz w:val="20"/>
                <w:szCs w:val="20"/>
                <w:color w:val="auto"/>
              </w:rPr>
            </w:pPr>
          </w:p>
        </w:tc>
      </w:tr>
      <w:tr>
        <w:trPr>
          <w:trHeight w:val="898"/>
        </w:trPr>
        <w:tc>
          <w:tcPr>
            <w:tcW w:w="29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9.01. Financial Statements and Exhibits.</w:t>
      </w:r>
    </w:p>
    <w:p>
      <w:pPr>
        <w:sectPr>
          <w:pgSz w:w="11900" w:h="16838" w:orient="portrait"/>
          <w:cols w:equalWidth="0" w:num="1">
            <w:col w:w="10139"/>
          </w:cols>
          <w:pgMar w:left="320" w:top="1350" w:right="1440" w:bottom="1440" w:gutter="0" w:footer="0" w:header="0"/>
        </w:sectPr>
      </w:pPr>
    </w:p>
    <w:p>
      <w:pPr>
        <w:spacing w:after="0" w:line="289" w:lineRule="exact"/>
        <w:rPr>
          <w:sz w:val="20"/>
          <w:szCs w:val="20"/>
          <w:color w:val="auto"/>
        </w:rPr>
      </w:pPr>
    </w:p>
    <w:p>
      <w:pPr>
        <w:jc w:val="both"/>
        <w:ind w:left="20" w:hanging="12"/>
        <w:spacing w:after="0" w:line="365" w:lineRule="auto"/>
        <w:tabs>
          <w:tab w:leader="none" w:pos="267"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Exhibits. Exhibit No. </w:t>
      </w:r>
      <w:r>
        <w:rPr>
          <w:rFonts w:ascii="Arial" w:cs="Arial" w:eastAsia="Arial" w:hAnsi="Arial"/>
          <w:sz w:val="16"/>
          <w:szCs w:val="16"/>
          <w:color w:val="auto"/>
        </w:rPr>
        <w:t>10.1</w:t>
      </w:r>
    </w:p>
    <w:p>
      <w:pPr>
        <w:spacing w:after="0" w:line="1" w:lineRule="exact"/>
        <w:rPr>
          <w:rFonts w:ascii="Arial" w:cs="Arial" w:eastAsia="Arial" w:hAnsi="Arial"/>
          <w:sz w:val="16"/>
          <w:szCs w:val="16"/>
          <w:b w:val="1"/>
          <w:bCs w:val="1"/>
          <w:color w:val="auto"/>
        </w:rPr>
      </w:pPr>
    </w:p>
    <w:p>
      <w:pPr>
        <w:ind w:left="20"/>
        <w:spacing w:after="0"/>
        <w:rPr>
          <w:rFonts w:ascii="Arial" w:cs="Arial" w:eastAsia="Arial" w:hAnsi="Arial"/>
          <w:sz w:val="16"/>
          <w:szCs w:val="16"/>
          <w:b w:val="1"/>
          <w:bCs w:val="1"/>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969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2661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74" w:lineRule="exact"/>
        <w:rPr>
          <w:sz w:val="20"/>
          <w:szCs w:val="20"/>
          <w:color w:val="auto"/>
        </w:rPr>
      </w:pPr>
    </w:p>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Fluidigm Corporation 2017 Employee Stock Purchase Plan, as amended and restated effective June 23, 2020.</w:t>
        </w:r>
      </w:hyperlink>
    </w:p>
    <w:p>
      <w:pPr>
        <w:spacing w:after="0" w:line="100" w:lineRule="exact"/>
        <w:rPr>
          <w:sz w:val="20"/>
          <w:szCs w:val="20"/>
          <w:color w:val="auto"/>
        </w:rPr>
      </w:pPr>
    </w:p>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Fluidigm Corporation 2011 Equity Incentive Plan, as amended effective June 23,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871855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960" w:space="420"/>
            <w:col w:w="8759"/>
          </w:cols>
          <w:pgMar w:left="320" w:top="1350" w:right="1440" w:bottom="1440" w:gutter="0" w:footer="0" w:header="0"/>
          <w:type w:val="continuous"/>
        </w:sectPr>
      </w:pPr>
    </w:p>
    <w:bookmarkStart w:id="3" w:name="page4"/>
    <w:bookmarkEnd w:id="3"/>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FLUIDIGM CORPORATION</w:t>
      </w:r>
    </w:p>
    <w:p>
      <w:pPr>
        <w:spacing w:after="0" w:line="337" w:lineRule="exact"/>
        <w:rPr>
          <w:sz w:val="20"/>
          <w:szCs w:val="20"/>
          <w:color w:val="auto"/>
        </w:rPr>
      </w:pPr>
    </w:p>
    <w:p>
      <w:pPr>
        <w:ind w:left="20"/>
        <w:spacing w:after="0"/>
        <w:tabs>
          <w:tab w:leader="none" w:pos="4360" w:val="left"/>
          <w:tab w:leader="none" w:pos="5080" w:val="left"/>
        </w:tabs>
        <w:rPr>
          <w:sz w:val="20"/>
          <w:szCs w:val="20"/>
          <w:color w:val="auto"/>
        </w:rPr>
      </w:pPr>
      <w:r>
        <w:rPr>
          <w:rFonts w:ascii="Arial" w:cs="Arial" w:eastAsia="Arial" w:hAnsi="Arial"/>
          <w:sz w:val="18"/>
          <w:szCs w:val="18"/>
          <w:color w:val="auto"/>
        </w:rPr>
        <w:t>Date: June 24,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31750</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Nicholas Khadder</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Senior Vice President, General Counsel, and Secretary</w:t>
      </w:r>
    </w:p>
    <w:p>
      <w:pPr>
        <w:sectPr>
          <w:pgSz w:w="11900" w:h="16838" w:orient="portrait"/>
          <w:cols w:equalWidth="0" w:num="1">
            <w:col w:w="10600"/>
          </w:cols>
          <w:pgMar w:left="320" w:top="1093" w:right="9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FLUIDIGM 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2017 EMPLOYEE STOCK PURCHASE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(As amended and restated effective June 23, 2020)</w:t>
      </w:r>
    </w:p>
    <w:p>
      <w:pPr>
        <w:spacing w:after="0" w:line="293" w:lineRule="exact"/>
        <w:rPr>
          <w:sz w:val="20"/>
          <w:szCs w:val="20"/>
          <w:color w:val="auto"/>
        </w:rPr>
      </w:pPr>
    </w:p>
    <w:p>
      <w:pPr>
        <w:jc w:val="both"/>
        <w:ind w:firstLine="656"/>
        <w:spacing w:after="0" w:line="290" w:lineRule="auto"/>
        <w:tabs>
          <w:tab w:leader="none" w:pos="1296"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Plan is to provide employees of the Company and its Designated Subsidiaries with an opportunity to purchase Common Stock through accumulated Contributions. This Plan includes two components: a Code Section 423 Plan Component and a Non-423 Plan Component. The Company’s intention is to have the Code Section 423 Plan Component qualify as an “employee stock purchase plan” under Section 423 of the Code and the provisions of the Plan with respect to the Code Section 423 Component, accordingly, will be construed so as to extend and limit Plan participation in a uniform and nondiscriminatory basis consistent with the requirements of Section 423 of the Code. In addition, this Plan authorizes the grant of options under the Non-423 Plan Component that do not qualify under Section 423 of the Code, pursuant to rules, procedures or sub-plans adopted by the Administrator that are designed to achieve tax, securities laws or other objectives for Eligible Employees and/or the Company. Except as otherwise indicated, the Non-423 Plan Component will operate and be administered in the same manner as the Code Section 423 Plan Component.</w:t>
      </w:r>
    </w:p>
    <w:p>
      <w:pPr>
        <w:spacing w:after="0" w:line="165" w:lineRule="exact"/>
        <w:rPr>
          <w:rFonts w:ascii="Arial" w:cs="Arial" w:eastAsia="Arial" w:hAnsi="Arial"/>
          <w:sz w:val="16"/>
          <w:szCs w:val="16"/>
          <w:color w:val="auto"/>
        </w:rPr>
      </w:pPr>
    </w:p>
    <w:p>
      <w:pPr>
        <w:ind w:left="840" w:hanging="184"/>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Committee designated by the Board to administer the Plan pursuant to Section 14.</w:t>
      </w:r>
    </w:p>
    <w:p>
      <w:pPr>
        <w:spacing w:after="0" w:line="236" w:lineRule="exact"/>
        <w:rPr>
          <w:rFonts w:ascii="Arial" w:cs="Arial" w:eastAsia="Arial" w:hAnsi="Arial"/>
          <w:sz w:val="17"/>
          <w:szCs w:val="17"/>
          <w:color w:val="auto"/>
        </w:rPr>
      </w:pPr>
    </w:p>
    <w:p>
      <w:pPr>
        <w:jc w:val="both"/>
        <w:ind w:left="660" w:right="20" w:firstLine="644"/>
        <w:spacing w:after="0" w:line="263" w:lineRule="auto"/>
        <w:tabs>
          <w:tab w:leader="none" w:pos="1576"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the Plan is, or will be, offered.</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jc w:val="both"/>
        <w:ind w:left="1300" w:firstLine="652"/>
        <w:spacing w:after="0" w:line="275" w:lineRule="auto"/>
        <w:tabs>
          <w:tab w:leader="none" w:pos="2153" w:val="left"/>
        </w:tabs>
        <w:numPr>
          <w:ilvl w:val="2"/>
          <w:numId w:val="8"/>
        </w:numPr>
        <w:rPr>
          <w:rFonts w:ascii="Arial" w:cs="Arial" w:eastAsia="Arial" w:hAnsi="Arial"/>
          <w:sz w:val="17"/>
          <w:szCs w:val="17"/>
          <w:color w:val="auto"/>
        </w:rPr>
      </w:pPr>
      <w:r>
        <w:rPr>
          <w:rFonts w:ascii="Arial" w:cs="Arial" w:eastAsia="Arial" w:hAnsi="Arial"/>
          <w:sz w:val="17"/>
          <w:szCs w:val="17"/>
          <w:color w:val="auto"/>
        </w:rPr>
        <w:t>A change in the ownership of the Company which occurs on the date that any one person, or more than one person acting as a group (“</w:t>
      </w:r>
      <w:r>
        <w:rPr>
          <w:rFonts w:ascii="Arial" w:cs="Arial" w:eastAsia="Arial" w:hAnsi="Arial"/>
          <w:sz w:val="17"/>
          <w:szCs w:val="17"/>
          <w:u w:val="single" w:color="auto"/>
          <w:color w:val="auto"/>
        </w:rPr>
        <w:t>Person</w:t>
      </w:r>
      <w:r>
        <w:rPr>
          <w:rFonts w:ascii="Arial" w:cs="Arial" w:eastAsia="Arial" w:hAnsi="Arial"/>
          <w:sz w:val="17"/>
          <w:szCs w:val="17"/>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spacing w:after="0" w:line="176" w:lineRule="exact"/>
        <w:rPr>
          <w:rFonts w:ascii="Arial" w:cs="Arial" w:eastAsia="Arial" w:hAnsi="Arial"/>
          <w:sz w:val="17"/>
          <w:szCs w:val="17"/>
          <w:color w:val="auto"/>
        </w:rPr>
      </w:pPr>
    </w:p>
    <w:p>
      <w:pPr>
        <w:jc w:val="both"/>
        <w:ind w:left="1300" w:firstLine="652"/>
        <w:spacing w:after="0" w:line="257" w:lineRule="auto"/>
        <w:tabs>
          <w:tab w:leader="none" w:pos="2226" w:val="left"/>
        </w:tabs>
        <w:numPr>
          <w:ilvl w:val="2"/>
          <w:numId w:val="8"/>
        </w:numPr>
        <w:rPr>
          <w:rFonts w:ascii="Arial" w:cs="Arial" w:eastAsia="Arial" w:hAnsi="Arial"/>
          <w:sz w:val="18"/>
          <w:szCs w:val="18"/>
          <w:color w:val="auto"/>
        </w:rPr>
      </w:pPr>
      <w:r>
        <w:rPr>
          <w:rFonts w:ascii="Arial" w:cs="Arial" w:eastAsia="Arial" w:hAnsi="Arial"/>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87" w:lineRule="exact"/>
        <w:rPr>
          <w:rFonts w:ascii="Arial" w:cs="Arial" w:eastAsia="Arial" w:hAnsi="Arial"/>
          <w:sz w:val="18"/>
          <w:szCs w:val="18"/>
          <w:color w:val="auto"/>
        </w:rPr>
      </w:pPr>
    </w:p>
    <w:p>
      <w:pPr>
        <w:jc w:val="both"/>
        <w:ind w:left="1300" w:firstLine="652"/>
        <w:spacing w:after="0" w:line="285" w:lineRule="auto"/>
        <w:tabs>
          <w:tab w:leader="none" w:pos="2280" w:val="left"/>
        </w:tabs>
        <w:numPr>
          <w:ilvl w:val="2"/>
          <w:numId w:val="8"/>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w:t>
      </w:r>
    </w:p>
    <w:p>
      <w:pPr>
        <w:spacing w:after="0" w:line="1" w:lineRule="exact"/>
        <w:rPr>
          <w:rFonts w:ascii="Arial" w:cs="Arial" w:eastAsia="Arial" w:hAnsi="Arial"/>
          <w:sz w:val="16"/>
          <w:szCs w:val="16"/>
          <w:color w:val="auto"/>
        </w:rPr>
      </w:pPr>
    </w:p>
    <w:p>
      <w:pPr>
        <w:jc w:val="both"/>
        <w:ind w:left="1300"/>
        <w:spacing w:after="0" w:line="253" w:lineRule="auto"/>
        <w:rPr>
          <w:rFonts w:ascii="Arial" w:cs="Arial" w:eastAsia="Arial" w:hAnsi="Arial"/>
          <w:sz w:val="16"/>
          <w:szCs w:val="16"/>
          <w:color w:val="auto"/>
        </w:rPr>
      </w:pPr>
      <w:r>
        <w:rPr>
          <w:rFonts w:ascii="Arial" w:cs="Arial" w:eastAsia="Arial" w:hAnsi="Arial"/>
          <w:sz w:val="18"/>
          <w:szCs w:val="18"/>
          <w:color w:val="auto"/>
        </w:rPr>
        <w:t>(A)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w:t>
      </w:r>
    </w:p>
    <w:p>
      <w:pPr>
        <w:sectPr>
          <w:pgSz w:w="11900" w:h="16838" w:orient="portrait"/>
          <w:cols w:equalWidth="0" w:num="1">
            <w:col w:w="11240"/>
          </w:cols>
          <w:pgMar w:left="320" w:top="630" w:right="339" w:bottom="1440" w:gutter="0" w:footer="0" w:header="0"/>
        </w:sectPr>
      </w:pPr>
    </w:p>
    <w:bookmarkStart w:id="5" w:name="page6"/>
    <w:bookmarkEnd w:id="5"/>
    <w:p>
      <w:pPr>
        <w:jc w:val="both"/>
        <w:ind w:left="640"/>
        <w:spacing w:after="0" w:line="257" w:lineRule="auto"/>
        <w:rPr>
          <w:sz w:val="20"/>
          <w:szCs w:val="20"/>
          <w:color w:val="auto"/>
        </w:rPr>
      </w:pPr>
      <w:r>
        <w:rPr>
          <w:rFonts w:ascii="Arial" w:cs="Arial" w:eastAsia="Arial" w:hAnsi="Arial"/>
          <w:sz w:val="18"/>
          <w:szCs w:val="18"/>
          <w:color w:val="auto"/>
        </w:rPr>
        <w:t>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gross fair market value means the value of the assets of the Company, or the value of the assets being disposed of, determined without regard to any liabilities associated with such assets.</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jc w:val="both"/>
        <w:ind w:right="20" w:firstLine="1296"/>
        <w:spacing w:after="0" w:line="311" w:lineRule="auto"/>
        <w:rPr>
          <w:sz w:val="20"/>
          <w:szCs w:val="20"/>
          <w:color w:val="auto"/>
        </w:rPr>
      </w:pPr>
      <w:r>
        <w:rPr>
          <w:rFonts w:ascii="Arial" w:cs="Arial" w:eastAsia="Arial" w:hAnsi="Arial"/>
          <w:sz w:val="16"/>
          <w:szCs w:val="16"/>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4" w:lineRule="exact"/>
        <w:rPr>
          <w:sz w:val="20"/>
          <w:szCs w:val="20"/>
          <w:color w:val="auto"/>
        </w:rPr>
      </w:pPr>
    </w:p>
    <w:p>
      <w:pPr>
        <w:jc w:val="both"/>
        <w:ind w:firstLine="644"/>
        <w:spacing w:after="0" w:line="311" w:lineRule="auto"/>
        <w:tabs>
          <w:tab w:leader="none" w:pos="906"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48" w:lineRule="exact"/>
        <w:rPr>
          <w:rFonts w:ascii="Arial" w:cs="Arial" w:eastAsia="Arial" w:hAnsi="Arial"/>
          <w:sz w:val="16"/>
          <w:szCs w:val="16"/>
          <w:color w:val="auto"/>
        </w:rPr>
      </w:pPr>
    </w:p>
    <w:p>
      <w:pPr>
        <w:jc w:val="both"/>
        <w:ind w:firstLine="644"/>
        <w:spacing w:after="0" w:line="263" w:lineRule="auto"/>
        <w:tabs>
          <w:tab w:leader="none" w:pos="873"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 Section 423 Plan Component</w:t>
      </w:r>
      <w:r>
        <w:rPr>
          <w:rFonts w:ascii="Arial" w:cs="Arial" w:eastAsia="Arial" w:hAnsi="Arial"/>
          <w:sz w:val="18"/>
          <w:szCs w:val="18"/>
          <w:color w:val="auto"/>
        </w:rPr>
        <w:t>” means the component of this Plan that is intended to meet the requirements set forth in Section 423(b) of the Code. The Code Section 423 Plan Component shall be construed, administered and enforced in accordance with Section 423(b) of the Code.</w:t>
      </w:r>
    </w:p>
    <w:p>
      <w:pPr>
        <w:spacing w:after="0" w:line="183" w:lineRule="exact"/>
        <w:rPr>
          <w:rFonts w:ascii="Arial" w:cs="Arial" w:eastAsia="Arial" w:hAnsi="Arial"/>
          <w:sz w:val="18"/>
          <w:szCs w:val="18"/>
          <w:color w:val="auto"/>
        </w:rPr>
      </w:pPr>
    </w:p>
    <w:p>
      <w:pPr>
        <w:ind w:left="900" w:hanging="25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the Board appointed in accordance with Section 14 hereof.</w:t>
      </w:r>
    </w:p>
    <w:p>
      <w:pPr>
        <w:spacing w:after="0" w:line="225" w:lineRule="exact"/>
        <w:rPr>
          <w:rFonts w:ascii="Arial" w:cs="Arial" w:eastAsia="Arial" w:hAnsi="Arial"/>
          <w:sz w:val="18"/>
          <w:szCs w:val="18"/>
          <w:color w:val="auto"/>
        </w:rPr>
      </w:pPr>
    </w:p>
    <w:p>
      <w:pPr>
        <w:ind w:left="900" w:hanging="25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860" w:hanging="2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Fluidigm Corporation, a Delaware corporation, or any successor thereto.</w:t>
      </w:r>
    </w:p>
    <w:p>
      <w:pPr>
        <w:spacing w:after="0" w:line="225" w:lineRule="exact"/>
        <w:rPr>
          <w:rFonts w:ascii="Arial" w:cs="Arial" w:eastAsia="Arial" w:hAnsi="Arial"/>
          <w:sz w:val="18"/>
          <w:szCs w:val="18"/>
          <w:color w:val="auto"/>
        </w:rPr>
      </w:pPr>
    </w:p>
    <w:p>
      <w:pPr>
        <w:jc w:val="both"/>
        <w:ind w:firstLine="644"/>
        <w:spacing w:after="0" w:line="279" w:lineRule="auto"/>
        <w:tabs>
          <w:tab w:leader="none" w:pos="890"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Compensation</w:t>
      </w:r>
      <w:r>
        <w:rPr>
          <w:rFonts w:ascii="Arial" w:cs="Arial" w:eastAsia="Arial" w:hAnsi="Arial"/>
          <w:sz w:val="17"/>
          <w:szCs w:val="17"/>
          <w:color w:val="auto"/>
        </w:rPr>
        <w:t>” means an Eligible Employee’s base straight time gross earnings, payments for overtime and shift premium, but exclusive of payments for incentive compensation, commissions, bonuses and other similar compensation. The Administrator shall have the discretion to determine what constitutes Compensation for participants under the Plan with respect to future Offerings, but for purposes of participants participating in the Code Section 423 Plan Component, it will be applied on a uniform, non-discriminatory basis.</w:t>
      </w:r>
    </w:p>
    <w:p>
      <w:pPr>
        <w:spacing w:after="0" w:line="171" w:lineRule="exact"/>
        <w:rPr>
          <w:rFonts w:ascii="Arial" w:cs="Arial" w:eastAsia="Arial" w:hAnsi="Arial"/>
          <w:sz w:val="17"/>
          <w:szCs w:val="17"/>
          <w:color w:val="auto"/>
        </w:rPr>
      </w:pPr>
    </w:p>
    <w:p>
      <w:pPr>
        <w:ind w:firstLine="644"/>
        <w:spacing w:after="0" w:line="277" w:lineRule="auto"/>
        <w:tabs>
          <w:tab w:leader="none" w:pos="943"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Contributions</w:t>
      </w:r>
      <w:r>
        <w:rPr>
          <w:rFonts w:ascii="Arial" w:cs="Arial" w:eastAsia="Arial" w:hAnsi="Arial"/>
          <w:sz w:val="18"/>
          <w:szCs w:val="18"/>
          <w:color w:val="auto"/>
        </w:rPr>
        <w:t>” means the payroll deductions and other additional payments that the Company may permit to be made by a Participant to fund the exercise of options granted pursuant to the Plan.</w:t>
      </w:r>
    </w:p>
    <w:p>
      <w:pPr>
        <w:spacing w:after="0" w:line="170" w:lineRule="exact"/>
        <w:rPr>
          <w:rFonts w:ascii="Arial" w:cs="Arial" w:eastAsia="Arial" w:hAnsi="Arial"/>
          <w:sz w:val="18"/>
          <w:szCs w:val="18"/>
          <w:color w:val="auto"/>
        </w:rPr>
      </w:pPr>
    </w:p>
    <w:p>
      <w:pPr>
        <w:jc w:val="both"/>
        <w:ind w:firstLine="644"/>
        <w:spacing w:after="0" w:line="259" w:lineRule="auto"/>
        <w:tabs>
          <w:tab w:leader="none" w:pos="863"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means any Subsidiary that has been designated by the Administrator from time to time in its sole discretion as eligible to participate in the Plan. The Administrator may provide that any Designated Subsidiary shall only be eligible to participate in the Non- 423 Plan Component and at any given time, a Subsidiary that is a Designated Subsidiary under the Code Section 423 Plan Component shall not be a Designated Subsidiary under the Non-423 Plan Component.</w:t>
      </w:r>
    </w:p>
    <w:p>
      <w:pPr>
        <w:spacing w:after="0" w:line="186" w:lineRule="exact"/>
        <w:rPr>
          <w:rFonts w:ascii="Arial" w:cs="Arial" w:eastAsia="Arial" w:hAnsi="Arial"/>
          <w:sz w:val="18"/>
          <w:szCs w:val="18"/>
          <w:color w:val="auto"/>
        </w:rPr>
      </w:pPr>
    </w:p>
    <w:p>
      <w:pPr>
        <w:ind w:left="940" w:hanging="296"/>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jc w:val="both"/>
        <w:ind w:firstLine="644"/>
        <w:spacing w:after="0" w:line="275" w:lineRule="auto"/>
        <w:tabs>
          <w:tab w:leader="none" w:pos="943"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Employee</w:t>
      </w:r>
      <w:r>
        <w:rPr>
          <w:rFonts w:ascii="Arial" w:cs="Arial" w:eastAsia="Arial" w:hAnsi="Arial"/>
          <w:sz w:val="17"/>
          <w:szCs w:val="17"/>
          <w:color w:val="auto"/>
        </w:rPr>
        <w:t>” means any individual who is a common law employee of an Employer. 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w:t>
      </w:r>
    </w:p>
    <w:p>
      <w:pPr>
        <w:spacing w:after="0" w:line="200" w:lineRule="exact"/>
        <w:rPr>
          <w:sz w:val="20"/>
          <w:szCs w:val="20"/>
          <w:color w:val="auto"/>
        </w:rPr>
      </w:pPr>
    </w:p>
    <w:p>
      <w:pPr>
        <w:spacing w:after="0" w:line="30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980" w:top="1111" w:right="339" w:bottom="1440" w:gutter="0" w:footer="0" w:header="0"/>
        </w:sectPr>
      </w:pPr>
    </w:p>
    <w:bookmarkStart w:id="6" w:name="page7"/>
    <w:bookmarkEnd w:id="6"/>
    <w:p>
      <w:pPr>
        <w:jc w:val="both"/>
        <w:ind w:left="4"/>
        <w:spacing w:after="0" w:line="269" w:lineRule="auto"/>
        <w:rPr>
          <w:sz w:val="20"/>
          <w:szCs w:val="20"/>
          <w:color w:val="auto"/>
        </w:rPr>
      </w:pPr>
      <w:r>
        <w:rPr>
          <w:rFonts w:ascii="Arial" w:cs="Arial" w:eastAsia="Arial" w:hAnsi="Arial"/>
          <w:sz w:val="17"/>
          <w:szCs w:val="17"/>
          <w:color w:val="auto"/>
        </w:rPr>
        <w:t>Offering Date for all options to be granted on such Offering Date in an Offering, determine (and for purposes of the Code Section 423 Plan Component, on a uniform and nondiscriminatory basis or as otherwise permitted by Treasury Regulation Section 1.423-2) that the definition of Eligible Employee will or will not include an individual if he or she: (i) customarily works not more than twenty (20) hours per week, (ii) is a highly compensated employee within the meaning of Section 414(q) of the Code, or (iii) is a highly compensated employee within the meaning of Section 414(q) of the Code with compensation above a certain level or is an officer or subject to the disclosure requirements of Section 16(a) of the Exchange Act, provided the exclusion is applied with respect to each Offering in an identical manner to all highly compensated individuals of the Employer whose Employees are participating in that Offering. Each exclusion shall be applied with respect to an Offering in a manner complying with U.S. Treasury Regulation Section 1.423-2(e)(2)(ii). For Offerings under the Non-423 Plan Component, Eligible Employee will also mean any other employee of an Employer to the extent that Applicable Law requires participation in the Plan to be extended to such employee, as determined by the Administrator.</w:t>
      </w:r>
    </w:p>
    <w:p>
      <w:pPr>
        <w:spacing w:after="0" w:line="185" w:lineRule="exact"/>
        <w:rPr>
          <w:sz w:val="20"/>
          <w:szCs w:val="20"/>
          <w:color w:val="auto"/>
        </w:rPr>
      </w:pPr>
    </w:p>
    <w:p>
      <w:pPr>
        <w:ind w:left="904" w:hanging="256"/>
        <w:spacing w:after="0"/>
        <w:tabs>
          <w:tab w:leader="none" w:pos="90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means the employer of the applicable Eligible Employee(s).</w:t>
      </w:r>
    </w:p>
    <w:p>
      <w:pPr>
        <w:spacing w:after="0" w:line="225" w:lineRule="exact"/>
        <w:rPr>
          <w:rFonts w:ascii="Arial" w:cs="Arial" w:eastAsia="Arial" w:hAnsi="Arial"/>
          <w:sz w:val="18"/>
          <w:szCs w:val="18"/>
          <w:color w:val="auto"/>
        </w:rPr>
      </w:pPr>
    </w:p>
    <w:p>
      <w:pPr>
        <w:ind w:left="904" w:hanging="256"/>
        <w:spacing w:after="0"/>
        <w:tabs>
          <w:tab w:leader="none" w:pos="904" w:val="left"/>
        </w:tabs>
        <w:numPr>
          <w:ilvl w:val="1"/>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including the rules and regulations promulgated thereunder.</w:t>
      </w:r>
    </w:p>
    <w:p>
      <w:pPr>
        <w:spacing w:after="0" w:line="248" w:lineRule="exact"/>
        <w:rPr>
          <w:rFonts w:ascii="Arial" w:cs="Arial" w:eastAsia="Arial" w:hAnsi="Arial"/>
          <w:sz w:val="16"/>
          <w:szCs w:val="16"/>
          <w:color w:val="auto"/>
        </w:rPr>
      </w:pPr>
    </w:p>
    <w:p>
      <w:pPr>
        <w:ind w:left="904" w:hanging="256"/>
        <w:spacing w:after="0"/>
        <w:tabs>
          <w:tab w:leader="none" w:pos="90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means the last Trading Day on or before May 31 and November 30 of each Purchase Period.</w:t>
      </w:r>
    </w:p>
    <w:p>
      <w:pPr>
        <w:spacing w:after="0" w:line="225" w:lineRule="exact"/>
        <w:rPr>
          <w:rFonts w:ascii="Arial" w:cs="Arial" w:eastAsia="Arial" w:hAnsi="Arial"/>
          <w:sz w:val="18"/>
          <w:szCs w:val="18"/>
          <w:color w:val="auto"/>
        </w:rPr>
      </w:pPr>
    </w:p>
    <w:p>
      <w:pPr>
        <w:ind w:left="4" w:right="20" w:firstLine="644"/>
        <w:spacing w:after="0" w:line="277" w:lineRule="auto"/>
        <w:tabs>
          <w:tab w:leader="none" w:pos="917"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and unless the Administrator determines otherwise, the value of Common Stock determined as follows:</w:t>
      </w:r>
    </w:p>
    <w:p>
      <w:pPr>
        <w:spacing w:after="0" w:line="170" w:lineRule="exact"/>
        <w:rPr>
          <w:rFonts w:ascii="Arial" w:cs="Arial" w:eastAsia="Arial" w:hAnsi="Arial"/>
          <w:sz w:val="18"/>
          <w:szCs w:val="18"/>
          <w:color w:val="auto"/>
        </w:rPr>
      </w:pPr>
    </w:p>
    <w:p>
      <w:pPr>
        <w:jc w:val="both"/>
        <w:ind w:left="644" w:firstLine="652"/>
        <w:spacing w:after="0" w:line="301" w:lineRule="auto"/>
        <w:tabs>
          <w:tab w:leader="none" w:pos="1520" w:val="left"/>
        </w:tabs>
        <w:numPr>
          <w:ilvl w:val="2"/>
          <w:numId w:val="10"/>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date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w:t>
      </w:r>
    </w:p>
    <w:p>
      <w:pPr>
        <w:spacing w:after="0" w:line="157" w:lineRule="exact"/>
        <w:rPr>
          <w:rFonts w:ascii="Arial" w:cs="Arial" w:eastAsia="Arial" w:hAnsi="Arial"/>
          <w:sz w:val="16"/>
          <w:szCs w:val="16"/>
          <w:color w:val="auto"/>
        </w:rPr>
      </w:pPr>
    </w:p>
    <w:p>
      <w:pPr>
        <w:jc w:val="both"/>
        <w:ind w:left="644" w:firstLine="652"/>
        <w:spacing w:after="0" w:line="259" w:lineRule="auto"/>
        <w:tabs>
          <w:tab w:leader="none" w:pos="1559" w:val="left"/>
        </w:tabs>
        <w:numPr>
          <w:ilvl w:val="2"/>
          <w:numId w:val="10"/>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its Fair Market Value will be the mean between the high bid and low asked prices for the Common Stock on the date of determination (or if no bids and asks were reported on that date, as applicable, on the last Trading Day such bids and asks were reported),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Administrator deems reliable; or</w:t>
      </w:r>
    </w:p>
    <w:p>
      <w:pPr>
        <w:spacing w:after="0" w:line="186" w:lineRule="exact"/>
        <w:rPr>
          <w:rFonts w:ascii="Arial" w:cs="Arial" w:eastAsia="Arial" w:hAnsi="Arial"/>
          <w:sz w:val="18"/>
          <w:szCs w:val="18"/>
          <w:color w:val="auto"/>
        </w:rPr>
      </w:pPr>
    </w:p>
    <w:p>
      <w:pPr>
        <w:ind w:left="644" w:right="20" w:firstLine="652"/>
        <w:spacing w:after="0" w:line="277" w:lineRule="auto"/>
        <w:tabs>
          <w:tab w:leader="none" w:pos="1618" w:val="left"/>
        </w:tabs>
        <w:numPr>
          <w:ilvl w:val="2"/>
          <w:numId w:val="10"/>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thereof will be determined in good faith by the Administrator.</w:t>
      </w:r>
    </w:p>
    <w:p>
      <w:pPr>
        <w:spacing w:after="0" w:line="170" w:lineRule="exact"/>
        <w:rPr>
          <w:rFonts w:ascii="Arial" w:cs="Arial" w:eastAsia="Arial" w:hAnsi="Arial"/>
          <w:sz w:val="18"/>
          <w:szCs w:val="18"/>
          <w:color w:val="auto"/>
        </w:rPr>
      </w:pPr>
    </w:p>
    <w:p>
      <w:pPr>
        <w:ind w:left="884" w:hanging="236"/>
        <w:spacing w:after="0"/>
        <w:tabs>
          <w:tab w:leader="none" w:pos="8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Exercise Date</w:t>
      </w:r>
      <w:r>
        <w:rPr>
          <w:rFonts w:ascii="Arial" w:cs="Arial" w:eastAsia="Arial" w:hAnsi="Arial"/>
          <w:sz w:val="18"/>
          <w:szCs w:val="18"/>
          <w:color w:val="auto"/>
        </w:rPr>
        <w:t>” means a new Exercise Date set by shortening any Offering Period then in progress.</w:t>
      </w:r>
    </w:p>
    <w:p>
      <w:pPr>
        <w:spacing w:after="0" w:line="225" w:lineRule="exact"/>
        <w:rPr>
          <w:rFonts w:ascii="Arial" w:cs="Arial" w:eastAsia="Arial" w:hAnsi="Arial"/>
          <w:sz w:val="18"/>
          <w:szCs w:val="18"/>
          <w:color w:val="auto"/>
        </w:rPr>
      </w:pPr>
    </w:p>
    <w:p>
      <w:pPr>
        <w:ind w:left="4" w:firstLine="644"/>
        <w:spacing w:after="0" w:line="277" w:lineRule="auto"/>
        <w:tabs>
          <w:tab w:leader="none" w:pos="8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Non-423 Plan Component</w:t>
      </w:r>
      <w:r>
        <w:rPr>
          <w:rFonts w:ascii="Arial" w:cs="Arial" w:eastAsia="Arial" w:hAnsi="Arial"/>
          <w:sz w:val="18"/>
          <w:szCs w:val="18"/>
          <w:color w:val="auto"/>
        </w:rPr>
        <w:t>” means a component of this Plan that is not intended to meet the requirements set forth in Section 423(b) of the Code.</w:t>
      </w:r>
    </w:p>
    <w:p>
      <w:pPr>
        <w:spacing w:after="0" w:line="170" w:lineRule="exact"/>
        <w:rPr>
          <w:rFonts w:ascii="Arial" w:cs="Arial" w:eastAsia="Arial" w:hAnsi="Arial"/>
          <w:sz w:val="18"/>
          <w:szCs w:val="18"/>
          <w:color w:val="auto"/>
        </w:rPr>
      </w:pPr>
    </w:p>
    <w:p>
      <w:pPr>
        <w:ind w:left="904" w:hanging="256"/>
        <w:spacing w:after="0"/>
        <w:tabs>
          <w:tab w:leader="none" w:pos="904" w:val="left"/>
        </w:tabs>
        <w:numPr>
          <w:ilvl w:val="1"/>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w:t>
      </w:r>
      <w:r>
        <w:rPr>
          <w:rFonts w:ascii="Arial" w:cs="Arial" w:eastAsia="Arial" w:hAnsi="Arial"/>
          <w:sz w:val="16"/>
          <w:szCs w:val="16"/>
          <w:color w:val="auto"/>
        </w:rPr>
        <w:t>” means an offer under the Plan of an option that may be exercised during an Offering Period as further described in Section</w:t>
      </w:r>
    </w:p>
    <w:p>
      <w:pPr>
        <w:spacing w:after="0" w:line="46" w:lineRule="exact"/>
        <w:rPr>
          <w:rFonts w:ascii="Arial" w:cs="Arial" w:eastAsia="Arial" w:hAnsi="Arial"/>
          <w:sz w:val="16"/>
          <w:szCs w:val="16"/>
          <w:color w:val="auto"/>
        </w:rPr>
      </w:pPr>
    </w:p>
    <w:p>
      <w:pPr>
        <w:jc w:val="both"/>
        <w:ind w:left="4" w:hanging="4"/>
        <w:spacing w:after="0" w:line="253" w:lineRule="auto"/>
        <w:tabs>
          <w:tab w:leader="none" w:pos="1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purposes of the Plan, the Administrator may designate separate Offerings under the Plan (the terms of which need not be identical) in which Employees of one or more Employers will participate, even if the dates of the applicable Offering Periods of each such Offering are identical and the provisions of the Plan will separately apply to each Offering. To the extent permitted by U.S. Treasury Regulation Section 1.423-2(a)(1), the terms of each Offering need not be identical provided that the terms of the Plan and an Offering together satisfy U.S. Treasury Regulation Section 1.423-2(a)(2) and (a)(3).</w:t>
      </w:r>
    </w:p>
    <w:p>
      <w:pPr>
        <w:spacing w:after="0" w:line="190" w:lineRule="exact"/>
        <w:rPr>
          <w:rFonts w:ascii="Arial" w:cs="Arial" w:eastAsia="Arial" w:hAnsi="Arial"/>
          <w:sz w:val="18"/>
          <w:szCs w:val="18"/>
          <w:color w:val="auto"/>
        </w:rPr>
      </w:pPr>
    </w:p>
    <w:p>
      <w:pPr>
        <w:ind w:left="904" w:hanging="256"/>
        <w:spacing w:after="0"/>
        <w:tabs>
          <w:tab w:leader="none" w:pos="904"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Date</w:t>
      </w:r>
      <w:r>
        <w:rPr>
          <w:rFonts w:ascii="Arial" w:cs="Arial" w:eastAsia="Arial" w:hAnsi="Arial"/>
          <w:sz w:val="18"/>
          <w:szCs w:val="18"/>
          <w:color w:val="auto"/>
        </w:rPr>
        <w:t>” means the first Trading Day of each Offering Period.</w:t>
      </w:r>
    </w:p>
    <w:p>
      <w:pPr>
        <w:spacing w:after="0" w:line="225" w:lineRule="exact"/>
        <w:rPr>
          <w:rFonts w:ascii="Arial" w:cs="Arial" w:eastAsia="Arial" w:hAnsi="Arial"/>
          <w:sz w:val="18"/>
          <w:szCs w:val="18"/>
          <w:color w:val="auto"/>
        </w:rPr>
      </w:pPr>
    </w:p>
    <w:p>
      <w:pPr>
        <w:jc w:val="both"/>
        <w:ind w:left="4" w:firstLine="644"/>
        <w:spacing w:after="0" w:line="263" w:lineRule="auto"/>
        <w:tabs>
          <w:tab w:leader="none" w:pos="947"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Periods</w:t>
      </w:r>
      <w:r>
        <w:rPr>
          <w:rFonts w:ascii="Arial" w:cs="Arial" w:eastAsia="Arial" w:hAnsi="Arial"/>
          <w:sz w:val="18"/>
          <w:szCs w:val="18"/>
          <w:color w:val="auto"/>
        </w:rPr>
        <w:t>” means the periods of approximately six (6) months during which an option granted pursuant to the Plan may be exercised, (i) commencing on the first Trading Day on or after May 31 and November 30 of each year and terminating on the first Trading Day on or after May 31 and November 30,</w:t>
      </w:r>
    </w:p>
    <w:p>
      <w:pPr>
        <w:spacing w:after="0" w:line="200" w:lineRule="exact"/>
        <w:rPr>
          <w:sz w:val="20"/>
          <w:szCs w:val="20"/>
          <w:color w:val="auto"/>
        </w:rPr>
      </w:pPr>
    </w:p>
    <w:p>
      <w:pPr>
        <w:spacing w:after="0" w:line="30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4"/>
          </w:cols>
          <w:pgMar w:left="976" w:top="1111"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approximately six (6) months later. The duration and timing of Offering Periods may be changed pursuant to Sections 4 and 20.</w:t>
      </w:r>
    </w:p>
    <w:p>
      <w:pPr>
        <w:spacing w:after="0" w:line="225" w:lineRule="exact"/>
        <w:rPr>
          <w:sz w:val="20"/>
          <w:szCs w:val="20"/>
          <w:color w:val="auto"/>
        </w:rPr>
      </w:pPr>
    </w:p>
    <w:p>
      <w:pPr>
        <w:ind w:left="1560" w:hanging="256"/>
        <w:spacing w:after="0"/>
        <w:tabs>
          <w:tab w:leader="none" w:pos="1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participates in the Plan.</w:t>
      </w:r>
    </w:p>
    <w:p>
      <w:pPr>
        <w:spacing w:after="0" w:line="103" w:lineRule="exact"/>
        <w:rPr>
          <w:rFonts w:ascii="Arial" w:cs="Arial" w:eastAsia="Arial" w:hAnsi="Arial"/>
          <w:sz w:val="18"/>
          <w:szCs w:val="18"/>
          <w:color w:val="auto"/>
        </w:rPr>
      </w:pPr>
    </w:p>
    <w:p>
      <w:pPr>
        <w:ind w:left="1540" w:hanging="236"/>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Fluidigm Corporation 2017 Employee Stock Purchase Plan.</w:t>
      </w:r>
    </w:p>
    <w:p>
      <w:pPr>
        <w:spacing w:after="0" w:line="225" w:lineRule="exact"/>
        <w:rPr>
          <w:sz w:val="20"/>
          <w:szCs w:val="20"/>
          <w:color w:val="auto"/>
        </w:rPr>
      </w:pPr>
    </w:p>
    <w:p>
      <w:pPr>
        <w:jc w:val="both"/>
        <w:ind w:left="660" w:firstLine="644"/>
        <w:spacing w:after="0" w:line="263" w:lineRule="auto"/>
        <w:tabs>
          <w:tab w:leader="none" w:pos="1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Period</w:t>
      </w:r>
      <w:r>
        <w:rPr>
          <w:rFonts w:ascii="Arial" w:cs="Arial" w:eastAsia="Arial" w:hAnsi="Arial"/>
          <w:sz w:val="18"/>
          <w:szCs w:val="18"/>
          <w:color w:val="auto"/>
        </w:rPr>
        <w:t>” means the period(s) of an Offering Period during which shares of Common Stock may be purchased on a Participant’s behalf in accordance with the terms of the Plan. Unless the Administrator provides otherwise, the Purchase Period will have the same duration and coincide with the length of the Offering Period.</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653"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an amount equal to eighty-five percent (85%) of the Fair Market Value of a share of Common Stock on the Offering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20.</w:t>
      </w:r>
    </w:p>
    <w:p>
      <w:pPr>
        <w:spacing w:after="0" w:line="186" w:lineRule="exact"/>
        <w:rPr>
          <w:rFonts w:ascii="Arial" w:cs="Arial" w:eastAsia="Arial" w:hAnsi="Arial"/>
          <w:sz w:val="18"/>
          <w:szCs w:val="18"/>
          <w:color w:val="auto"/>
        </w:rPr>
      </w:pPr>
    </w:p>
    <w:p>
      <w:pPr>
        <w:ind w:left="1620" w:hanging="316"/>
        <w:spacing w:after="0"/>
        <w:tabs>
          <w:tab w:leader="none" w:pos="1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w:t>
      </w:r>
    </w:p>
    <w:p>
      <w:pPr>
        <w:spacing w:after="0" w:line="236" w:lineRule="exact"/>
        <w:rPr>
          <w:rFonts w:ascii="Arial" w:cs="Arial" w:eastAsia="Arial" w:hAnsi="Arial"/>
          <w:sz w:val="17"/>
          <w:szCs w:val="17"/>
          <w:color w:val="auto"/>
        </w:rPr>
      </w:pPr>
    </w:p>
    <w:p>
      <w:pPr>
        <w:ind w:left="1640" w:hanging="336"/>
        <w:spacing w:after="0"/>
        <w:tabs>
          <w:tab w:leader="none" w:pos="16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 day on which the national stock exchange upon which the Common Stock is listed is open for trading.</w:t>
      </w:r>
    </w:p>
    <w:p>
      <w:pPr>
        <w:spacing w:after="0" w:line="236" w:lineRule="exact"/>
        <w:rPr>
          <w:rFonts w:ascii="Arial" w:cs="Arial" w:eastAsia="Arial" w:hAnsi="Arial"/>
          <w:sz w:val="17"/>
          <w:szCs w:val="17"/>
          <w:color w:val="auto"/>
        </w:rPr>
      </w:pPr>
    </w:p>
    <w:p>
      <w:pPr>
        <w:jc w:val="both"/>
        <w:ind w:left="660" w:firstLine="644"/>
        <w:spacing w:after="0" w:line="263" w:lineRule="auto"/>
        <w:tabs>
          <w:tab w:leader="none" w:pos="1633"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Treasury Regulations</w:t>
      </w:r>
      <w:r>
        <w:rPr>
          <w:rFonts w:ascii="Arial" w:cs="Arial" w:eastAsia="Arial" w:hAnsi="Arial"/>
          <w:sz w:val="18"/>
          <w:szCs w:val="18"/>
          <w:color w:val="auto"/>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4"/>
        <w:spacing w:after="0" w:line="277" w:lineRule="auto"/>
        <w:tabs>
          <w:tab w:leader="none" w:pos="1593"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Offering Periods</w:t>
      </w:r>
      <w:r>
        <w:rPr>
          <w:rFonts w:ascii="Arial" w:cs="Arial" w:eastAsia="Arial" w:hAnsi="Arial"/>
          <w:sz w:val="18"/>
          <w:szCs w:val="18"/>
          <w:color w:val="auto"/>
        </w:rPr>
        <w:t>. Any Eligible Employee on a given Offering Date will be eligible to participate in the Plan, subject to the requirements of Section 5.</w:t>
      </w:r>
    </w:p>
    <w:p>
      <w:pPr>
        <w:spacing w:after="0" w:line="170" w:lineRule="exact"/>
        <w:rPr>
          <w:rFonts w:ascii="Arial" w:cs="Arial" w:eastAsia="Arial" w:hAnsi="Arial"/>
          <w:sz w:val="18"/>
          <w:szCs w:val="18"/>
          <w:color w:val="auto"/>
        </w:rPr>
      </w:pPr>
    </w:p>
    <w:p>
      <w:pPr>
        <w:jc w:val="both"/>
        <w:ind w:left="660" w:firstLine="644"/>
        <w:spacing w:after="0" w:line="301" w:lineRule="auto"/>
        <w:tabs>
          <w:tab w:leader="none" w:pos="1563"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Non-U.S. Employees</w:t>
      </w:r>
      <w:r>
        <w:rPr>
          <w:rFonts w:ascii="Arial" w:cs="Arial" w:eastAsia="Arial" w:hAnsi="Arial"/>
          <w:sz w:val="16"/>
          <w:szCs w:val="16"/>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w:t>
      </w:r>
    </w:p>
    <w:p>
      <w:pPr>
        <w:spacing w:after="0" w:line="157" w:lineRule="exact"/>
        <w:rPr>
          <w:rFonts w:ascii="Arial" w:cs="Arial" w:eastAsia="Arial" w:hAnsi="Arial"/>
          <w:sz w:val="16"/>
          <w:szCs w:val="16"/>
          <w:color w:val="auto"/>
        </w:rPr>
      </w:pPr>
    </w:p>
    <w:p>
      <w:pPr>
        <w:jc w:val="both"/>
        <w:ind w:left="660" w:firstLine="644"/>
        <w:spacing w:after="0" w:line="270" w:lineRule="auto"/>
        <w:tabs>
          <w:tab w:leader="none" w:pos="1566"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Limitations</w:t>
      </w:r>
      <w:r>
        <w:rPr>
          <w:rFonts w:ascii="Arial" w:cs="Arial" w:eastAsia="Arial" w:hAnsi="Arial"/>
          <w:sz w:val="17"/>
          <w:szCs w:val="17"/>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180" w:lineRule="exact"/>
        <w:rPr>
          <w:rFonts w:ascii="Arial" w:cs="Arial" w:eastAsia="Arial" w:hAnsi="Arial"/>
          <w:sz w:val="17"/>
          <w:szCs w:val="17"/>
          <w:color w:val="auto"/>
        </w:rPr>
      </w:pPr>
    </w:p>
    <w:p>
      <w:pPr>
        <w:jc w:val="both"/>
        <w:ind w:firstLine="656"/>
        <w:spacing w:after="0" w:line="263"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Offering Periods</w:t>
      </w:r>
      <w:r>
        <w:rPr>
          <w:rFonts w:ascii="Arial" w:cs="Arial" w:eastAsia="Arial" w:hAnsi="Arial"/>
          <w:sz w:val="18"/>
          <w:szCs w:val="18"/>
          <w:color w:val="auto"/>
        </w:rPr>
        <w:t>. The Plan will be implemented by consecutive Offering Periods with a new Offering Period commencing on the first Trading Day on or after May 31 and November 30 each year, or on such other date as the Administrator will determine. The Administrator will have the power to change the duration of Offering Periods (including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11" w:right="33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commencement dates thereof) with respect to future Offerings without stockholder approval if such change is announced prior to the scheduled beginning of the first Offering Period to be affected thereafter.</w:t>
      </w:r>
    </w:p>
    <w:p>
      <w:pPr>
        <w:spacing w:after="0" w:line="170" w:lineRule="exact"/>
        <w:rPr>
          <w:sz w:val="20"/>
          <w:szCs w:val="20"/>
          <w:color w:val="auto"/>
        </w:rPr>
      </w:pPr>
    </w:p>
    <w:p>
      <w:pPr>
        <w:jc w:val="both"/>
        <w:ind w:firstLine="656"/>
        <w:spacing w:after="0" w:line="279" w:lineRule="auto"/>
        <w:tabs>
          <w:tab w:leader="none" w:pos="868"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Participation</w:t>
      </w:r>
      <w:r>
        <w:rPr>
          <w:rFonts w:ascii="Arial" w:cs="Arial" w:eastAsia="Arial" w:hAnsi="Arial"/>
          <w:sz w:val="17"/>
          <w:szCs w:val="17"/>
          <w:color w:val="auto"/>
        </w:rPr>
        <w:t xml:space="preserve">. An Eligible Employee may participate in the Plan pursuant to Section 3(a) by (i) submitting to the Company’s stock administration office (or its designee), on or before a date determined by the Administrator prior to an applicable Offering Date, a properly completed subscription agreement authorizing Contributions in the form provided by the Administrator for such purpose (which may be similar to the form attached to this Plan as </w:t>
      </w:r>
      <w:r>
        <w:rPr>
          <w:rFonts w:ascii="Arial" w:cs="Arial" w:eastAsia="Arial" w:hAnsi="Arial"/>
          <w:sz w:val="17"/>
          <w:szCs w:val="17"/>
          <w:u w:val="single" w:color="auto"/>
          <w:color w:val="auto"/>
        </w:rPr>
        <w:t>Exhibit A)</w:t>
      </w:r>
      <w:r>
        <w:rPr>
          <w:rFonts w:ascii="Arial" w:cs="Arial" w:eastAsia="Arial" w:hAnsi="Arial"/>
          <w:sz w:val="17"/>
          <w:szCs w:val="17"/>
          <w:color w:val="auto"/>
        </w:rPr>
        <w:t>, or (ii) following an electronic or other enrollment procedure determined by the Administrator.</w:t>
      </w:r>
    </w:p>
    <w:p>
      <w:pPr>
        <w:spacing w:after="0" w:line="171" w:lineRule="exact"/>
        <w:rPr>
          <w:rFonts w:ascii="Arial" w:cs="Arial" w:eastAsia="Arial" w:hAnsi="Arial"/>
          <w:sz w:val="17"/>
          <w:szCs w:val="17"/>
          <w:color w:val="auto"/>
        </w:rPr>
      </w:pPr>
    </w:p>
    <w:p>
      <w:pPr>
        <w:ind w:left="840" w:hanging="18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Contributions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79" w:lineRule="auto"/>
        <w:tabs>
          <w:tab w:leader="none" w:pos="1554" w:val="left"/>
        </w:tabs>
        <w:numPr>
          <w:ilvl w:val="1"/>
          <w:numId w:val="15"/>
        </w:numPr>
        <w:rPr>
          <w:rFonts w:ascii="Arial" w:cs="Arial" w:eastAsia="Arial" w:hAnsi="Arial"/>
          <w:sz w:val="17"/>
          <w:szCs w:val="17"/>
          <w:color w:val="auto"/>
        </w:rPr>
      </w:pPr>
      <w:r>
        <w:rPr>
          <w:rFonts w:ascii="Arial" w:cs="Arial" w:eastAsia="Arial" w:hAnsi="Arial"/>
          <w:sz w:val="17"/>
          <w:szCs w:val="17"/>
          <w:color w:val="auto"/>
        </w:rPr>
        <w:t>At the time a Participant enrolls in the Plan pursuant to Section 5, he or she will elect to have payroll deductions made on each pay day or other Contributions (to the extent permitted by the Administrator) made during the Offering Period in an amount not exceeding ten percent (10%) of the Compensation that he or she receives on each pay day during the Offering Period. A Participant’s subscription agreement will remain in effect for successive Offering Periods unless terminated as provided in Section 10 hereof.</w:t>
      </w:r>
    </w:p>
    <w:p>
      <w:pPr>
        <w:spacing w:after="0" w:line="171" w:lineRule="exact"/>
        <w:rPr>
          <w:rFonts w:ascii="Arial" w:cs="Arial" w:eastAsia="Arial" w:hAnsi="Arial"/>
          <w:sz w:val="17"/>
          <w:szCs w:val="17"/>
          <w:color w:val="auto"/>
        </w:rPr>
      </w:pPr>
    </w:p>
    <w:p>
      <w:pPr>
        <w:jc w:val="both"/>
        <w:ind w:left="660" w:firstLine="644"/>
        <w:spacing w:after="0" w:line="263" w:lineRule="auto"/>
        <w:tabs>
          <w:tab w:leader="none" w:pos="157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Payroll deductions for a Participant will commence on the first pay day following the Offering Date and will end on the last pay day prior to the Exercise Date of such Offering Period to which such authorization is applicable, unless sooner terminated by the Participant as provided in Section 10 hereof.</w:t>
      </w:r>
    </w:p>
    <w:p>
      <w:pPr>
        <w:spacing w:after="0" w:line="183" w:lineRule="exact"/>
        <w:rPr>
          <w:rFonts w:ascii="Arial" w:cs="Arial" w:eastAsia="Arial" w:hAnsi="Arial"/>
          <w:sz w:val="18"/>
          <w:szCs w:val="18"/>
          <w:color w:val="auto"/>
        </w:rPr>
      </w:pPr>
    </w:p>
    <w:p>
      <w:pPr>
        <w:ind w:left="660" w:firstLine="644"/>
        <w:spacing w:after="0" w:line="308" w:lineRule="auto"/>
        <w:tabs>
          <w:tab w:leader="none" w:pos="1551"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Contributions made for a Participant will be credited to his or her account under the Plan and payroll deductions will be made in whole percentages only. A Participant may not make any additional payments into such account, unless required by Applicable Law.</w:t>
      </w:r>
    </w:p>
    <w:p>
      <w:pPr>
        <w:spacing w:after="0" w:line="146" w:lineRule="exact"/>
        <w:rPr>
          <w:rFonts w:ascii="Arial" w:cs="Arial" w:eastAsia="Arial" w:hAnsi="Arial"/>
          <w:sz w:val="17"/>
          <w:szCs w:val="17"/>
          <w:color w:val="auto"/>
        </w:rPr>
      </w:pPr>
    </w:p>
    <w:p>
      <w:pPr>
        <w:jc w:val="both"/>
        <w:ind w:left="660" w:firstLine="644"/>
        <w:spacing w:after="0" w:line="263" w:lineRule="auto"/>
        <w:tabs>
          <w:tab w:leader="none" w:pos="157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Participant may discontinue his or her participation in the Plan as provided in Section 10. Unless otherwise determined by the Administrator, a Participant may not increase or decrease the rate of his or her Contributions during an Offering Period, except for a withdrawal in accordance with Section 10.</w:t>
      </w:r>
    </w:p>
    <w:p>
      <w:pPr>
        <w:spacing w:after="0" w:line="183" w:lineRule="exact"/>
        <w:rPr>
          <w:rFonts w:ascii="Arial" w:cs="Arial" w:eastAsia="Arial" w:hAnsi="Arial"/>
          <w:sz w:val="18"/>
          <w:szCs w:val="18"/>
          <w:color w:val="auto"/>
        </w:rPr>
      </w:pPr>
    </w:p>
    <w:p>
      <w:pPr>
        <w:jc w:val="both"/>
        <w:ind w:left="660" w:firstLine="644"/>
        <w:spacing w:after="0" w:line="279" w:lineRule="auto"/>
        <w:tabs>
          <w:tab w:leader="none" w:pos="1556" w:val="left"/>
        </w:tabs>
        <w:numPr>
          <w:ilvl w:val="1"/>
          <w:numId w:val="15"/>
        </w:numPr>
        <w:rPr>
          <w:rFonts w:ascii="Arial" w:cs="Arial" w:eastAsia="Arial" w:hAnsi="Arial"/>
          <w:sz w:val="17"/>
          <w:szCs w:val="17"/>
          <w:color w:val="auto"/>
        </w:rPr>
      </w:pPr>
      <w:r>
        <w:rPr>
          <w:rFonts w:ascii="Arial" w:cs="Arial" w:eastAsia="Arial" w:hAnsi="Arial"/>
          <w:sz w:val="17"/>
          <w:szCs w:val="17"/>
          <w:color w:val="auto"/>
        </w:rPr>
        <w:t>Notwithstanding the foregoing, to the extent necessary to comply with Section 423(b)(8) of the Code and Section 3(b), a Participant’s Contributions may be decreased to zero percent (0%) at any time during a Purchase Period. Subject to Section 423(b)(8) of the Code and Section 3(b)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71" w:lineRule="exact"/>
        <w:rPr>
          <w:rFonts w:ascii="Arial" w:cs="Arial" w:eastAsia="Arial" w:hAnsi="Arial"/>
          <w:sz w:val="17"/>
          <w:szCs w:val="17"/>
          <w:color w:val="auto"/>
        </w:rPr>
      </w:pPr>
    </w:p>
    <w:p>
      <w:pPr>
        <w:jc w:val="both"/>
        <w:ind w:left="660" w:firstLine="644"/>
        <w:spacing w:after="0" w:line="269" w:lineRule="auto"/>
        <w:tabs>
          <w:tab w:leader="none" w:pos="1543" w:val="left"/>
        </w:tabs>
        <w:numPr>
          <w:ilvl w:val="1"/>
          <w:numId w:val="15"/>
        </w:numPr>
        <w:rPr>
          <w:rFonts w:ascii="Arial" w:cs="Arial" w:eastAsia="Arial" w:hAnsi="Arial"/>
          <w:sz w:val="17"/>
          <w:szCs w:val="17"/>
          <w:color w:val="auto"/>
        </w:rPr>
      </w:pPr>
      <w:r>
        <w:rPr>
          <w:rFonts w:ascii="Arial" w:cs="Arial" w:eastAsia="Arial" w:hAnsi="Arial"/>
          <w:sz w:val="17"/>
          <w:szCs w:val="17"/>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insurance contributions,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or other payments made to Participant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 for Offerings under the Code Section 423 Plan Component.</w:t>
      </w:r>
    </w:p>
    <w:p>
      <w:pPr>
        <w:spacing w:after="0" w:line="181" w:lineRule="exact"/>
        <w:rPr>
          <w:rFonts w:ascii="Arial" w:cs="Arial" w:eastAsia="Arial" w:hAnsi="Arial"/>
          <w:sz w:val="17"/>
          <w:szCs w:val="17"/>
          <w:color w:val="auto"/>
        </w:rPr>
      </w:pPr>
    </w:p>
    <w:p>
      <w:pPr>
        <w:jc w:val="both"/>
        <w:ind w:firstLine="656"/>
        <w:spacing w:after="0" w:line="271" w:lineRule="auto"/>
        <w:tabs>
          <w:tab w:leader="none" w:pos="828"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On the Offering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and including such Exercise Date and retained in the Eligible Employee’s account as of the Exercise Date by the applicable Purchase Price; provided that in no event will an Eligible Employee be permitted to purchase during each Offering Period more than 5,000 shares of Common Stock (subject to any adjustment pursuant to Section 19) and provided further that such purchase will be subject to the limitations set forth in Sections 3(c) and 13. The Eligible Employee may accept the grant of such option by electing to participate in the Plan in accordance with the requirements of Section 5. The Administrator may, for future Offering Periods, increase or decrease, in its absolute discretion, the maximum number of shares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11" w:right="339" w:bottom="1440" w:gutter="0" w:footer="0" w:header="0"/>
        </w:sectPr>
      </w:pPr>
    </w:p>
    <w:bookmarkStart w:id="9" w:name="page10"/>
    <w:bookmarkEnd w:id="9"/>
    <w:p>
      <w:pPr>
        <w:spacing w:after="0" w:line="308" w:lineRule="auto"/>
        <w:rPr>
          <w:sz w:val="20"/>
          <w:szCs w:val="20"/>
          <w:color w:val="auto"/>
        </w:rPr>
      </w:pPr>
      <w:r>
        <w:rPr>
          <w:rFonts w:ascii="Arial" w:cs="Arial" w:eastAsia="Arial" w:hAnsi="Arial"/>
          <w:sz w:val="17"/>
          <w:szCs w:val="17"/>
          <w:color w:val="auto"/>
        </w:rPr>
        <w:t>of Common Stock that an Eligible Employee may purchase during each Purchase Period or Offering Period. Exercise of the option will occur as provided in Section 8, unless the Participant has withdrawn pursuant to Section 10. The option will expire on the last day of the Offering Period.</w:t>
      </w:r>
    </w:p>
    <w:p>
      <w:pPr>
        <w:spacing w:after="0" w:line="146" w:lineRule="exact"/>
        <w:rPr>
          <w:sz w:val="20"/>
          <w:szCs w:val="20"/>
          <w:color w:val="auto"/>
        </w:rPr>
      </w:pPr>
    </w:p>
    <w:p>
      <w:pPr>
        <w:ind w:left="840" w:hanging="18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73" w:lineRule="auto"/>
        <w:tabs>
          <w:tab w:leader="none" w:pos="1554" w:val="left"/>
        </w:tabs>
        <w:numPr>
          <w:ilvl w:val="1"/>
          <w:numId w:val="16"/>
        </w:numPr>
        <w:rPr>
          <w:rFonts w:ascii="Arial" w:cs="Arial" w:eastAsia="Arial" w:hAnsi="Arial"/>
          <w:sz w:val="17"/>
          <w:szCs w:val="17"/>
          <w:color w:val="auto"/>
        </w:rPr>
      </w:pPr>
      <w:r>
        <w:rPr>
          <w:rFonts w:ascii="Arial" w:cs="Arial" w:eastAsia="Arial" w:hAnsi="Arial"/>
          <w:sz w:val="17"/>
          <w:szCs w:val="17"/>
          <w:color w:val="auto"/>
        </w:rPr>
        <w:t>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returned to the Participant. Any other funds left over in a Participant’s account after the Exercise Date will be returned to the Participant. During a Participant’s lifetime, a Participant’s option to purchase shares hereunder is exercisable only by the Participant.</w:t>
      </w:r>
    </w:p>
    <w:p>
      <w:pPr>
        <w:spacing w:after="0" w:line="177" w:lineRule="exact"/>
        <w:rPr>
          <w:rFonts w:ascii="Arial" w:cs="Arial" w:eastAsia="Arial" w:hAnsi="Arial"/>
          <w:sz w:val="17"/>
          <w:szCs w:val="17"/>
          <w:color w:val="auto"/>
        </w:rPr>
      </w:pPr>
    </w:p>
    <w:p>
      <w:pPr>
        <w:jc w:val="both"/>
        <w:ind w:left="660" w:firstLine="644"/>
        <w:spacing w:after="0" w:line="289" w:lineRule="auto"/>
        <w:tabs>
          <w:tab w:leader="none" w:pos="1566"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the Administrator determines that, on a given Exercise Date, the number of shares of Common Stock with respect to which options are to be exercised may exceed (i) the number of shares of Common Stock that were available for sale under the Plan on the Offering Date of the applicable Offering Period, or (ii) the number of shares of Common Stock available for sale under the Plan on such Exercise Date, the Administrator may in its sole discretion provide that the Company will make a pro rata allocation of the shares of Common Stock available for purchase on such Offering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terminate any or all Offering Periods then in effect pursuant to Section 20. The Company may make a pro rata allocation of the shares available on the Offering Date of any applicable Offering Period pursuant to the preceding sentence, notwithstanding any authorization of additional shares for issuance under the Plan by the Company’s stockholders subsequent to such Offering Date.</w:t>
      </w:r>
    </w:p>
    <w:p>
      <w:pPr>
        <w:spacing w:after="0" w:line="166" w:lineRule="exact"/>
        <w:rPr>
          <w:rFonts w:ascii="Arial" w:cs="Arial" w:eastAsia="Arial" w:hAnsi="Arial"/>
          <w:sz w:val="16"/>
          <w:szCs w:val="16"/>
          <w:color w:val="auto"/>
        </w:rPr>
      </w:pPr>
    </w:p>
    <w:p>
      <w:pPr>
        <w:jc w:val="both"/>
        <w:ind w:firstLine="656"/>
        <w:spacing w:after="0" w:line="254" w:lineRule="auto"/>
        <w:tabs>
          <w:tab w:leader="none" w:pos="84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191" w:lineRule="exact"/>
        <w:rPr>
          <w:rFonts w:ascii="Arial" w:cs="Arial" w:eastAsia="Arial" w:hAnsi="Arial"/>
          <w:sz w:val="18"/>
          <w:szCs w:val="18"/>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69" w:lineRule="auto"/>
        <w:tabs>
          <w:tab w:leader="none" w:pos="1545" w:val="left"/>
        </w:tabs>
        <w:numPr>
          <w:ilvl w:val="1"/>
          <w:numId w:val="16"/>
        </w:numPr>
        <w:rPr>
          <w:rFonts w:ascii="Arial" w:cs="Arial" w:eastAsia="Arial" w:hAnsi="Arial"/>
          <w:sz w:val="17"/>
          <w:szCs w:val="17"/>
          <w:color w:val="auto"/>
        </w:rPr>
      </w:pPr>
      <w:r>
        <w:rPr>
          <w:rFonts w:ascii="Arial" w:cs="Arial" w:eastAsia="Arial" w:hAnsi="Arial"/>
          <w:sz w:val="17"/>
          <w:szCs w:val="17"/>
          <w:color w:val="auto"/>
        </w:rPr>
        <w:t xml:space="preserve">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to this Plan as </w:t>
      </w:r>
      <w:r>
        <w:rPr>
          <w:rFonts w:ascii="Arial" w:cs="Arial" w:eastAsia="Arial" w:hAnsi="Arial"/>
          <w:sz w:val="17"/>
          <w:szCs w:val="17"/>
          <w:u w:val="single" w:color="auto"/>
          <w:color w:val="auto"/>
        </w:rPr>
        <w:t>Exhibit B</w:t>
      </w:r>
      <w:r>
        <w:rPr>
          <w:rFonts w:ascii="Arial" w:cs="Arial" w:eastAsia="Arial" w:hAnsi="Arial"/>
          <w:sz w:val="17"/>
          <w:szCs w:val="17"/>
          <w:color w:val="auto"/>
        </w:rPr>
        <w:t>), or (ii) following an electronic or other withdrawal procedure determined by the Administrator, in each case, at least 10 days prior to the Exercise Date (the “</w:t>
      </w:r>
      <w:r>
        <w:rPr>
          <w:rFonts w:ascii="Arial" w:cs="Arial" w:eastAsia="Arial" w:hAnsi="Arial"/>
          <w:sz w:val="17"/>
          <w:szCs w:val="17"/>
          <w:u w:val="single" w:color="auto"/>
          <w:color w:val="auto"/>
        </w:rPr>
        <w:t>Withdrawal Deadline</w:t>
      </w:r>
      <w:r>
        <w:rPr>
          <w:rFonts w:ascii="Arial" w:cs="Arial" w:eastAsia="Arial" w:hAnsi="Arial"/>
          <w:sz w:val="17"/>
          <w:szCs w:val="17"/>
          <w:color w:val="auto"/>
        </w:rPr>
        <w:t>”). If a withdrawal under this Section 10(a) is not timely made prior to the Withdrawal Deadline, then the Participant’s option for the Offering Period will continue to be exercised on an Exercise Date.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85" w:lineRule="exact"/>
        <w:rPr>
          <w:rFonts w:ascii="Arial" w:cs="Arial" w:eastAsia="Arial" w:hAnsi="Arial"/>
          <w:sz w:val="17"/>
          <w:szCs w:val="17"/>
          <w:color w:val="auto"/>
        </w:rPr>
      </w:pPr>
    </w:p>
    <w:p>
      <w:pPr>
        <w:jc w:val="both"/>
        <w:ind w:left="660" w:firstLine="644"/>
        <w:spacing w:after="0" w:line="263" w:lineRule="auto"/>
        <w:tabs>
          <w:tab w:leader="none" w:pos="15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11"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Participant or, in the case of his or her death, to the person or persons entitled thereto under Section 15, and such Participant’s option will be automatically terminated.</w:t>
      </w:r>
    </w:p>
    <w:p>
      <w:pPr>
        <w:spacing w:after="0" w:line="170" w:lineRule="exact"/>
        <w:rPr>
          <w:sz w:val="20"/>
          <w:szCs w:val="20"/>
          <w:color w:val="auto"/>
        </w:rPr>
      </w:pPr>
    </w:p>
    <w:p>
      <w:pPr>
        <w:ind w:right="20" w:firstLine="656"/>
        <w:spacing w:after="0" w:line="342" w:lineRule="auto"/>
        <w:tabs>
          <w:tab w:leader="none" w:pos="918"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No interest will accrue on Contributions of a Participant in the Plan, except as may be required by Applicable Law, as determined by the Company, for Participants in the Non-423 Plan Component (or the Code Section 423 Plan Component if permitted under Section 423 of the Code).</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4"/>
        <w:spacing w:after="0" w:line="277" w:lineRule="auto"/>
        <w:tabs>
          <w:tab w:leader="none" w:pos="1575" w:val="left"/>
        </w:tabs>
        <w:numPr>
          <w:ilvl w:val="1"/>
          <w:numId w:val="17"/>
        </w:numPr>
        <w:rPr>
          <w:rFonts w:ascii="Arial" w:cs="Arial" w:eastAsia="Arial" w:hAnsi="Arial"/>
          <w:sz w:val="18"/>
          <w:szCs w:val="18"/>
          <w:color w:val="auto"/>
        </w:rPr>
      </w:pPr>
      <w:r>
        <w:rPr>
          <w:rFonts w:ascii="Arial" w:cs="Arial" w:eastAsia="Arial" w:hAnsi="Arial"/>
          <w:sz w:val="18"/>
          <w:szCs w:val="18"/>
          <w:color w:val="auto"/>
        </w:rPr>
        <w:t>Subject to adjustment upon changes in capitalization of the Company as provided in Section 19 hereof, the maximum number of shares of Common Stock that will be made available for sale under the Plan will be 4,000,000 shares of Common Stock.</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67" w:val="left"/>
        </w:tabs>
        <w:numPr>
          <w:ilvl w:val="1"/>
          <w:numId w:val="17"/>
        </w:numPr>
        <w:rPr>
          <w:rFonts w:ascii="Arial" w:cs="Arial" w:eastAsia="Arial" w:hAnsi="Arial"/>
          <w:sz w:val="18"/>
          <w:szCs w:val="18"/>
          <w:color w:val="auto"/>
        </w:rPr>
      </w:pPr>
      <w:r>
        <w:rPr>
          <w:rFonts w:ascii="Arial" w:cs="Arial" w:eastAsia="Arial" w:hAnsi="Arial"/>
          <w:sz w:val="18"/>
          <w:szCs w:val="18"/>
          <w:color w:val="auto"/>
        </w:rPr>
        <w:t>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spacing w:after="0" w:line="183" w:lineRule="exact"/>
        <w:rPr>
          <w:rFonts w:ascii="Arial" w:cs="Arial" w:eastAsia="Arial" w:hAnsi="Arial"/>
          <w:sz w:val="18"/>
          <w:szCs w:val="18"/>
          <w:color w:val="auto"/>
        </w:rPr>
      </w:pPr>
    </w:p>
    <w:p>
      <w:pPr>
        <w:ind w:left="660" w:firstLine="644"/>
        <w:spacing w:after="0" w:line="277" w:lineRule="auto"/>
        <w:tabs>
          <w:tab w:leader="none" w:pos="1569"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Shares of Common Stock to be delivered to a Participant under the Plan will be registered in the name of the Participant or in the name of the Participant and his or her spouse.</w:t>
      </w:r>
    </w:p>
    <w:p>
      <w:pPr>
        <w:spacing w:after="0" w:line="170" w:lineRule="exact"/>
        <w:rPr>
          <w:rFonts w:ascii="Arial" w:cs="Arial" w:eastAsia="Arial" w:hAnsi="Arial"/>
          <w:sz w:val="18"/>
          <w:szCs w:val="18"/>
          <w:color w:val="auto"/>
        </w:rPr>
      </w:pPr>
    </w:p>
    <w:p>
      <w:pPr>
        <w:jc w:val="both"/>
        <w:ind w:firstLine="656"/>
        <w:spacing w:after="0" w:line="268" w:lineRule="auto"/>
        <w:tabs>
          <w:tab w:leader="none" w:pos="91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designate separate Offerings under the Plan,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Section 13(a) hereof, but unless otherwise superseded by the terms of such sub-plan, the provisions of this Plan shall govern the operation of such sub-plan). Unless otherwise determined by the Administrator, the Employees eligible to participate in each sub-plan will participate in a separate Offering.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79" w:lineRule="exact"/>
        <w:rPr>
          <w:rFonts w:ascii="Arial" w:cs="Arial" w:eastAsia="Arial" w:hAnsi="Arial"/>
          <w:sz w:val="17"/>
          <w:szCs w:val="17"/>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55" w:lineRule="auto"/>
        <w:tabs>
          <w:tab w:leader="none" w:pos="15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192" w:lineRule="exact"/>
        <w:rPr>
          <w:rFonts w:ascii="Arial" w:cs="Arial" w:eastAsia="Arial" w:hAnsi="Arial"/>
          <w:sz w:val="18"/>
          <w:szCs w:val="18"/>
          <w:color w:val="auto"/>
        </w:rPr>
      </w:pPr>
    </w:p>
    <w:p>
      <w:pPr>
        <w:jc w:val="both"/>
        <w:ind w:left="660" w:firstLine="644"/>
        <w:spacing w:after="0" w:line="273" w:lineRule="auto"/>
        <w:tabs>
          <w:tab w:leader="none" w:pos="1571" w:val="left"/>
        </w:tabs>
        <w:numPr>
          <w:ilvl w:val="1"/>
          <w:numId w:val="17"/>
        </w:numPr>
        <w:rPr>
          <w:rFonts w:ascii="Arial" w:cs="Arial" w:eastAsia="Arial" w:hAnsi="Arial"/>
          <w:sz w:val="17"/>
          <w:szCs w:val="17"/>
          <w:color w:val="auto"/>
        </w:rPr>
      </w:pPr>
      <w:r>
        <w:rPr>
          <w:rFonts w:ascii="Arial" w:cs="Arial" w:eastAsia="Arial" w:hAnsi="Arial"/>
          <w:sz w:val="17"/>
          <w:szCs w:val="17"/>
          <w:color w:val="auto"/>
        </w:rPr>
        <w:t>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11" w:right="339" w:bottom="1440" w:gutter="0" w:footer="0" w:header="0"/>
        </w:sectPr>
      </w:pPr>
    </w:p>
    <w:bookmarkStart w:id="11" w:name="page12"/>
    <w:bookmarkEnd w:id="11"/>
    <w:p>
      <w:pPr>
        <w:jc w:val="both"/>
        <w:ind w:left="660" w:firstLine="644"/>
        <w:spacing w:after="0" w:line="257" w:lineRule="auto"/>
        <w:tabs>
          <w:tab w:leader="none" w:pos="15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Administrator may determine whether Participants may designate beneficiaries under the Plan. Notwithstanding Sections 15(a) and (b) above, the Company and/or the Administrator may decide not to permit such designations by Participants pursuant to Offerings under the Non-423 Plan Component, and for Offerings under the Code Section 423 Plan Component in non-U.S. jurisdictions to the extent permitted by U.S. Treasury Regulation Section 1.423-2(f). All beneficiary designations will be in such form and manner as the Administrator may designate from time to time.</w:t>
      </w:r>
    </w:p>
    <w:p>
      <w:pPr>
        <w:spacing w:after="0" w:line="187" w:lineRule="exact"/>
        <w:rPr>
          <w:rFonts w:ascii="Arial" w:cs="Arial" w:eastAsia="Arial" w:hAnsi="Arial"/>
          <w:sz w:val="18"/>
          <w:szCs w:val="18"/>
          <w:color w:val="auto"/>
        </w:rPr>
      </w:pPr>
    </w:p>
    <w:p>
      <w:pPr>
        <w:jc w:val="both"/>
        <w:ind w:firstLine="656"/>
        <w:spacing w:after="0" w:line="301" w:lineRule="auto"/>
        <w:tabs>
          <w:tab w:leader="none" w:pos="91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157" w:lineRule="exact"/>
        <w:rPr>
          <w:rFonts w:ascii="Arial" w:cs="Arial" w:eastAsia="Arial" w:hAnsi="Arial"/>
          <w:sz w:val="16"/>
          <w:szCs w:val="16"/>
          <w:color w:val="auto"/>
        </w:rPr>
      </w:pPr>
    </w:p>
    <w:p>
      <w:pPr>
        <w:jc w:val="both"/>
        <w:ind w:firstLine="656"/>
        <w:spacing w:after="0" w:line="286" w:lineRule="auto"/>
        <w:tabs>
          <w:tab w:leader="none" w:pos="918"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Use of Funds</w:t>
      </w:r>
      <w:r>
        <w:rPr>
          <w:rFonts w:ascii="Arial" w:cs="Arial" w:eastAsia="Arial" w:hAnsi="Arial"/>
          <w:sz w:val="17"/>
          <w:szCs w:val="17"/>
          <w:color w:val="auto"/>
        </w:rPr>
        <w:t>. The Company may use all Contributions received or held by it under the Plan for any corporate purpose, and the Company will not be obligated to segregate such Contributions, unless otherwise required by Applicable Laws, as determined by the Administrator. Until shares of Common Stock are issued, Participants will only have the rights of an unsecured creditor with respect to such shares.</w:t>
      </w:r>
    </w:p>
    <w:p>
      <w:pPr>
        <w:spacing w:after="0" w:line="165" w:lineRule="exact"/>
        <w:rPr>
          <w:rFonts w:ascii="Arial" w:cs="Arial" w:eastAsia="Arial" w:hAnsi="Arial"/>
          <w:sz w:val="17"/>
          <w:szCs w:val="17"/>
          <w:color w:val="auto"/>
        </w:rPr>
      </w:pPr>
    </w:p>
    <w:p>
      <w:pPr>
        <w:jc w:val="both"/>
        <w:ind w:firstLine="656"/>
        <w:spacing w:after="0" w:line="263" w:lineRule="auto"/>
        <w:tabs>
          <w:tab w:leader="none" w:pos="91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Adjustments, Dissolution, Liquidation, Merger or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72" w:lineRule="auto"/>
        <w:tabs>
          <w:tab w:leader="none" w:pos="1566"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w:t>
      </w:r>
    </w:p>
    <w:p>
      <w:pPr>
        <w:spacing w:after="0" w:line="177" w:lineRule="exact"/>
        <w:rPr>
          <w:rFonts w:ascii="Arial" w:cs="Arial" w:eastAsia="Arial" w:hAnsi="Arial"/>
          <w:sz w:val="17"/>
          <w:szCs w:val="17"/>
          <w:color w:val="auto"/>
        </w:rPr>
      </w:pPr>
    </w:p>
    <w:p>
      <w:pPr>
        <w:jc w:val="both"/>
        <w:ind w:left="660" w:firstLine="644"/>
        <w:spacing w:after="0" w:line="284" w:lineRule="auto"/>
        <w:tabs>
          <w:tab w:leader="none" w:pos="1590"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w:t>
      </w:r>
    </w:p>
    <w:p>
      <w:pPr>
        <w:spacing w:after="0" w:line="4" w:lineRule="exact"/>
        <w:rPr>
          <w:rFonts w:ascii="Arial" w:cs="Arial" w:eastAsia="Arial" w:hAnsi="Arial"/>
          <w:sz w:val="16"/>
          <w:szCs w:val="16"/>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hereof.</w:t>
      </w:r>
    </w:p>
    <w:p>
      <w:pPr>
        <w:spacing w:after="0" w:line="210" w:lineRule="exact"/>
        <w:rPr>
          <w:rFonts w:ascii="Arial" w:cs="Arial" w:eastAsia="Arial" w:hAnsi="Arial"/>
          <w:sz w:val="18"/>
          <w:szCs w:val="18"/>
          <w:color w:val="auto"/>
        </w:rPr>
      </w:pPr>
    </w:p>
    <w:p>
      <w:pPr>
        <w:jc w:val="both"/>
        <w:ind w:left="660" w:firstLine="644"/>
        <w:spacing w:after="0" w:line="284" w:lineRule="auto"/>
        <w:tabs>
          <w:tab w:leader="none" w:pos="1579"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Merger or Change in Control</w:t>
      </w:r>
      <w:r>
        <w:rPr>
          <w:rFonts w:ascii="Arial" w:cs="Arial" w:eastAsia="Arial" w:hAnsi="Arial"/>
          <w:sz w:val="16"/>
          <w:szCs w:val="16"/>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w:t>
      </w:r>
    </w:p>
    <w:p>
      <w:pPr>
        <w:spacing w:after="0" w:line="2" w:lineRule="exact"/>
        <w:rPr>
          <w:rFonts w:ascii="Arial" w:cs="Arial" w:eastAsia="Arial" w:hAnsi="Arial"/>
          <w:sz w:val="16"/>
          <w:szCs w:val="16"/>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hereof.</w:t>
      </w:r>
    </w:p>
    <w:p>
      <w:pPr>
        <w:spacing w:after="0" w:line="210" w:lineRule="exact"/>
        <w:rPr>
          <w:rFonts w:ascii="Arial" w:cs="Arial" w:eastAsia="Arial" w:hAnsi="Arial"/>
          <w:sz w:val="18"/>
          <w:szCs w:val="18"/>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301" w:lineRule="auto"/>
        <w:tabs>
          <w:tab w:leader="none" w:pos="1569"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11" w:right="339" w:bottom="1440" w:gutter="0" w:footer="0" w:header="0"/>
        </w:sectPr>
      </w:pPr>
    </w:p>
    <w:bookmarkStart w:id="12" w:name="page13"/>
    <w:bookmarkEnd w:id="12"/>
    <w:p>
      <w:pPr>
        <w:jc w:val="both"/>
        <w:ind w:left="660"/>
        <w:spacing w:after="0" w:line="263" w:lineRule="auto"/>
        <w:rPr>
          <w:sz w:val="20"/>
          <w:szCs w:val="20"/>
          <w:color w:val="auto"/>
        </w:rPr>
      </w:pPr>
      <w:r>
        <w:rPr>
          <w:rFonts w:ascii="Arial" w:cs="Arial" w:eastAsia="Arial" w:hAnsi="Arial"/>
          <w:sz w:val="18"/>
          <w:szCs w:val="18"/>
          <w:color w:val="auto"/>
        </w:rPr>
        <w:t>subject to any adjustment pursuant to Section 19). If the Offering Periods are terminated prior to expiration, all amounts then credited to Participants’ accounts that have not been used to purchase shares of Common Stock will be returned to the Participants (without interest thereon, , except as otherwise required by Applicable Laws) as soon as administratively practicable.</w:t>
      </w:r>
    </w:p>
    <w:p>
      <w:pPr>
        <w:spacing w:after="0" w:line="184" w:lineRule="exact"/>
        <w:rPr>
          <w:sz w:val="20"/>
          <w:szCs w:val="20"/>
          <w:color w:val="auto"/>
        </w:rPr>
      </w:pPr>
    </w:p>
    <w:p>
      <w:pPr>
        <w:jc w:val="both"/>
        <w:ind w:left="660" w:firstLine="644"/>
        <w:spacing w:after="0" w:line="291" w:lineRule="auto"/>
        <w:tabs>
          <w:tab w:leader="none" w:pos="1568" w:val="left"/>
        </w:tabs>
        <w:numPr>
          <w:ilvl w:val="0"/>
          <w:numId w:val="23"/>
        </w:numPr>
        <w:rPr>
          <w:rFonts w:ascii="Arial" w:cs="Arial" w:eastAsia="Arial" w:hAnsi="Arial"/>
          <w:sz w:val="16"/>
          <w:szCs w:val="16"/>
          <w:color w:val="auto"/>
        </w:rPr>
      </w:pPr>
      <w:r>
        <w:rPr>
          <w:rFonts w:ascii="Arial" w:cs="Arial" w:eastAsia="Arial" w:hAnsi="Arial"/>
          <w:sz w:val="16"/>
          <w:szCs w:val="16"/>
          <w:color w:val="auto"/>
        </w:rPr>
        <w:t>Without stockholder consent and without limiting Section 20(a),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66" w:lineRule="exact"/>
        <w:rPr>
          <w:rFonts w:ascii="Arial" w:cs="Arial" w:eastAsia="Arial" w:hAnsi="Arial"/>
          <w:sz w:val="16"/>
          <w:szCs w:val="16"/>
          <w:color w:val="auto"/>
        </w:rPr>
      </w:pPr>
    </w:p>
    <w:p>
      <w:pPr>
        <w:jc w:val="both"/>
        <w:ind w:left="660" w:firstLine="644"/>
        <w:spacing w:after="0" w:line="263" w:lineRule="auto"/>
        <w:tabs>
          <w:tab w:leader="none" w:pos="1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83" w:lineRule="exact"/>
        <w:rPr>
          <w:rFonts w:ascii="Arial" w:cs="Arial" w:eastAsia="Arial" w:hAnsi="Arial"/>
          <w:sz w:val="18"/>
          <w:szCs w:val="18"/>
          <w:color w:val="auto"/>
        </w:rPr>
      </w:pPr>
    </w:p>
    <w:p>
      <w:pPr>
        <w:ind w:left="1300" w:right="20" w:firstLine="652"/>
        <w:spacing w:after="0" w:line="342" w:lineRule="auto"/>
        <w:tabs>
          <w:tab w:leader="none" w:pos="2176" w:val="left"/>
        </w:tabs>
        <w:numPr>
          <w:ilvl w:val="1"/>
          <w:numId w:val="23"/>
        </w:numPr>
        <w:rPr>
          <w:rFonts w:ascii="Arial" w:cs="Arial" w:eastAsia="Arial" w:hAnsi="Arial"/>
          <w:sz w:val="16"/>
          <w:szCs w:val="16"/>
          <w:color w:val="auto"/>
        </w:rPr>
      </w:pPr>
      <w:r>
        <w:rPr>
          <w:rFonts w:ascii="Arial" w:cs="Arial" w:eastAsia="Arial" w:hAnsi="Arial"/>
          <w:sz w:val="16"/>
          <w:szCs w:val="16"/>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23" w:lineRule="exact"/>
        <w:rPr>
          <w:rFonts w:ascii="Arial" w:cs="Arial" w:eastAsia="Arial" w:hAnsi="Arial"/>
          <w:sz w:val="16"/>
          <w:szCs w:val="16"/>
          <w:color w:val="auto"/>
        </w:rPr>
      </w:pPr>
    </w:p>
    <w:p>
      <w:pPr>
        <w:ind w:left="1300" w:firstLine="652"/>
        <w:spacing w:after="0" w:line="277" w:lineRule="auto"/>
        <w:tabs>
          <w:tab w:leader="none" w:pos="22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altering the Purchase Price for any Offering Period or Purchase Period including an Offering Period or Purchase Period underway at the time of the change in Purchase Price;</w:t>
      </w:r>
    </w:p>
    <w:p>
      <w:pPr>
        <w:spacing w:after="0" w:line="170" w:lineRule="exact"/>
        <w:rPr>
          <w:rFonts w:ascii="Arial" w:cs="Arial" w:eastAsia="Arial" w:hAnsi="Arial"/>
          <w:sz w:val="18"/>
          <w:szCs w:val="18"/>
          <w:color w:val="auto"/>
        </w:rPr>
      </w:pPr>
    </w:p>
    <w:p>
      <w:pPr>
        <w:ind w:left="1300" w:firstLine="652"/>
        <w:spacing w:after="0" w:line="277" w:lineRule="auto"/>
        <w:tabs>
          <w:tab w:leader="none" w:pos="2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shortening any Offering Period or Purchase Period by setting a New Exercise Date, including an Offering Period or Purchase Period underway at the time of the Administrator action;</w:t>
      </w:r>
    </w:p>
    <w:p>
      <w:pPr>
        <w:spacing w:after="0" w:line="170" w:lineRule="exact"/>
        <w:rPr>
          <w:rFonts w:ascii="Arial" w:cs="Arial" w:eastAsia="Arial" w:hAnsi="Arial"/>
          <w:sz w:val="18"/>
          <w:szCs w:val="18"/>
          <w:color w:val="auto"/>
        </w:rPr>
      </w:pPr>
    </w:p>
    <w:p>
      <w:pPr>
        <w:ind w:left="2260" w:hanging="308"/>
        <w:spacing w:after="0"/>
        <w:tabs>
          <w:tab w:leader="none" w:pos="2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reducing the maximum percentage of Compensation a Participant may elect to set aside as Contributions; and</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reducing the maximum number of Shares a Participant may purchase during any Offering Period or Purchase Period.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modifications or amendments will not require stockholder approval or the consent of any Plan Participants.</w:t>
      </w:r>
    </w:p>
    <w:p>
      <w:pPr>
        <w:spacing w:after="0" w:line="225" w:lineRule="exact"/>
        <w:rPr>
          <w:sz w:val="20"/>
          <w:szCs w:val="20"/>
          <w:color w:val="auto"/>
        </w:rPr>
      </w:pPr>
    </w:p>
    <w:p>
      <w:pPr>
        <w:jc w:val="both"/>
        <w:ind w:firstLine="656"/>
        <w:spacing w:after="0" w:line="263" w:lineRule="auto"/>
        <w:tabs>
          <w:tab w:leader="none" w:pos="91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83" w:lineRule="exact"/>
        <w:rPr>
          <w:rFonts w:ascii="Arial" w:cs="Arial" w:eastAsia="Arial" w:hAnsi="Arial"/>
          <w:sz w:val="18"/>
          <w:szCs w:val="18"/>
          <w:color w:val="auto"/>
        </w:rPr>
      </w:pPr>
    </w:p>
    <w:p>
      <w:pPr>
        <w:jc w:val="both"/>
        <w:ind w:firstLine="656"/>
        <w:spacing w:after="0" w:line="257" w:lineRule="auto"/>
        <w:tabs>
          <w:tab w:leader="none" w:pos="91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5" w:lineRule="exact"/>
        <w:rPr>
          <w:sz w:val="20"/>
          <w:szCs w:val="20"/>
          <w:color w:val="auto"/>
        </w:rPr>
      </w:pPr>
    </w:p>
    <w:p>
      <w:pPr>
        <w:jc w:val="both"/>
        <w:ind w:firstLine="656"/>
        <w:spacing w:after="0" w:line="296" w:lineRule="auto"/>
        <w:tabs>
          <w:tab w:leader="none" w:pos="945"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xml:space="preserve"> The Code Section 423 Plan Component is exempt from the application of Code Section 409A. The Non-423 Plan Component is intended to be exempt from Code Section 409A under the short-term deferral exception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11" w:right="339" w:bottom="1440" w:gutter="0" w:footer="0" w:header="0"/>
        </w:sectPr>
      </w:pPr>
    </w:p>
    <w:bookmarkStart w:id="13" w:name="page14"/>
    <w:bookmarkEnd w:id="13"/>
    <w:p>
      <w:pPr>
        <w:jc w:val="both"/>
        <w:spacing w:after="0" w:line="293" w:lineRule="auto"/>
        <w:rPr>
          <w:sz w:val="20"/>
          <w:szCs w:val="20"/>
          <w:color w:val="auto"/>
        </w:rPr>
      </w:pPr>
      <w:r>
        <w:rPr>
          <w:rFonts w:ascii="Arial" w:cs="Arial" w:eastAsia="Arial" w:hAnsi="Arial"/>
          <w:sz w:val="16"/>
          <w:szCs w:val="16"/>
          <w:color w:val="auto"/>
        </w:rPr>
        <w:t>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 Section 409A, but only to the extent any such amendments or action by the Administrator would not violate Code Section 409A. Notwithstanding the foregoing, the Company shall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164" w:lineRule="exact"/>
        <w:rPr>
          <w:sz w:val="20"/>
          <w:szCs w:val="20"/>
          <w:color w:val="auto"/>
        </w:rPr>
      </w:pPr>
    </w:p>
    <w:p>
      <w:pPr>
        <w:ind w:firstLine="656"/>
        <w:spacing w:after="0" w:line="277" w:lineRule="auto"/>
        <w:tabs>
          <w:tab w:leader="none" w:pos="93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will become effective upon its adoption by the Board or its approval by the stockholders of the Company. It will continue in effect until terminated under Section 20.</w:t>
      </w:r>
    </w:p>
    <w:p>
      <w:pPr>
        <w:spacing w:after="0" w:line="170" w:lineRule="exact"/>
        <w:rPr>
          <w:rFonts w:ascii="Arial" w:cs="Arial" w:eastAsia="Arial" w:hAnsi="Arial"/>
          <w:sz w:val="18"/>
          <w:szCs w:val="18"/>
          <w:color w:val="auto"/>
        </w:rPr>
      </w:pPr>
    </w:p>
    <w:p>
      <w:pPr>
        <w:ind w:firstLine="656"/>
        <w:spacing w:after="0" w:line="308" w:lineRule="auto"/>
        <w:tabs>
          <w:tab w:leader="none" w:pos="918"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46" w:lineRule="exact"/>
        <w:rPr>
          <w:rFonts w:ascii="Arial" w:cs="Arial" w:eastAsia="Arial" w:hAnsi="Arial"/>
          <w:sz w:val="17"/>
          <w:szCs w:val="17"/>
          <w:color w:val="auto"/>
        </w:rPr>
      </w:pPr>
    </w:p>
    <w:p>
      <w:pPr>
        <w:jc w:val="both"/>
        <w:ind w:firstLine="656"/>
        <w:spacing w:after="0" w:line="301" w:lineRule="auto"/>
        <w:tabs>
          <w:tab w:leader="none" w:pos="918"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 The Plan and all determinations made and actions taken thereunder shall be governed by the internal substantive laws, and not the choice of law rules, of the State of California, United States and construed accordingly, to the extent not superseded by applicable U.S. federal law. If any provision of the Plan shall be held unlawful or otherwise invalid or unenforceable in whole or in part, the unlawfulness, invalidity or unenforceability shall not affect any other provision of the Plan or part thereof, each of which shall remain in full force and effect.</w:t>
      </w:r>
    </w:p>
    <w:p>
      <w:pPr>
        <w:spacing w:after="0" w:line="157" w:lineRule="exact"/>
        <w:rPr>
          <w:rFonts w:ascii="Arial" w:cs="Arial" w:eastAsia="Arial" w:hAnsi="Arial"/>
          <w:sz w:val="16"/>
          <w:szCs w:val="16"/>
          <w:color w:val="auto"/>
        </w:rPr>
      </w:pPr>
    </w:p>
    <w:p>
      <w:pPr>
        <w:jc w:val="both"/>
        <w:ind w:firstLine="656"/>
        <w:spacing w:after="0" w:line="263" w:lineRule="auto"/>
        <w:tabs>
          <w:tab w:leader="none" w:pos="91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Services</w:t>
      </w:r>
      <w:r>
        <w:rPr>
          <w:rFonts w:ascii="Arial" w:cs="Arial" w:eastAsia="Arial" w:hAnsi="Arial"/>
          <w:sz w:val="18"/>
          <w:szCs w:val="18"/>
          <w:color w:val="auto"/>
        </w:rPr>
        <w:t>. Nothing in the Plan or any subscription agreement shall interfere with or limit in any way the right of the Employer to terminate any Participant’s employment at any time, provided in compliance with applicable laws, nor confer upon any Participant any right to continue in the employ of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1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EMPLOYEE STOCK PURCHASE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189" w:lineRule="exact"/>
        <w:rPr>
          <w:sz w:val="20"/>
          <w:szCs w:val="20"/>
          <w:color w:val="auto"/>
        </w:rPr>
      </w:pPr>
    </w:p>
    <w:p>
      <w:pPr>
        <w:jc w:val="center"/>
        <w:ind w:left="1480"/>
        <w:spacing w:after="0"/>
        <w:rPr>
          <w:sz w:val="20"/>
          <w:szCs w:val="20"/>
          <w:color w:val="auto"/>
        </w:rPr>
      </w:pPr>
      <w:r>
        <w:rPr>
          <w:rFonts w:ascii="Arial" w:cs="Arial" w:eastAsia="Arial" w:hAnsi="Arial"/>
          <w:sz w:val="18"/>
          <w:szCs w:val="18"/>
          <w:color w:val="auto"/>
        </w:rPr>
        <w:t>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-10160</wp:posOffset>
            </wp:positionV>
            <wp:extent cx="857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firstLine="656"/>
        <w:spacing w:after="0" w:line="277" w:lineRule="auto"/>
        <w:tabs>
          <w:tab w:leader="none" w:pos="12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____________________ hereby elect to participate in the Fluidigm Corporation 2017 Employee Stock Purchase Plan (the “</w:t>
      </w:r>
      <w:r>
        <w:rPr>
          <w:rFonts w:ascii="Arial" w:cs="Arial" w:eastAsia="Arial" w:hAnsi="Arial"/>
          <w:sz w:val="18"/>
          <w:szCs w:val="18"/>
          <w:u w:val="single" w:color="auto"/>
          <w:color w:val="auto"/>
        </w:rPr>
        <w:t>Plan</w:t>
      </w:r>
      <w:r>
        <w:rPr>
          <w:rFonts w:ascii="Arial" w:cs="Arial" w:eastAsia="Arial" w:hAnsi="Arial"/>
          <w:sz w:val="18"/>
          <w:szCs w:val="18"/>
          <w:color w:val="auto"/>
        </w:rPr>
        <w:t>”) and subscribe to purchase shares of the Company’s Common Stock in accordance with this Subscription Agreement and the Plan.</w:t>
      </w:r>
    </w:p>
    <w:p>
      <w:pPr>
        <w:spacing w:after="0" w:line="129" w:lineRule="exact"/>
        <w:rPr>
          <w:rFonts w:ascii="Arial" w:cs="Arial" w:eastAsia="Arial" w:hAnsi="Arial"/>
          <w:sz w:val="18"/>
          <w:szCs w:val="18"/>
          <w:color w:val="auto"/>
        </w:rPr>
      </w:pPr>
    </w:p>
    <w:p>
      <w:pPr>
        <w:ind w:right="20" w:firstLine="656"/>
        <w:spacing w:after="0" w:line="277" w:lineRule="auto"/>
        <w:tabs>
          <w:tab w:leader="none" w:pos="8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hereby authorize payroll deductions from each paycheck in the amount of ____% of my Compensation on each payday (from 0 to 10%) during the Offering Period in accordance with the Plan. (Please note that no fractional percentages are permitted.)</w:t>
      </w:r>
    </w:p>
    <w:p>
      <w:pPr>
        <w:spacing w:after="0" w:line="129" w:lineRule="exact"/>
        <w:rPr>
          <w:rFonts w:ascii="Arial" w:cs="Arial" w:eastAsia="Arial" w:hAnsi="Arial"/>
          <w:sz w:val="18"/>
          <w:szCs w:val="18"/>
          <w:color w:val="auto"/>
        </w:rPr>
      </w:pPr>
    </w:p>
    <w:p>
      <w:pPr>
        <w:jc w:val="both"/>
        <w:ind w:firstLine="656"/>
        <w:spacing w:after="0" w:line="263" w:lineRule="auto"/>
        <w:tabs>
          <w:tab w:leader="none" w:pos="8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w:t>
      </w:r>
    </w:p>
    <w:p>
      <w:pPr>
        <w:spacing w:after="0" w:line="156" w:lineRule="exact"/>
        <w:rPr>
          <w:rFonts w:ascii="Arial" w:cs="Arial" w:eastAsia="Arial" w:hAnsi="Arial"/>
          <w:sz w:val="18"/>
          <w:szCs w:val="18"/>
          <w:color w:val="auto"/>
        </w:rPr>
      </w:pPr>
    </w:p>
    <w:p>
      <w:pPr>
        <w:ind w:firstLine="656"/>
        <w:spacing w:after="0" w:line="277" w:lineRule="auto"/>
        <w:tabs>
          <w:tab w:leader="none" w:pos="8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received a copy of the complete Plan and its accompanying prospectus. I understand that my participation in the Plan is in all respects subject to the terms of the Plan.</w:t>
      </w:r>
    </w:p>
    <w:p>
      <w:pPr>
        <w:spacing w:after="0" w:line="129" w:lineRule="exact"/>
        <w:rPr>
          <w:rFonts w:ascii="Arial" w:cs="Arial" w:eastAsia="Arial" w:hAnsi="Arial"/>
          <w:sz w:val="18"/>
          <w:szCs w:val="18"/>
          <w:color w:val="auto"/>
        </w:rPr>
      </w:pPr>
    </w:p>
    <w:p>
      <w:pPr>
        <w:ind w:right="20" w:firstLine="656"/>
        <w:spacing w:after="0" w:line="277" w:lineRule="auto"/>
        <w:tabs>
          <w:tab w:leader="none" w:pos="829"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of Common Stock purchased for me under the Plan should be issued in the name(s) of _______________ (Eligible Employee or Eligible Employee and Spouse only).</w:t>
      </w:r>
    </w:p>
    <w:p>
      <w:pPr>
        <w:spacing w:after="0" w:line="129" w:lineRule="exact"/>
        <w:rPr>
          <w:rFonts w:ascii="Arial" w:cs="Arial" w:eastAsia="Arial" w:hAnsi="Arial"/>
          <w:sz w:val="18"/>
          <w:szCs w:val="18"/>
          <w:color w:val="auto"/>
        </w:rPr>
      </w:pPr>
    </w:p>
    <w:p>
      <w:pPr>
        <w:jc w:val="both"/>
        <w:ind w:firstLine="656"/>
        <w:spacing w:after="0" w:line="287" w:lineRule="auto"/>
        <w:tabs>
          <w:tab w:leader="none" w:pos="8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Arial" w:cs="Arial" w:eastAsia="Arial" w:hAnsi="Arial"/>
          <w:sz w:val="16"/>
          <w:szCs w:val="16"/>
          <w:b w:val="1"/>
          <w:bCs w:val="1"/>
          <w:color w:val="auto"/>
        </w:rPr>
        <w:t>I hereby agree to notify the Company in writing within thirty (30) days after the date of any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disposition of my shares and I will make adequate provision for Federal, state or other tax withholding obligations, if any, which arise upon the disposition of the Common Stock. </w:t>
      </w:r>
      <w:r>
        <w:rPr>
          <w:rFonts w:ascii="Arial" w:cs="Arial" w:eastAsia="Arial" w:hAnsi="Arial"/>
          <w:sz w:val="16"/>
          <w:szCs w:val="16"/>
          <w:color w:val="auto"/>
        </w:rPr>
        <w:t>The Company may, but will not be obligated to, withhold from my compensation the amount necessary to meet any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withholding obligation including any withholding necessary to make available to the Company any tax deductions or benefits attributable to sale or early disposition of Common Stock by me. If I dispose of such shares at any time after the expiration of the two (2)-year and one (1)-year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w:t>
      </w:r>
    </w:p>
    <w:p>
      <w:pPr>
        <w:spacing w:after="0" w:line="140" w:lineRule="exact"/>
        <w:rPr>
          <w:rFonts w:ascii="Arial" w:cs="Arial" w:eastAsia="Arial" w:hAnsi="Arial"/>
          <w:sz w:val="16"/>
          <w:szCs w:val="16"/>
          <w:color w:val="auto"/>
        </w:rPr>
      </w:pPr>
    </w:p>
    <w:p>
      <w:pPr>
        <w:ind w:firstLine="656"/>
        <w:spacing w:after="0" w:line="277" w:lineRule="auto"/>
        <w:tabs>
          <w:tab w:leader="none" w:pos="8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hereby agree to be bound by the terms of the Plan. The effectiveness of this Subscription Agreement is dependent upon my eligibility to participate in the Plan.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Employee’s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2142490</wp:posOffset>
            </wp:positionH>
            <wp:positionV relativeFrom="paragraph">
              <wp:posOffset>-10160</wp:posOffset>
            </wp:positionV>
            <wp:extent cx="2000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-10160</wp:posOffset>
            </wp:positionV>
            <wp:extent cx="2286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246380</wp:posOffset>
            </wp:positionV>
            <wp:extent cx="2286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 UNDERSTAND THAT THIS SUBSCRIPTION AGREEMENT WILL REMAIN IN EFFECT THROUGHOUT SUCCESSIVE OFFERING PERIODS UNLESS TERMINATED BY 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-10160</wp:posOffset>
            </wp:positionV>
            <wp:extent cx="1143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Signature of Employee</w:t>
      </w:r>
    </w:p>
    <w:p>
      <w:pPr>
        <w:sectPr>
          <w:pgSz w:w="11900" w:h="16838" w:orient="portrait"/>
          <w:cols w:equalWidth="0" w:num="1">
            <w:col w:w="11240"/>
          </w:cols>
          <w:pgMar w:left="320" w:top="109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EMPLOYEE STOCK PURCHASE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participant in the Offering Period of the Fluidigm Corporation 2017 Employee Stock Purchase Plan that began 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____________, ________ (the “</w:t>
      </w:r>
      <w:r>
        <w:rPr>
          <w:rFonts w:ascii="Arial" w:cs="Arial" w:eastAsia="Arial" w:hAnsi="Arial"/>
          <w:sz w:val="17"/>
          <w:szCs w:val="17"/>
          <w:u w:val="single" w:color="auto"/>
          <w:color w:val="auto"/>
        </w:rPr>
        <w:t>Enrollment Date</w:t>
      </w:r>
      <w:r>
        <w:rPr>
          <w:rFonts w:ascii="Arial" w:cs="Arial" w:eastAsia="Arial" w:hAnsi="Arial"/>
          <w:sz w:val="17"/>
          <w:szCs w:val="17"/>
          <w:color w:val="auto"/>
        </w:rPr>
        <w:t>”) hereby notifies the Company that he or she hereby withdraws from the Offering Period. He or she</w:t>
      </w:r>
    </w:p>
    <w:p>
      <w:pPr>
        <w:spacing w:after="0" w:line="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hereby directs the Company to pay to the undersigned as promptly as practicable all the payroll deductions credited to his or her account with respect to such Offering Period. The undersigned understands and agrees that his or her option for such Offering Period will be automatically terminated.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263525</wp:posOffset>
            </wp:positionV>
            <wp:extent cx="257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537845</wp:posOffset>
            </wp:positionV>
            <wp:extent cx="257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812165</wp:posOffset>
            </wp:positionV>
            <wp:extent cx="257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240"/>
          </w:cols>
          <w:pgMar w:left="320" w:top="891"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72"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FLUIDIGM CORPORATION</w:t>
      </w:r>
    </w:p>
    <w:p>
      <w:pPr>
        <w:spacing w:after="0" w:line="189"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2011 EQUITY INCENTIVE PLAN</w:t>
      </w:r>
    </w:p>
    <w:p>
      <w:pPr>
        <w:spacing w:after="0" w:line="211"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(as amended and restated effective June 3, 2019,</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and as further amended effective June 23, 2020)</w:t>
      </w:r>
    </w:p>
    <w:p>
      <w:pPr>
        <w:spacing w:after="0" w:line="238" w:lineRule="exact"/>
        <w:rPr>
          <w:sz w:val="20"/>
          <w:szCs w:val="20"/>
          <w:color w:val="auto"/>
        </w:rPr>
      </w:pPr>
    </w:p>
    <w:p>
      <w:pPr>
        <w:jc w:val="both"/>
        <w:ind w:firstLine="656"/>
        <w:spacing w:after="0" w:line="259" w:lineRule="auto"/>
        <w:tabs>
          <w:tab w:leader="none" w:pos="129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 (a) to attract and retain the best available personnel for positions of substantial responsibility, (b) 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w:t>
      </w:r>
    </w:p>
    <w:p>
      <w:pPr>
        <w:spacing w:after="0" w:line="173" w:lineRule="exact"/>
        <w:rPr>
          <w:rFonts w:ascii="Arial" w:cs="Arial" w:eastAsia="Arial" w:hAnsi="Arial"/>
          <w:sz w:val="18"/>
          <w:szCs w:val="18"/>
          <w:color w:val="auto"/>
        </w:rPr>
      </w:pPr>
    </w:p>
    <w:p>
      <w:pPr>
        <w:ind w:left="840" w:hanging="184"/>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198" w:lineRule="exact"/>
        <w:rPr>
          <w:rFonts w:ascii="Arial" w:cs="Arial" w:eastAsia="Arial" w:hAnsi="Arial"/>
          <w:sz w:val="18"/>
          <w:szCs w:val="18"/>
          <w:color w:val="auto"/>
        </w:rPr>
      </w:pPr>
    </w:p>
    <w:p>
      <w:pPr>
        <w:ind w:left="1540" w:hanging="236"/>
        <w:spacing w:after="0"/>
        <w:tabs>
          <w:tab w:leader="none" w:pos="15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of its Committees as may administer the Plan in accordance with Section 4 hereof.</w:t>
      </w:r>
    </w:p>
    <w:p>
      <w:pPr>
        <w:spacing w:after="0" w:line="223" w:lineRule="exact"/>
        <w:rPr>
          <w:rFonts w:ascii="Arial" w:cs="Arial" w:eastAsia="Arial" w:hAnsi="Arial"/>
          <w:sz w:val="17"/>
          <w:szCs w:val="17"/>
          <w:color w:val="auto"/>
        </w:rPr>
      </w:pPr>
    </w:p>
    <w:p>
      <w:pPr>
        <w:ind w:left="1560" w:hanging="256"/>
        <w:spacing w:after="0"/>
        <w:tabs>
          <w:tab w:leader="none" w:pos="15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means June 23, 2020.</w:t>
      </w:r>
    </w:p>
    <w:p>
      <w:pPr>
        <w:spacing w:after="0" w:line="211" w:lineRule="exact"/>
        <w:rPr>
          <w:rFonts w:ascii="Arial" w:cs="Arial" w:eastAsia="Arial" w:hAnsi="Arial"/>
          <w:sz w:val="18"/>
          <w:szCs w:val="18"/>
          <w:color w:val="auto"/>
        </w:rPr>
      </w:pPr>
    </w:p>
    <w:p>
      <w:pPr>
        <w:jc w:val="both"/>
        <w:ind w:left="660" w:firstLine="644"/>
        <w:spacing w:after="0" w:line="286" w:lineRule="auto"/>
        <w:tabs>
          <w:tab w:leader="none" w:pos="1553" w:val="left"/>
        </w:tabs>
        <w:numPr>
          <w:ilvl w:val="1"/>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Laws</w:t>
      </w:r>
      <w:r>
        <w:rPr>
          <w:rFonts w:ascii="Arial" w:cs="Arial" w:eastAsia="Arial" w:hAnsi="Arial"/>
          <w:sz w:val="17"/>
          <w:szCs w:val="17"/>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38" w:lineRule="exact"/>
        <w:rPr>
          <w:rFonts w:ascii="Arial" w:cs="Arial" w:eastAsia="Arial" w:hAnsi="Arial"/>
          <w:sz w:val="17"/>
          <w:szCs w:val="17"/>
          <w:color w:val="auto"/>
        </w:rPr>
      </w:pPr>
    </w:p>
    <w:p>
      <w:pPr>
        <w:ind w:left="660" w:firstLine="644"/>
        <w:spacing w:after="0" w:line="277" w:lineRule="auto"/>
        <w:tabs>
          <w:tab w:leader="none" w:pos="1603"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Performance Units or Performance Shares.</w:t>
      </w:r>
    </w:p>
    <w:p>
      <w:pPr>
        <w:spacing w:after="0" w:line="156" w:lineRule="exact"/>
        <w:rPr>
          <w:rFonts w:ascii="Arial" w:cs="Arial" w:eastAsia="Arial" w:hAnsi="Arial"/>
          <w:sz w:val="18"/>
          <w:szCs w:val="18"/>
          <w:color w:val="auto"/>
        </w:rPr>
      </w:pPr>
    </w:p>
    <w:p>
      <w:pPr>
        <w:ind w:left="660" w:firstLine="644"/>
        <w:spacing w:after="0" w:line="277" w:lineRule="auto"/>
        <w:tabs>
          <w:tab w:leader="none" w:pos="15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56" w:lineRule="exact"/>
        <w:rPr>
          <w:rFonts w:ascii="Arial" w:cs="Arial" w:eastAsia="Arial" w:hAnsi="Arial"/>
          <w:sz w:val="18"/>
          <w:szCs w:val="18"/>
          <w:color w:val="auto"/>
        </w:rPr>
      </w:pPr>
    </w:p>
    <w:p>
      <w:pPr>
        <w:ind w:left="1520" w:hanging="216"/>
        <w:spacing w:after="0"/>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98" w:lineRule="exact"/>
        <w:rPr>
          <w:rFonts w:ascii="Arial" w:cs="Arial" w:eastAsia="Arial" w:hAnsi="Arial"/>
          <w:sz w:val="18"/>
          <w:szCs w:val="18"/>
          <w:color w:val="auto"/>
        </w:rPr>
      </w:pPr>
    </w:p>
    <w:p>
      <w:pPr>
        <w:ind w:left="1560" w:hanging="256"/>
        <w:spacing w:after="0"/>
        <w:tabs>
          <w:tab w:leader="none" w:pos="15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11" w:lineRule="exact"/>
        <w:rPr>
          <w:rFonts w:ascii="Arial" w:cs="Arial" w:eastAsia="Arial" w:hAnsi="Arial"/>
          <w:sz w:val="18"/>
          <w:szCs w:val="18"/>
          <w:color w:val="auto"/>
        </w:rPr>
      </w:pPr>
    </w:p>
    <w:p>
      <w:pPr>
        <w:jc w:val="both"/>
        <w:ind w:left="1300" w:firstLine="652"/>
        <w:spacing w:after="0" w:line="257" w:lineRule="auto"/>
        <w:tabs>
          <w:tab w:leader="none" w:pos="2153" w:val="left"/>
        </w:tabs>
        <w:numPr>
          <w:ilvl w:val="2"/>
          <w:numId w:val="28"/>
        </w:numPr>
        <w:rPr>
          <w:rFonts w:ascii="Arial" w:cs="Arial" w:eastAsia="Arial" w:hAnsi="Arial"/>
          <w:sz w:val="18"/>
          <w:szCs w:val="18"/>
          <w:color w:val="auto"/>
        </w:rPr>
      </w:pPr>
      <w:r>
        <w:rPr>
          <w:rFonts w:ascii="Arial" w:cs="Arial" w:eastAsia="Arial" w:hAnsi="Arial"/>
          <w:sz w:val="18"/>
          <w:szCs w:val="18"/>
          <w:color w:val="auto"/>
        </w:rPr>
        <w:t>A change in the ownership of the Company which occurs on the date that any one person, or more than one person acting as a group (“</w:t>
      </w:r>
      <w:r>
        <w:rPr>
          <w:rFonts w:ascii="Arial" w:cs="Arial" w:eastAsia="Arial" w:hAnsi="Arial"/>
          <w:sz w:val="18"/>
          <w:szCs w:val="18"/>
          <w:u w:val="single" w:color="auto"/>
          <w:color w:val="auto"/>
        </w:rPr>
        <w:t>Person</w:t>
      </w:r>
      <w:r>
        <w:rPr>
          <w:rFonts w:ascii="Arial" w:cs="Arial" w:eastAsia="Arial" w:hAnsi="Arial"/>
          <w:sz w:val="18"/>
          <w:szCs w:val="18"/>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174" w:lineRule="exact"/>
        <w:rPr>
          <w:rFonts w:ascii="Arial" w:cs="Arial" w:eastAsia="Arial" w:hAnsi="Arial"/>
          <w:sz w:val="18"/>
          <w:szCs w:val="18"/>
          <w:color w:val="auto"/>
        </w:rPr>
      </w:pPr>
    </w:p>
    <w:p>
      <w:pPr>
        <w:jc w:val="both"/>
        <w:ind w:left="1300" w:firstLine="652"/>
        <w:spacing w:after="0" w:line="257" w:lineRule="auto"/>
        <w:tabs>
          <w:tab w:leader="none" w:pos="2226" w:val="left"/>
        </w:tabs>
        <w:numPr>
          <w:ilvl w:val="2"/>
          <w:numId w:val="28"/>
        </w:numPr>
        <w:rPr>
          <w:rFonts w:ascii="Arial" w:cs="Arial" w:eastAsia="Arial" w:hAnsi="Arial"/>
          <w:sz w:val="18"/>
          <w:szCs w:val="18"/>
          <w:color w:val="auto"/>
        </w:rPr>
      </w:pPr>
      <w:r>
        <w:rPr>
          <w:rFonts w:ascii="Arial" w:cs="Arial" w:eastAsia="Arial" w:hAnsi="Arial"/>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60" w:lineRule="exact"/>
        <w:rPr>
          <w:rFonts w:ascii="Arial" w:cs="Arial" w:eastAsia="Arial" w:hAnsi="Arial"/>
          <w:sz w:val="18"/>
          <w:szCs w:val="18"/>
          <w:color w:val="auto"/>
        </w:rPr>
      </w:pPr>
    </w:p>
    <w:p>
      <w:pPr>
        <w:jc w:val="both"/>
        <w:ind w:left="1300" w:firstLine="652"/>
        <w:spacing w:after="0" w:line="254" w:lineRule="auto"/>
        <w:tabs>
          <w:tab w:leader="none" w:pos="22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w:t>
      </w:r>
    </w:p>
    <w:p>
      <w:pPr>
        <w:sectPr>
          <w:pgSz w:w="11900" w:h="16838" w:orient="portrait"/>
          <w:cols w:equalWidth="0" w:num="1">
            <w:col w:w="11240"/>
          </w:cols>
          <w:pgMar w:left="320" w:top="630" w:right="339" w:bottom="1440" w:gutter="0" w:footer="0" w:header="0"/>
        </w:sectPr>
      </w:pPr>
    </w:p>
    <w:bookmarkStart w:id="17" w:name="page18"/>
    <w:bookmarkEnd w:id="17"/>
    <w:p>
      <w:pPr>
        <w:jc w:val="both"/>
        <w:ind w:left="640"/>
        <w:spacing w:after="0" w:line="255" w:lineRule="auto"/>
        <w:rPr>
          <w:sz w:val="20"/>
          <w:szCs w:val="20"/>
          <w:color w:val="auto"/>
        </w:rPr>
      </w:pPr>
      <w:r>
        <w:rPr>
          <w:rFonts w:ascii="Arial" w:cs="Arial" w:eastAsia="Arial" w:hAnsi="Arial"/>
          <w:sz w:val="18"/>
          <w:szCs w:val="18"/>
          <w:color w:val="auto"/>
        </w:rPr>
        <w:t>(immediately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4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0" w:lineRule="exact"/>
        <w:rPr>
          <w:sz w:val="20"/>
          <w:szCs w:val="20"/>
          <w:color w:val="auto"/>
        </w:rPr>
      </w:pPr>
    </w:p>
    <w:p>
      <w:pPr>
        <w:jc w:val="both"/>
        <w:ind w:firstLine="644"/>
        <w:spacing w:after="0" w:line="263" w:lineRule="auto"/>
        <w:tabs>
          <w:tab w:leader="none" w:pos="9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56" w:lineRule="exact"/>
        <w:rPr>
          <w:rFonts w:ascii="Arial" w:cs="Arial" w:eastAsia="Arial" w:hAnsi="Arial"/>
          <w:sz w:val="18"/>
          <w:szCs w:val="18"/>
          <w:color w:val="auto"/>
        </w:rPr>
      </w:pPr>
    </w:p>
    <w:p>
      <w:pPr>
        <w:ind w:firstLine="644"/>
        <w:spacing w:after="0" w:line="277" w:lineRule="auto"/>
        <w:tabs>
          <w:tab w:leader="none" w:pos="9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in accordance with Section 4 hereof.</w:t>
      </w:r>
    </w:p>
    <w:p>
      <w:pPr>
        <w:spacing w:after="0" w:line="156" w:lineRule="exact"/>
        <w:rPr>
          <w:rFonts w:ascii="Arial" w:cs="Arial" w:eastAsia="Arial" w:hAnsi="Arial"/>
          <w:sz w:val="18"/>
          <w:szCs w:val="18"/>
          <w:color w:val="auto"/>
        </w:rPr>
      </w:pPr>
    </w:p>
    <w:p>
      <w:pPr>
        <w:ind w:left="860" w:hanging="216"/>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11" w:lineRule="exact"/>
        <w:rPr>
          <w:rFonts w:ascii="Arial" w:cs="Arial" w:eastAsia="Arial" w:hAnsi="Arial"/>
          <w:sz w:val="18"/>
          <w:szCs w:val="18"/>
          <w:color w:val="auto"/>
        </w:rPr>
      </w:pPr>
    </w:p>
    <w:p>
      <w:pPr>
        <w:ind w:left="900" w:hanging="25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Fluidigm Corporation, a Delaware corporation, or any successor thereto.</w:t>
      </w:r>
    </w:p>
    <w:p>
      <w:pPr>
        <w:spacing w:after="0" w:line="198" w:lineRule="exact"/>
        <w:rPr>
          <w:rFonts w:ascii="Arial" w:cs="Arial" w:eastAsia="Arial" w:hAnsi="Arial"/>
          <w:sz w:val="18"/>
          <w:szCs w:val="18"/>
          <w:color w:val="auto"/>
        </w:rPr>
      </w:pPr>
    </w:p>
    <w:p>
      <w:pPr>
        <w:ind w:left="860" w:hanging="216"/>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including an advisor, engaged by the Company or a Parent or Subsidiary to render services to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197" w:lineRule="exact"/>
        <w:rPr>
          <w:rFonts w:ascii="Arial" w:cs="Arial" w:eastAsia="Arial" w:hAnsi="Arial"/>
          <w:sz w:val="16"/>
          <w:szCs w:val="16"/>
          <w:color w:val="auto"/>
        </w:rPr>
      </w:pPr>
    </w:p>
    <w:p>
      <w:pPr>
        <w:ind w:left="940" w:hanging="296"/>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11" w:lineRule="exact"/>
        <w:rPr>
          <w:rFonts w:ascii="Arial" w:cs="Arial" w:eastAsia="Arial" w:hAnsi="Arial"/>
          <w:sz w:val="18"/>
          <w:szCs w:val="18"/>
          <w:color w:val="auto"/>
        </w:rPr>
      </w:pPr>
    </w:p>
    <w:p>
      <w:pPr>
        <w:jc w:val="both"/>
        <w:ind w:firstLine="644"/>
        <w:spacing w:after="0" w:line="263" w:lineRule="auto"/>
        <w:tabs>
          <w:tab w:leader="none" w:pos="9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56" w:lineRule="exact"/>
        <w:rPr>
          <w:rFonts w:ascii="Arial" w:cs="Arial" w:eastAsia="Arial" w:hAnsi="Arial"/>
          <w:sz w:val="18"/>
          <w:szCs w:val="18"/>
          <w:color w:val="auto"/>
        </w:rPr>
      </w:pPr>
    </w:p>
    <w:p>
      <w:pPr>
        <w:jc w:val="both"/>
        <w:ind w:firstLine="644"/>
        <w:spacing w:after="0" w:line="263" w:lineRule="auto"/>
        <w:tabs>
          <w:tab w:leader="none" w:pos="9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70" w:lineRule="exact"/>
        <w:rPr>
          <w:rFonts w:ascii="Arial" w:cs="Arial" w:eastAsia="Arial" w:hAnsi="Arial"/>
          <w:sz w:val="18"/>
          <w:szCs w:val="18"/>
          <w:color w:val="auto"/>
        </w:rPr>
      </w:pPr>
    </w:p>
    <w:p>
      <w:pPr>
        <w:ind w:left="900" w:hanging="25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11" w:lineRule="exact"/>
        <w:rPr>
          <w:rFonts w:ascii="Arial" w:cs="Arial" w:eastAsia="Arial" w:hAnsi="Arial"/>
          <w:sz w:val="18"/>
          <w:szCs w:val="18"/>
          <w:color w:val="auto"/>
        </w:rPr>
      </w:pPr>
    </w:p>
    <w:p>
      <w:pPr>
        <w:jc w:val="both"/>
        <w:ind w:firstLine="644"/>
        <w:spacing w:after="0" w:line="257" w:lineRule="auto"/>
        <w:tabs>
          <w:tab w:leader="none" w:pos="9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Program</w:t>
      </w:r>
      <w:r>
        <w:rPr>
          <w:rFonts w:ascii="Arial" w:cs="Arial" w:eastAsia="Arial" w:hAnsi="Arial"/>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980" w:top="895" w:right="339" w:bottom="1440" w:gutter="0" w:footer="0" w:header="0"/>
        </w:sectPr>
      </w:pPr>
    </w:p>
    <w:bookmarkStart w:id="18" w:name="page19"/>
    <w:bookmarkEnd w:id="18"/>
    <w:p>
      <w:pPr>
        <w:ind w:left="860" w:hanging="216"/>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11" w:lineRule="exact"/>
        <w:rPr>
          <w:rFonts w:ascii="Arial" w:cs="Arial" w:eastAsia="Arial" w:hAnsi="Arial"/>
          <w:sz w:val="18"/>
          <w:szCs w:val="18"/>
          <w:color w:val="auto"/>
        </w:rPr>
      </w:pPr>
    </w:p>
    <w:p>
      <w:pPr>
        <w:jc w:val="both"/>
        <w:ind w:left="640" w:firstLine="652"/>
        <w:spacing w:after="0" w:line="296" w:lineRule="auto"/>
        <w:tabs>
          <w:tab w:leader="none" w:pos="1516"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If there are no trades on such date, the closing price on the latest preceding business day upon which trades occurred shall be the Fair Market Value.</w:t>
      </w:r>
    </w:p>
    <w:p>
      <w:pPr>
        <w:spacing w:after="0" w:line="134" w:lineRule="exact"/>
        <w:rPr>
          <w:rFonts w:ascii="Arial" w:cs="Arial" w:eastAsia="Arial" w:hAnsi="Arial"/>
          <w:sz w:val="16"/>
          <w:szCs w:val="16"/>
          <w:color w:val="auto"/>
        </w:rPr>
      </w:pPr>
    </w:p>
    <w:p>
      <w:pPr>
        <w:jc w:val="both"/>
        <w:ind w:left="640" w:firstLine="652"/>
        <w:spacing w:after="0" w:line="263" w:lineRule="auto"/>
        <w:tabs>
          <w:tab w:leader="none" w:pos="1553"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70" w:lineRule="exact"/>
        <w:rPr>
          <w:rFonts w:ascii="Arial" w:cs="Arial" w:eastAsia="Arial" w:hAnsi="Arial"/>
          <w:sz w:val="18"/>
          <w:szCs w:val="18"/>
          <w:color w:val="auto"/>
        </w:rPr>
      </w:pPr>
    </w:p>
    <w:p>
      <w:pPr>
        <w:ind w:left="640" w:firstLine="652"/>
        <w:spacing w:after="0" w:line="277" w:lineRule="auto"/>
        <w:tabs>
          <w:tab w:leader="none" w:pos="1612"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will be determined in good faith by the Administrator.</w:t>
      </w:r>
    </w:p>
    <w:p>
      <w:pPr>
        <w:spacing w:after="0" w:line="156" w:lineRule="exact"/>
        <w:rPr>
          <w:rFonts w:ascii="Arial" w:cs="Arial" w:eastAsia="Arial" w:hAnsi="Arial"/>
          <w:sz w:val="18"/>
          <w:szCs w:val="18"/>
          <w:color w:val="auto"/>
        </w:rPr>
      </w:pPr>
    </w:p>
    <w:p>
      <w:pPr>
        <w:ind w:left="880" w:hanging="236"/>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198" w:lineRule="exact"/>
        <w:rPr>
          <w:rFonts w:ascii="Arial" w:cs="Arial" w:eastAsia="Arial" w:hAnsi="Arial"/>
          <w:sz w:val="18"/>
          <w:szCs w:val="18"/>
          <w:color w:val="auto"/>
        </w:rPr>
      </w:pPr>
    </w:p>
    <w:p>
      <w:pPr>
        <w:ind w:firstLine="644"/>
        <w:spacing w:after="0" w:line="277" w:lineRule="auto"/>
        <w:tabs>
          <w:tab w:leader="none" w:pos="8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56" w:lineRule="exact"/>
        <w:rPr>
          <w:rFonts w:ascii="Arial" w:cs="Arial" w:eastAsia="Arial" w:hAnsi="Arial"/>
          <w:sz w:val="18"/>
          <w:szCs w:val="18"/>
          <w:color w:val="auto"/>
        </w:rPr>
      </w:pPr>
    </w:p>
    <w:p>
      <w:pPr>
        <w:ind w:left="900" w:hanging="25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 Director</w:t>
      </w:r>
      <w:r>
        <w:rPr>
          <w:rFonts w:ascii="Arial" w:cs="Arial" w:eastAsia="Arial" w:hAnsi="Arial"/>
          <w:sz w:val="18"/>
          <w:szCs w:val="18"/>
          <w:color w:val="auto"/>
        </w:rPr>
        <w:t>” means a Director who is an Employee.</w:t>
      </w:r>
    </w:p>
    <w:p>
      <w:pPr>
        <w:spacing w:after="0" w:line="211" w:lineRule="exact"/>
        <w:rPr>
          <w:rFonts w:ascii="Arial" w:cs="Arial" w:eastAsia="Arial" w:hAnsi="Arial"/>
          <w:sz w:val="18"/>
          <w:szCs w:val="18"/>
          <w:color w:val="auto"/>
        </w:rPr>
      </w:pPr>
    </w:p>
    <w:p>
      <w:pPr>
        <w:ind w:left="900" w:hanging="256"/>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Nonstatutory Stock Option</w:t>
      </w:r>
      <w:r>
        <w:rPr>
          <w:rFonts w:ascii="Arial" w:cs="Arial" w:eastAsia="Arial" w:hAnsi="Arial"/>
          <w:sz w:val="17"/>
          <w:szCs w:val="17"/>
          <w:color w:val="auto"/>
        </w:rPr>
        <w:t>” means an Option that by its terms does not qualify or is not intended to qualify as an Incentive Stock</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Option.</w:t>
      </w:r>
    </w:p>
    <w:p>
      <w:pPr>
        <w:spacing w:after="0" w:line="183" w:lineRule="exact"/>
        <w:rPr>
          <w:rFonts w:ascii="Arial" w:cs="Arial" w:eastAsia="Arial" w:hAnsi="Arial"/>
          <w:sz w:val="17"/>
          <w:szCs w:val="17"/>
          <w:color w:val="auto"/>
        </w:rPr>
      </w:pPr>
    </w:p>
    <w:p>
      <w:pPr>
        <w:ind w:firstLine="644"/>
        <w:spacing w:after="0" w:line="277" w:lineRule="auto"/>
        <w:tabs>
          <w:tab w:leader="none" w:pos="9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56" w:lineRule="exact"/>
        <w:rPr>
          <w:rFonts w:ascii="Arial" w:cs="Arial" w:eastAsia="Arial" w:hAnsi="Arial"/>
          <w:sz w:val="18"/>
          <w:szCs w:val="18"/>
          <w:color w:val="auto"/>
        </w:rPr>
      </w:pPr>
    </w:p>
    <w:p>
      <w:pPr>
        <w:ind w:left="900" w:hanging="25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211" w:lineRule="exact"/>
        <w:rPr>
          <w:rFonts w:ascii="Arial" w:cs="Arial" w:eastAsia="Arial" w:hAnsi="Arial"/>
          <w:sz w:val="18"/>
          <w:szCs w:val="18"/>
          <w:color w:val="auto"/>
        </w:rPr>
      </w:pPr>
    </w:p>
    <w:p>
      <w:pPr>
        <w:ind w:left="900" w:hanging="25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not an Employee.</w:t>
      </w:r>
    </w:p>
    <w:p>
      <w:pPr>
        <w:spacing w:after="0" w:line="198" w:lineRule="exact"/>
        <w:rPr>
          <w:rFonts w:ascii="Arial" w:cs="Arial" w:eastAsia="Arial" w:hAnsi="Arial"/>
          <w:sz w:val="18"/>
          <w:szCs w:val="18"/>
          <w:color w:val="auto"/>
        </w:rPr>
      </w:pPr>
    </w:p>
    <w:p>
      <w:pPr>
        <w:ind w:left="880" w:hanging="236"/>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12" w:lineRule="exact"/>
        <w:rPr>
          <w:sz w:val="20"/>
          <w:szCs w:val="20"/>
          <w:color w:val="auto"/>
        </w:rPr>
      </w:pPr>
    </w:p>
    <w:p>
      <w:pPr>
        <w:ind w:left="960" w:hanging="316"/>
        <w:spacing w:after="0"/>
        <w:tabs>
          <w:tab w:leader="none" w:pos="9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the holder of an outstanding Award.</w:t>
      </w:r>
    </w:p>
    <w:p>
      <w:pPr>
        <w:spacing w:after="0" w:line="223" w:lineRule="exact"/>
        <w:rPr>
          <w:rFonts w:ascii="Arial" w:cs="Arial" w:eastAsia="Arial" w:hAnsi="Arial"/>
          <w:sz w:val="17"/>
          <w:szCs w:val="17"/>
          <w:color w:val="auto"/>
        </w:rPr>
      </w:pPr>
    </w:p>
    <w:p>
      <w:pPr>
        <w:ind w:right="20" w:firstLine="644"/>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43" w:lineRule="exact"/>
        <w:rPr>
          <w:rFonts w:ascii="Arial" w:cs="Arial" w:eastAsia="Arial" w:hAnsi="Arial"/>
          <w:sz w:val="18"/>
          <w:szCs w:val="18"/>
          <w:color w:val="auto"/>
        </w:rPr>
      </w:pPr>
    </w:p>
    <w:p>
      <w:pPr>
        <w:jc w:val="both"/>
        <w:ind w:firstLine="644"/>
        <w:spacing w:after="0" w:line="263" w:lineRule="auto"/>
        <w:tabs>
          <w:tab w:leader="none" w:pos="9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006"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0" w:lineRule="exact"/>
        <w:rPr>
          <w:rFonts w:ascii="Arial" w:cs="Arial" w:eastAsia="Arial" w:hAnsi="Arial"/>
          <w:sz w:val="18"/>
          <w:szCs w:val="18"/>
          <w:color w:val="auto"/>
        </w:rPr>
      </w:pPr>
    </w:p>
    <w:p>
      <w:pPr>
        <w:ind w:right="20" w:firstLine="644"/>
        <w:spacing w:after="0" w:line="277" w:lineRule="auto"/>
        <w:tabs>
          <w:tab w:leader="none" w:pos="9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2011 Equity Incentive Plan, as amended and restated effective June 3, 2019, and as further amended at the 2020 Annual Meeting of Stockholders.</w:t>
      </w:r>
    </w:p>
    <w:p>
      <w:pPr>
        <w:spacing w:after="0" w:line="143" w:lineRule="exact"/>
        <w:rPr>
          <w:rFonts w:ascii="Arial" w:cs="Arial" w:eastAsia="Arial" w:hAnsi="Arial"/>
          <w:sz w:val="18"/>
          <w:szCs w:val="18"/>
          <w:color w:val="auto"/>
        </w:rPr>
      </w:pPr>
    </w:p>
    <w:p>
      <w:pPr>
        <w:ind w:firstLine="644"/>
        <w:spacing w:after="0" w:line="277" w:lineRule="auto"/>
        <w:tabs>
          <w:tab w:leader="none" w:pos="9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 Restricted Stock award under Section 7 of the Plan, or issued pursuant to the early exercise of an Option.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980" w:top="895" w:right="339" w:bottom="1440" w:gutter="0" w:footer="0" w:header="0"/>
        </w:sectPr>
      </w:pPr>
    </w:p>
    <w:bookmarkStart w:id="19" w:name="page20"/>
    <w:bookmarkEnd w:id="19"/>
    <w:p>
      <w:pPr>
        <w:ind w:left="4" w:right="20" w:firstLine="644"/>
        <w:spacing w:after="0" w:line="308" w:lineRule="auto"/>
        <w:tabs>
          <w:tab w:leader="none" w:pos="1010" w:val="left"/>
        </w:tabs>
        <w:numPr>
          <w:ilvl w:val="1"/>
          <w:numId w:val="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means a bookkeeping entry representing an amount equal to the Fair Market Value of one Share, granted pursuant to Section 8. Each Restricted Stock Unit represents an unfunded and unsecured obligation of the Company.</w:t>
      </w:r>
    </w:p>
    <w:p>
      <w:pPr>
        <w:spacing w:after="0" w:line="132" w:lineRule="exact"/>
        <w:rPr>
          <w:rFonts w:ascii="Arial" w:cs="Arial" w:eastAsia="Arial" w:hAnsi="Arial"/>
          <w:sz w:val="17"/>
          <w:szCs w:val="17"/>
          <w:color w:val="auto"/>
        </w:rPr>
      </w:pPr>
    </w:p>
    <w:p>
      <w:pPr>
        <w:ind w:left="4" w:firstLine="644"/>
        <w:spacing w:after="0" w:line="277" w:lineRule="auto"/>
        <w:tabs>
          <w:tab w:leader="none" w:pos="9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43" w:lineRule="exact"/>
        <w:rPr>
          <w:rFonts w:ascii="Arial" w:cs="Arial" w:eastAsia="Arial" w:hAnsi="Arial"/>
          <w:sz w:val="18"/>
          <w:szCs w:val="18"/>
          <w:color w:val="auto"/>
        </w:rPr>
      </w:pPr>
    </w:p>
    <w:p>
      <w:pPr>
        <w:ind w:left="904" w:hanging="256"/>
        <w:spacing w:after="0"/>
        <w:tabs>
          <w:tab w:leader="none" w:pos="9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211" w:lineRule="exact"/>
        <w:rPr>
          <w:rFonts w:ascii="Arial" w:cs="Arial" w:eastAsia="Arial" w:hAnsi="Arial"/>
          <w:sz w:val="18"/>
          <w:szCs w:val="18"/>
          <w:color w:val="auto"/>
        </w:rPr>
      </w:pPr>
    </w:p>
    <w:p>
      <w:pPr>
        <w:ind w:left="904" w:hanging="256"/>
        <w:spacing w:after="0"/>
        <w:tabs>
          <w:tab w:leader="none" w:pos="9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211" w:lineRule="exact"/>
        <w:rPr>
          <w:rFonts w:ascii="Arial" w:cs="Arial" w:eastAsia="Arial" w:hAnsi="Arial"/>
          <w:sz w:val="18"/>
          <w:szCs w:val="18"/>
          <w:color w:val="auto"/>
        </w:rPr>
      </w:pPr>
    </w:p>
    <w:p>
      <w:pPr>
        <w:ind w:left="984" w:hanging="336"/>
        <w:spacing w:after="0"/>
        <w:tabs>
          <w:tab w:leader="none" w:pos="984"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13 of the Plan.</w:t>
      </w:r>
    </w:p>
    <w:p>
      <w:pPr>
        <w:spacing w:after="0" w:line="198" w:lineRule="exact"/>
        <w:rPr>
          <w:rFonts w:ascii="Arial" w:cs="Arial" w:eastAsia="Arial" w:hAnsi="Arial"/>
          <w:sz w:val="18"/>
          <w:szCs w:val="18"/>
          <w:color w:val="auto"/>
        </w:rPr>
      </w:pPr>
    </w:p>
    <w:p>
      <w:pPr>
        <w:ind w:left="4" w:firstLine="644"/>
        <w:spacing w:after="0" w:line="277" w:lineRule="auto"/>
        <w:tabs>
          <w:tab w:leader="none" w:pos="917"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9 is designated as a Stock Appreciation Right.</w:t>
      </w:r>
    </w:p>
    <w:p>
      <w:pPr>
        <w:spacing w:after="0" w:line="156" w:lineRule="exact"/>
        <w:rPr>
          <w:rFonts w:ascii="Arial" w:cs="Arial" w:eastAsia="Arial" w:hAnsi="Arial"/>
          <w:sz w:val="18"/>
          <w:szCs w:val="18"/>
          <w:color w:val="auto"/>
        </w:rPr>
      </w:pPr>
    </w:p>
    <w:p>
      <w:pPr>
        <w:ind w:left="1084" w:hanging="436"/>
        <w:spacing w:after="0"/>
        <w:tabs>
          <w:tab w:leader="none" w:pos="1084" w:val="left"/>
        </w:tabs>
        <w:numPr>
          <w:ilvl w:val="1"/>
          <w:numId w:val="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w:t>
      </w:r>
    </w:p>
    <w:p>
      <w:pPr>
        <w:spacing w:after="0" w:line="223" w:lineRule="exact"/>
        <w:rPr>
          <w:rFonts w:ascii="Arial" w:cs="Arial" w:eastAsia="Arial" w:hAnsi="Arial"/>
          <w:sz w:val="17"/>
          <w:szCs w:val="17"/>
          <w:color w:val="auto"/>
        </w:rPr>
      </w:pPr>
    </w:p>
    <w:p>
      <w:pPr>
        <w:ind w:left="184" w:hanging="184"/>
        <w:spacing w:after="0"/>
        <w:tabs>
          <w:tab w:leader="none" w:pos="18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4" w:firstLine="644"/>
        <w:spacing w:after="0" w:line="257" w:lineRule="auto"/>
        <w:tabs>
          <w:tab w:leader="none" w:pos="896"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13 of the Plan, the maximum aggregate number of Shares that may be issued under the Plan as of the Amendment Effective Date is (i) 1,420,000 Shares, plus (ii) any Shares that, as of immediately prior to the Amendment Effective Date, were available for grant under the pre-existing version of the 2011 Equity Incentive Plan prior to this amendment (the “</w:t>
      </w:r>
      <w:r>
        <w:rPr>
          <w:rFonts w:ascii="Arial" w:cs="Arial" w:eastAsia="Arial" w:hAnsi="Arial"/>
          <w:sz w:val="18"/>
          <w:szCs w:val="18"/>
          <w:u w:val="single" w:color="auto"/>
          <w:color w:val="auto"/>
        </w:rPr>
        <w:t>Existing Plan</w:t>
      </w:r>
      <w:r>
        <w:rPr>
          <w:rFonts w:ascii="Arial" w:cs="Arial" w:eastAsia="Arial" w:hAnsi="Arial"/>
          <w:sz w:val="18"/>
          <w:szCs w:val="18"/>
          <w:color w:val="auto"/>
        </w:rPr>
        <w:t>”), with the maximum number of Shares to be added to the Plan pursuant to clause (ii) equal to 3,583,102 Shares. The Shares may be authorized, but unissued, or reacquired Common Stock.</w:t>
      </w:r>
    </w:p>
    <w:p>
      <w:pPr>
        <w:spacing w:after="0" w:line="174" w:lineRule="exact"/>
        <w:rPr>
          <w:rFonts w:ascii="Arial" w:cs="Arial" w:eastAsia="Arial" w:hAnsi="Arial"/>
          <w:sz w:val="18"/>
          <w:szCs w:val="18"/>
          <w:color w:val="auto"/>
        </w:rPr>
      </w:pPr>
    </w:p>
    <w:p>
      <w:pPr>
        <w:jc w:val="both"/>
        <w:ind w:left="4" w:firstLine="644"/>
        <w:spacing w:after="0" w:line="286" w:lineRule="auto"/>
        <w:tabs>
          <w:tab w:leader="none" w:pos="920"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53" w:lineRule="exact"/>
        <w:rPr>
          <w:rFonts w:ascii="Arial" w:cs="Arial" w:eastAsia="Arial" w:hAnsi="Arial"/>
          <w:sz w:val="16"/>
          <w:szCs w:val="16"/>
          <w:color w:val="auto"/>
        </w:rPr>
      </w:pPr>
    </w:p>
    <w:p>
      <w:pPr>
        <w:ind w:left="4" w:firstLine="644"/>
        <w:spacing w:after="0" w:line="277" w:lineRule="auto"/>
        <w:tabs>
          <w:tab w:leader="none" w:pos="896"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143" w:lineRule="exact"/>
        <w:rPr>
          <w:rFonts w:ascii="Arial" w:cs="Arial" w:eastAsia="Arial" w:hAnsi="Arial"/>
          <w:sz w:val="18"/>
          <w:szCs w:val="18"/>
          <w:color w:val="auto"/>
        </w:rPr>
      </w:pPr>
    </w:p>
    <w:p>
      <w:pPr>
        <w:ind w:left="184" w:hanging="184"/>
        <w:spacing w:after="0"/>
        <w:tabs>
          <w:tab w:leader="none" w:pos="18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884" w:hanging="236"/>
        <w:spacing w:after="0"/>
        <w:tabs>
          <w:tab w:leader="none" w:pos="884"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524" w:hanging="228"/>
        <w:spacing w:after="0"/>
        <w:tabs>
          <w:tab w:leader="none" w:pos="1524" w:val="left"/>
        </w:tabs>
        <w:numPr>
          <w:ilvl w:val="2"/>
          <w:numId w:val="33"/>
        </w:numPr>
        <w:rPr>
          <w:rFonts w:ascii="Arial" w:cs="Arial" w:eastAsia="Arial" w:hAnsi="Arial"/>
          <w:sz w:val="17"/>
          <w:szCs w:val="17"/>
          <w:color w:val="auto"/>
        </w:rPr>
      </w:pPr>
      <w:r>
        <w:rPr>
          <w:rFonts w:ascii="Arial" w:cs="Arial" w:eastAsia="Arial" w:hAnsi="Arial"/>
          <w:sz w:val="17"/>
          <w:szCs w:val="17"/>
          <w:u w:val="single" w:color="auto"/>
          <w:color w:val="auto"/>
        </w:rPr>
        <w:t>Multiple Administrative Bodies</w:t>
      </w:r>
      <w:r>
        <w:rPr>
          <w:rFonts w:ascii="Arial" w:cs="Arial" w:eastAsia="Arial" w:hAnsi="Arial"/>
          <w:sz w:val="17"/>
          <w:szCs w:val="17"/>
          <w:color w:val="auto"/>
        </w:rPr>
        <w:t>. Different Committees may administer the Plan with respect to different groups of Service</w:t>
      </w:r>
    </w:p>
    <w:p>
      <w:pPr>
        <w:spacing w:after="0" w:line="34" w:lineRule="exact"/>
        <w:rPr>
          <w:rFonts w:ascii="Arial" w:cs="Arial" w:eastAsia="Arial" w:hAnsi="Arial"/>
          <w:sz w:val="17"/>
          <w:szCs w:val="17"/>
          <w:color w:val="auto"/>
        </w:rPr>
      </w:pPr>
    </w:p>
    <w:p>
      <w:pPr>
        <w:ind w:left="644"/>
        <w:spacing w:after="0"/>
        <w:rPr>
          <w:rFonts w:ascii="Arial" w:cs="Arial" w:eastAsia="Arial" w:hAnsi="Arial"/>
          <w:sz w:val="17"/>
          <w:szCs w:val="17"/>
          <w:color w:val="auto"/>
        </w:rPr>
      </w:pPr>
      <w:r>
        <w:rPr>
          <w:rFonts w:ascii="Arial" w:cs="Arial" w:eastAsia="Arial" w:hAnsi="Arial"/>
          <w:sz w:val="18"/>
          <w:szCs w:val="18"/>
          <w:color w:val="auto"/>
        </w:rPr>
        <w:t>Providers.</w:t>
      </w:r>
    </w:p>
    <w:p>
      <w:pPr>
        <w:spacing w:after="0" w:line="183" w:lineRule="exact"/>
        <w:rPr>
          <w:rFonts w:ascii="Arial" w:cs="Arial" w:eastAsia="Arial" w:hAnsi="Arial"/>
          <w:sz w:val="17"/>
          <w:szCs w:val="17"/>
          <w:color w:val="auto"/>
        </w:rPr>
      </w:pPr>
    </w:p>
    <w:p>
      <w:pPr>
        <w:ind w:left="644" w:firstLine="652"/>
        <w:spacing w:after="0" w:line="277" w:lineRule="auto"/>
        <w:tabs>
          <w:tab w:leader="none" w:pos="1557" w:val="left"/>
        </w:tabs>
        <w:numPr>
          <w:ilvl w:val="2"/>
          <w:numId w:val="33"/>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such transactions will be structured to satisfy the requirements for exemption under Rule 16b-3.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4"/>
          </w:cols>
          <w:pgMar w:left="976" w:top="895" w:right="339" w:bottom="1440" w:gutter="0" w:footer="0" w:header="0"/>
        </w:sectPr>
      </w:pPr>
    </w:p>
    <w:bookmarkStart w:id="20" w:name="page21"/>
    <w:bookmarkEnd w:id="20"/>
    <w:p>
      <w:pPr>
        <w:ind w:left="640" w:firstLine="652"/>
        <w:spacing w:after="0" w:line="277" w:lineRule="auto"/>
        <w:tabs>
          <w:tab w:leader="none" w:pos="1616"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constituted to satisfy Applicable Laws.</w:t>
      </w:r>
    </w:p>
    <w:p>
      <w:pPr>
        <w:spacing w:after="0" w:line="156" w:lineRule="exact"/>
        <w:rPr>
          <w:rFonts w:ascii="Arial" w:cs="Arial" w:eastAsia="Arial" w:hAnsi="Arial"/>
          <w:sz w:val="18"/>
          <w:szCs w:val="18"/>
          <w:color w:val="auto"/>
        </w:rPr>
      </w:pPr>
    </w:p>
    <w:p>
      <w:pPr>
        <w:ind w:firstLine="644"/>
        <w:spacing w:after="0" w:line="277" w:lineRule="auto"/>
        <w:tabs>
          <w:tab w:leader="none" w:pos="91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43" w:lineRule="exact"/>
        <w:rPr>
          <w:rFonts w:ascii="Arial" w:cs="Arial" w:eastAsia="Arial" w:hAnsi="Arial"/>
          <w:sz w:val="18"/>
          <w:szCs w:val="18"/>
          <w:color w:val="auto"/>
        </w:rPr>
      </w:pPr>
    </w:p>
    <w:p>
      <w:pPr>
        <w:ind w:left="1500" w:hanging="208"/>
        <w:spacing w:after="0"/>
        <w:tabs>
          <w:tab w:leader="none" w:pos="1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12" w:lineRule="exact"/>
        <w:rPr>
          <w:sz w:val="20"/>
          <w:szCs w:val="20"/>
          <w:color w:val="auto"/>
        </w:rPr>
      </w:pPr>
    </w:p>
    <w:p>
      <w:pPr>
        <w:ind w:left="1560" w:hanging="268"/>
        <w:spacing w:after="0"/>
        <w:tabs>
          <w:tab w:leader="none" w:pos="15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211" w:lineRule="exact"/>
        <w:rPr>
          <w:rFonts w:ascii="Arial" w:cs="Arial" w:eastAsia="Arial" w:hAnsi="Arial"/>
          <w:sz w:val="18"/>
          <w:szCs w:val="18"/>
          <w:color w:val="auto"/>
        </w:rPr>
      </w:pPr>
    </w:p>
    <w:p>
      <w:pPr>
        <w:ind w:left="1600" w:hanging="308"/>
        <w:spacing w:after="0"/>
        <w:tabs>
          <w:tab w:leader="none" w:pos="16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198" w:lineRule="exact"/>
        <w:rPr>
          <w:rFonts w:ascii="Arial" w:cs="Arial" w:eastAsia="Arial" w:hAnsi="Arial"/>
          <w:sz w:val="18"/>
          <w:szCs w:val="18"/>
          <w:color w:val="auto"/>
        </w:rPr>
      </w:pPr>
    </w:p>
    <w:p>
      <w:pPr>
        <w:ind w:left="1600" w:hanging="308"/>
        <w:spacing w:after="0"/>
        <w:tabs>
          <w:tab w:leader="none" w:pos="16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11" w:lineRule="exact"/>
        <w:rPr>
          <w:rFonts w:ascii="Arial" w:cs="Arial" w:eastAsia="Arial" w:hAnsi="Arial"/>
          <w:sz w:val="18"/>
          <w:szCs w:val="18"/>
          <w:color w:val="auto"/>
        </w:rPr>
      </w:pPr>
    </w:p>
    <w:p>
      <w:pPr>
        <w:jc w:val="both"/>
        <w:ind w:left="640" w:firstLine="652"/>
        <w:spacing w:after="0" w:line="301" w:lineRule="auto"/>
        <w:tabs>
          <w:tab w:leader="none" w:pos="15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43" w:lineRule="exact"/>
        <w:rPr>
          <w:rFonts w:ascii="Arial" w:cs="Arial" w:eastAsia="Arial" w:hAnsi="Arial"/>
          <w:sz w:val="16"/>
          <w:szCs w:val="16"/>
          <w:color w:val="auto"/>
        </w:rPr>
      </w:pPr>
    </w:p>
    <w:p>
      <w:pPr>
        <w:ind w:left="1600" w:hanging="308"/>
        <w:spacing w:after="0"/>
        <w:tabs>
          <w:tab w:leader="none" w:pos="16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198" w:lineRule="exact"/>
        <w:rPr>
          <w:rFonts w:ascii="Arial" w:cs="Arial" w:eastAsia="Arial" w:hAnsi="Arial"/>
          <w:sz w:val="18"/>
          <w:szCs w:val="18"/>
          <w:color w:val="auto"/>
        </w:rPr>
      </w:pPr>
    </w:p>
    <w:p>
      <w:pPr>
        <w:jc w:val="both"/>
        <w:ind w:left="640" w:firstLine="652"/>
        <w:spacing w:after="0" w:line="263" w:lineRule="auto"/>
        <w:tabs>
          <w:tab w:leader="none" w:pos="1656"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70" w:lineRule="exact"/>
        <w:rPr>
          <w:rFonts w:ascii="Arial" w:cs="Arial" w:eastAsia="Arial" w:hAnsi="Arial"/>
          <w:sz w:val="18"/>
          <w:szCs w:val="18"/>
          <w:color w:val="auto"/>
        </w:rPr>
      </w:pPr>
    </w:p>
    <w:p>
      <w:pPr>
        <w:jc w:val="both"/>
        <w:ind w:left="640" w:firstLine="652"/>
        <w:spacing w:after="0" w:line="263" w:lineRule="auto"/>
        <w:tabs>
          <w:tab w:leader="none" w:pos="1696"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modify or amend each Award (subject to Section 18 of the Plan), including but not limited to the discretionary authority to extend the post-termination exercisability period of Awards and to extend the maximum term of an Option (subject to Section 6(b) of the Plan);</w:t>
      </w:r>
    </w:p>
    <w:p>
      <w:pPr>
        <w:spacing w:after="0" w:line="170" w:lineRule="exact"/>
        <w:rPr>
          <w:rFonts w:ascii="Arial" w:cs="Arial" w:eastAsia="Arial" w:hAnsi="Arial"/>
          <w:sz w:val="18"/>
          <w:szCs w:val="18"/>
          <w:color w:val="auto"/>
        </w:rPr>
      </w:pPr>
    </w:p>
    <w:p>
      <w:pPr>
        <w:ind w:left="1600" w:hanging="308"/>
        <w:spacing w:after="0"/>
        <w:tabs>
          <w:tab w:leader="none" w:pos="16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allow Participants to satisfy tax withholding obligations in such manner as prescribed in Section 14 of the Plan;</w:t>
      </w:r>
    </w:p>
    <w:p>
      <w:pPr>
        <w:spacing w:after="0" w:line="198" w:lineRule="exact"/>
        <w:rPr>
          <w:rFonts w:ascii="Arial" w:cs="Arial" w:eastAsia="Arial" w:hAnsi="Arial"/>
          <w:sz w:val="18"/>
          <w:szCs w:val="18"/>
          <w:color w:val="auto"/>
        </w:rPr>
      </w:pPr>
    </w:p>
    <w:p>
      <w:pPr>
        <w:ind w:left="640" w:firstLine="652"/>
        <w:spacing w:after="0" w:line="277" w:lineRule="auto"/>
        <w:tabs>
          <w:tab w:leader="none" w:pos="1573"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56" w:lineRule="exact"/>
        <w:rPr>
          <w:rFonts w:ascii="Arial" w:cs="Arial" w:eastAsia="Arial" w:hAnsi="Arial"/>
          <w:sz w:val="18"/>
          <w:szCs w:val="18"/>
          <w:color w:val="auto"/>
        </w:rPr>
      </w:pPr>
    </w:p>
    <w:p>
      <w:pPr>
        <w:ind w:left="640" w:right="20" w:firstLine="652"/>
        <w:spacing w:after="0" w:line="277" w:lineRule="auto"/>
        <w:tabs>
          <w:tab w:leader="none" w:pos="1605"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would otherwise be due to such Participant under an Award; and</w:t>
      </w:r>
    </w:p>
    <w:p>
      <w:pPr>
        <w:spacing w:after="0" w:line="156" w:lineRule="exact"/>
        <w:rPr>
          <w:rFonts w:ascii="Arial" w:cs="Arial" w:eastAsia="Arial" w:hAnsi="Arial"/>
          <w:sz w:val="18"/>
          <w:szCs w:val="18"/>
          <w:color w:val="auto"/>
        </w:rPr>
      </w:pPr>
    </w:p>
    <w:p>
      <w:pPr>
        <w:ind w:left="1640" w:hanging="348"/>
        <w:spacing w:after="0"/>
        <w:tabs>
          <w:tab w:leader="none" w:pos="1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198" w:lineRule="exact"/>
        <w:rPr>
          <w:rFonts w:ascii="Arial" w:cs="Arial" w:eastAsia="Arial" w:hAnsi="Arial"/>
          <w:sz w:val="18"/>
          <w:szCs w:val="18"/>
          <w:color w:val="auto"/>
        </w:rPr>
      </w:pPr>
    </w:p>
    <w:p>
      <w:pPr>
        <w:ind w:firstLine="644"/>
        <w:spacing w:after="0" w:line="277" w:lineRule="auto"/>
        <w:tabs>
          <w:tab w:leader="none" w:pos="89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decisions, determinations, and interpretations of the Administrator will be final and binding on all Participants and any other holders of Awards.</w:t>
      </w:r>
    </w:p>
    <w:p>
      <w:pPr>
        <w:spacing w:after="0" w:line="156" w:lineRule="exact"/>
        <w:rPr>
          <w:rFonts w:ascii="Arial" w:cs="Arial" w:eastAsia="Arial" w:hAnsi="Arial"/>
          <w:sz w:val="18"/>
          <w:szCs w:val="18"/>
          <w:color w:val="auto"/>
        </w:rPr>
      </w:pPr>
    </w:p>
    <w:p>
      <w:pPr>
        <w:ind w:left="920" w:hanging="276"/>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Limitations on Administrative Authority</w:t>
      </w:r>
      <w:r>
        <w:rPr>
          <w:rFonts w:ascii="Arial" w:cs="Arial" w:eastAsia="Arial" w:hAnsi="Arial"/>
          <w:sz w:val="17"/>
          <w:szCs w:val="17"/>
          <w:color w:val="auto"/>
        </w:rPr>
        <w:t>. Notwithstanding anything herein to the contrary, the Administrator shall be limited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197" w:lineRule="exact"/>
        <w:rPr>
          <w:rFonts w:ascii="Arial" w:cs="Arial" w:eastAsia="Arial" w:hAnsi="Arial"/>
          <w:sz w:val="17"/>
          <w:szCs w:val="17"/>
          <w:color w:val="auto"/>
        </w:rPr>
      </w:pPr>
    </w:p>
    <w:p>
      <w:pPr>
        <w:ind w:left="1500" w:hanging="208"/>
        <w:spacing w:after="0"/>
        <w:tabs>
          <w:tab w:leader="none" w:pos="150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Exchange Program</w:t>
      </w:r>
      <w:r>
        <w:rPr>
          <w:rFonts w:ascii="Arial" w:cs="Arial" w:eastAsia="Arial" w:hAnsi="Arial"/>
          <w:sz w:val="18"/>
          <w:szCs w:val="18"/>
          <w:color w:val="auto"/>
        </w:rPr>
        <w:t>. The Administrator may not implement an Exchange Program.</w:t>
      </w:r>
    </w:p>
    <w:p>
      <w:pPr>
        <w:spacing w:after="0" w:line="198" w:lineRule="exact"/>
        <w:rPr>
          <w:rFonts w:ascii="Arial" w:cs="Arial" w:eastAsia="Arial" w:hAnsi="Arial"/>
          <w:sz w:val="18"/>
          <w:szCs w:val="18"/>
          <w:color w:val="auto"/>
        </w:rPr>
      </w:pPr>
    </w:p>
    <w:p>
      <w:pPr>
        <w:jc w:val="both"/>
        <w:ind w:left="640" w:firstLine="652"/>
        <w:spacing w:after="0" w:line="263" w:lineRule="auto"/>
        <w:tabs>
          <w:tab w:leader="none" w:pos="1553"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No Dividends or Dividend Equivalents Paid on Unvested Awards</w:t>
      </w:r>
      <w:r>
        <w:rPr>
          <w:rFonts w:ascii="Arial" w:cs="Arial" w:eastAsia="Arial" w:hAnsi="Arial"/>
          <w:sz w:val="18"/>
          <w:szCs w:val="18"/>
          <w:color w:val="auto"/>
        </w:rPr>
        <w:t>. No dividends or dividend equivalents shall be paid on any unvested Awards. Any dividends or dividend equivalents may be declared or accrue on unvested Awards, but shall not be paid until the vesting of such Awards.</w:t>
      </w:r>
    </w:p>
    <w:p>
      <w:pPr>
        <w:spacing w:after="0" w:line="170" w:lineRule="exact"/>
        <w:rPr>
          <w:rFonts w:ascii="Arial" w:cs="Arial" w:eastAsia="Arial" w:hAnsi="Arial"/>
          <w:sz w:val="18"/>
          <w:szCs w:val="18"/>
          <w:color w:val="auto"/>
        </w:rPr>
      </w:pPr>
    </w:p>
    <w:p>
      <w:pPr>
        <w:jc w:val="both"/>
        <w:ind w:left="640" w:firstLine="652"/>
        <w:spacing w:after="0" w:line="279" w:lineRule="auto"/>
        <w:tabs>
          <w:tab w:leader="none" w:pos="1616"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Outside Director Limitations</w:t>
      </w:r>
      <w:r>
        <w:rPr>
          <w:rFonts w:ascii="Arial" w:cs="Arial" w:eastAsia="Arial" w:hAnsi="Arial"/>
          <w:sz w:val="17"/>
          <w:szCs w:val="17"/>
          <w:color w:val="auto"/>
        </w:rPr>
        <w:t>. No Outside Director may be paid, issued or granted, in any Fiscal Year, Awards with an aggregate value greater than $400,000 (with the value of each Award based on its grant date fair value (determined in accordance with U.S. generally accepted accounting principles)), except that such limit will be increased to $500,000 in the Fiscal Year of his or her initial service as an Outside Director. Any Awards granted to an individual for his or her services as an Employee, or for his 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980" w:top="895" w:right="339" w:bottom="1440" w:gutter="0" w:footer="0" w:header="0"/>
        </w:sectPr>
      </w:pPr>
    </w:p>
    <w:bookmarkStart w:id="21" w:name="page22"/>
    <w:bookmarkEnd w:id="21"/>
    <w:p>
      <w:pPr>
        <w:ind w:left="1300"/>
        <w:spacing w:after="0"/>
        <w:rPr>
          <w:sz w:val="20"/>
          <w:szCs w:val="20"/>
          <w:color w:val="auto"/>
        </w:rPr>
      </w:pPr>
      <w:r>
        <w:rPr>
          <w:rFonts w:ascii="Arial" w:cs="Arial" w:eastAsia="Arial" w:hAnsi="Arial"/>
          <w:sz w:val="16"/>
          <w:szCs w:val="16"/>
          <w:color w:val="auto"/>
        </w:rPr>
        <w:t>her services as a Consultant (other than as an Outside Director), will not count for purposes of the limitation under this Section 4(d)(iii).</w:t>
      </w:r>
    </w:p>
    <w:p>
      <w:pPr>
        <w:spacing w:after="0" w:line="235" w:lineRule="exact"/>
        <w:rPr>
          <w:sz w:val="20"/>
          <w:szCs w:val="20"/>
          <w:color w:val="auto"/>
        </w:rPr>
      </w:pPr>
    </w:p>
    <w:p>
      <w:pPr>
        <w:ind w:right="20" w:firstLine="656"/>
        <w:spacing w:after="0" w:line="277" w:lineRule="auto"/>
        <w:tabs>
          <w:tab w:leader="none" w:pos="86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43" w:lineRule="exact"/>
        <w:rPr>
          <w:rFonts w:ascii="Arial" w:cs="Arial" w:eastAsia="Arial" w:hAnsi="Arial"/>
          <w:sz w:val="18"/>
          <w:szCs w:val="18"/>
          <w:color w:val="auto"/>
        </w:rPr>
      </w:pPr>
    </w:p>
    <w:p>
      <w:pPr>
        <w:ind w:left="840" w:hanging="184"/>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60" w:firstLine="644"/>
        <w:spacing w:after="0" w:line="273" w:lineRule="auto"/>
        <w:tabs>
          <w:tab w:leader="none" w:pos="1566"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Limitations</w:t>
      </w:r>
      <w:r>
        <w:rPr>
          <w:rFonts w:ascii="Arial" w:cs="Arial" w:eastAsia="Arial" w:hAnsi="Arial"/>
          <w:sz w:val="17"/>
          <w:szCs w:val="17"/>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64" w:lineRule="exact"/>
        <w:rPr>
          <w:rFonts w:ascii="Arial" w:cs="Arial" w:eastAsia="Arial" w:hAnsi="Arial"/>
          <w:sz w:val="17"/>
          <w:szCs w:val="17"/>
          <w:color w:val="auto"/>
        </w:rPr>
      </w:pPr>
    </w:p>
    <w:p>
      <w:pPr>
        <w:jc w:val="both"/>
        <w:ind w:left="660" w:firstLine="644"/>
        <w:spacing w:after="0" w:line="255" w:lineRule="auto"/>
        <w:tabs>
          <w:tab w:leader="none" w:pos="1563"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65" w:lineRule="exact"/>
        <w:rPr>
          <w:rFonts w:ascii="Arial" w:cs="Arial" w:eastAsia="Arial" w:hAnsi="Arial"/>
          <w:sz w:val="18"/>
          <w:szCs w:val="18"/>
          <w:color w:val="auto"/>
        </w:rPr>
      </w:pPr>
    </w:p>
    <w:p>
      <w:pPr>
        <w:ind w:left="1540" w:hanging="236"/>
        <w:spacing w:after="0"/>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300" w:right="20" w:firstLine="652"/>
        <w:spacing w:after="0" w:line="277" w:lineRule="auto"/>
        <w:tabs>
          <w:tab w:leader="none" w:pos="2163" w:val="left"/>
        </w:tabs>
        <w:numPr>
          <w:ilvl w:val="2"/>
          <w:numId w:val="3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will be determined by the Administrator, subject to the following:</w:t>
      </w:r>
    </w:p>
    <w:p>
      <w:pPr>
        <w:spacing w:after="0" w:line="156" w:lineRule="exact"/>
        <w:rPr>
          <w:rFonts w:ascii="Arial" w:cs="Arial" w:eastAsia="Arial" w:hAnsi="Arial"/>
          <w:sz w:val="18"/>
          <w:szCs w:val="18"/>
          <w:color w:val="auto"/>
        </w:rPr>
      </w:pPr>
    </w:p>
    <w:p>
      <w:pPr>
        <w:ind w:left="2860" w:hanging="260"/>
        <w:spacing w:after="0"/>
        <w:tabs>
          <w:tab w:leader="none" w:pos="2860" w:val="left"/>
        </w:tabs>
        <w:numPr>
          <w:ilvl w:val="3"/>
          <w:numId w:val="38"/>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198" w:lineRule="exact"/>
        <w:rPr>
          <w:rFonts w:ascii="Arial" w:cs="Arial" w:eastAsia="Arial" w:hAnsi="Arial"/>
          <w:sz w:val="18"/>
          <w:szCs w:val="18"/>
          <w:color w:val="auto"/>
        </w:rPr>
      </w:pPr>
    </w:p>
    <w:p>
      <w:pPr>
        <w:jc w:val="both"/>
        <w:ind w:left="2600" w:firstLine="648"/>
        <w:spacing w:after="0" w:line="259" w:lineRule="auto"/>
        <w:tabs>
          <w:tab w:leader="none" w:pos="3452" w:val="left"/>
        </w:tabs>
        <w:numPr>
          <w:ilvl w:val="4"/>
          <w:numId w:val="38"/>
        </w:numPr>
        <w:rPr>
          <w:rFonts w:ascii="Arial" w:cs="Arial" w:eastAsia="Arial" w:hAnsi="Arial"/>
          <w:sz w:val="18"/>
          <w:szCs w:val="18"/>
          <w:color w:val="auto"/>
        </w:rPr>
      </w:pPr>
      <w:r>
        <w:rPr>
          <w:rFonts w:ascii="Arial" w:cs="Arial" w:eastAsia="Arial" w:hAnsi="Arial"/>
          <w:sz w:val="18"/>
          <w:szCs w:val="18"/>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73" w:lineRule="exact"/>
        <w:rPr>
          <w:rFonts w:ascii="Arial" w:cs="Arial" w:eastAsia="Arial" w:hAnsi="Arial"/>
          <w:sz w:val="18"/>
          <w:szCs w:val="18"/>
          <w:color w:val="auto"/>
        </w:rPr>
      </w:pPr>
    </w:p>
    <w:p>
      <w:pPr>
        <w:jc w:val="both"/>
        <w:ind w:left="2600" w:firstLine="648"/>
        <w:spacing w:after="0" w:line="263" w:lineRule="auto"/>
        <w:tabs>
          <w:tab w:leader="none" w:pos="3458" w:val="left"/>
        </w:tabs>
        <w:numPr>
          <w:ilvl w:val="4"/>
          <w:numId w:val="38"/>
        </w:numPr>
        <w:rPr>
          <w:rFonts w:ascii="Arial" w:cs="Arial" w:eastAsia="Arial" w:hAnsi="Arial"/>
          <w:sz w:val="18"/>
          <w:szCs w:val="18"/>
          <w:color w:val="auto"/>
        </w:rPr>
      </w:pPr>
      <w:r>
        <w:rPr>
          <w:rFonts w:ascii="Arial" w:cs="Arial" w:eastAsia="Arial" w:hAnsi="Arial"/>
          <w:sz w:val="18"/>
          <w:szCs w:val="18"/>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70" w:lineRule="exact"/>
        <w:rPr>
          <w:rFonts w:ascii="Arial" w:cs="Arial" w:eastAsia="Arial" w:hAnsi="Arial"/>
          <w:sz w:val="18"/>
          <w:szCs w:val="18"/>
          <w:color w:val="auto"/>
        </w:rPr>
      </w:pPr>
    </w:p>
    <w:p>
      <w:pPr>
        <w:ind w:left="1960" w:firstLine="640"/>
        <w:spacing w:after="0" w:line="277" w:lineRule="auto"/>
        <w:tabs>
          <w:tab w:leader="none" w:pos="2876" w:val="left"/>
        </w:tabs>
        <w:numPr>
          <w:ilvl w:val="3"/>
          <w:numId w:val="38"/>
        </w:numPr>
        <w:rPr>
          <w:rFonts w:ascii="Arial" w:cs="Arial" w:eastAsia="Arial" w:hAnsi="Arial"/>
          <w:sz w:val="18"/>
          <w:szCs w:val="18"/>
          <w:color w:val="auto"/>
        </w:rPr>
      </w:pPr>
      <w:r>
        <w:rPr>
          <w:rFonts w:ascii="Arial" w:cs="Arial" w:eastAsia="Arial" w:hAnsi="Arial"/>
          <w:sz w:val="18"/>
          <w:szCs w:val="18"/>
          <w:color w:val="auto"/>
        </w:rPr>
        <w:t>In the case of a Nonstatutory Stock Option, the per Share exercise price will be no less than one hundred percent (100%) of the Fair Market Value per Share on the date of grant.</w:t>
      </w:r>
    </w:p>
    <w:p>
      <w:pPr>
        <w:spacing w:after="0" w:line="143" w:lineRule="exact"/>
        <w:rPr>
          <w:rFonts w:ascii="Arial" w:cs="Arial" w:eastAsia="Arial" w:hAnsi="Arial"/>
          <w:sz w:val="18"/>
          <w:szCs w:val="18"/>
          <w:color w:val="auto"/>
        </w:rPr>
      </w:pPr>
    </w:p>
    <w:p>
      <w:pPr>
        <w:jc w:val="both"/>
        <w:ind w:left="1960" w:firstLine="640"/>
        <w:spacing w:after="0" w:line="263" w:lineRule="auto"/>
        <w:tabs>
          <w:tab w:leader="none" w:pos="2879" w:val="left"/>
        </w:tabs>
        <w:numPr>
          <w:ilvl w:val="3"/>
          <w:numId w:val="38"/>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0" w:lineRule="exact"/>
        <w:rPr>
          <w:rFonts w:ascii="Arial" w:cs="Arial" w:eastAsia="Arial" w:hAnsi="Arial"/>
          <w:sz w:val="18"/>
          <w:szCs w:val="18"/>
          <w:color w:val="auto"/>
        </w:rPr>
      </w:pPr>
    </w:p>
    <w:p>
      <w:pPr>
        <w:ind w:left="1300" w:firstLine="652"/>
        <w:spacing w:after="0" w:line="308" w:lineRule="auto"/>
        <w:tabs>
          <w:tab w:leader="none" w:pos="2213" w:val="left"/>
        </w:tabs>
        <w:numPr>
          <w:ilvl w:val="2"/>
          <w:numId w:val="38"/>
        </w:numPr>
        <w:rPr>
          <w:rFonts w:ascii="Arial" w:cs="Arial" w:eastAsia="Arial" w:hAnsi="Arial"/>
          <w:sz w:val="17"/>
          <w:szCs w:val="17"/>
          <w:color w:val="auto"/>
        </w:rPr>
      </w:pPr>
      <w:r>
        <w:rPr>
          <w:rFonts w:ascii="Arial" w:cs="Arial" w:eastAsia="Arial" w:hAnsi="Arial"/>
          <w:sz w:val="17"/>
          <w:szCs w:val="17"/>
          <w:u w:val="single" w:color="auto"/>
          <w:color w:val="auto"/>
        </w:rPr>
        <w:t>Waiting Period and Exercise Dates</w:t>
      </w:r>
      <w:r>
        <w:rPr>
          <w:rFonts w:ascii="Arial" w:cs="Arial" w:eastAsia="Arial" w:hAnsi="Arial"/>
          <w:sz w:val="17"/>
          <w:szCs w:val="17"/>
          <w:color w:val="auto"/>
        </w:rPr>
        <w:t>. At the time an Option is granted, the Administrator will fix the period within which the Option may be exercised and will determine any conditions that must be satisfied before the Option may be exercised.</w:t>
      </w:r>
    </w:p>
    <w:p>
      <w:pPr>
        <w:spacing w:after="0" w:line="132" w:lineRule="exact"/>
        <w:rPr>
          <w:rFonts w:ascii="Arial" w:cs="Arial" w:eastAsia="Arial" w:hAnsi="Arial"/>
          <w:sz w:val="17"/>
          <w:szCs w:val="17"/>
          <w:color w:val="auto"/>
        </w:rPr>
      </w:pPr>
    </w:p>
    <w:p>
      <w:pPr>
        <w:jc w:val="both"/>
        <w:ind w:left="1300" w:firstLine="652"/>
        <w:spacing w:after="0" w:line="275" w:lineRule="auto"/>
        <w:tabs>
          <w:tab w:leader="none" w:pos="2276" w:val="left"/>
        </w:tabs>
        <w:numPr>
          <w:ilvl w:val="2"/>
          <w:numId w:val="38"/>
        </w:numPr>
        <w:rPr>
          <w:rFonts w:ascii="Arial" w:cs="Arial" w:eastAsia="Arial" w:hAnsi="Arial"/>
          <w:sz w:val="17"/>
          <w:szCs w:val="17"/>
          <w:color w:val="auto"/>
        </w:rPr>
      </w:pPr>
      <w:r>
        <w:rPr>
          <w:rFonts w:ascii="Arial" w:cs="Arial" w:eastAsia="Arial" w:hAnsi="Arial"/>
          <w:sz w:val="17"/>
          <w:szCs w:val="17"/>
          <w:u w:val="single" w:color="auto"/>
          <w:color w:val="auto"/>
        </w:rPr>
        <w:t>Form of Consideration</w:t>
      </w:r>
      <w:r>
        <w:rPr>
          <w:rFonts w:ascii="Arial" w:cs="Arial" w:eastAsia="Arial" w:hAnsi="Arial"/>
          <w:sz w:val="17"/>
          <w:szCs w:val="17"/>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5" w:right="339" w:bottom="1440" w:gutter="0" w:footer="0" w:header="0"/>
        </w:sectPr>
      </w:pPr>
    </w:p>
    <w:bookmarkStart w:id="22" w:name="page23"/>
    <w:bookmarkEnd w:id="22"/>
    <w:p>
      <w:pPr>
        <w:jc w:val="both"/>
        <w:ind w:left="180"/>
        <w:spacing w:after="0" w:line="279" w:lineRule="auto"/>
        <w:rPr>
          <w:sz w:val="20"/>
          <w:szCs w:val="20"/>
          <w:color w:val="auto"/>
        </w:rPr>
      </w:pPr>
      <w:r>
        <w:rPr>
          <w:rFonts w:ascii="Arial" w:cs="Arial" w:eastAsia="Arial" w:hAnsi="Arial"/>
          <w:sz w:val="17"/>
          <w:szCs w:val="17"/>
          <w:color w:val="auto"/>
        </w:rPr>
        <w:t>accounting consequences to the Company, as the Administrator may determine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w:t>
      </w:r>
    </w:p>
    <w:p>
      <w:pPr>
        <w:spacing w:after="0" w:line="158" w:lineRule="exact"/>
        <w:rPr>
          <w:sz w:val="20"/>
          <w:szCs w:val="20"/>
          <w:color w:val="auto"/>
        </w:rPr>
      </w:pPr>
    </w:p>
    <w:p>
      <w:pPr>
        <w:ind w:left="440" w:hanging="256"/>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180" w:firstLine="652"/>
        <w:spacing w:after="0" w:line="263" w:lineRule="auto"/>
        <w:tabs>
          <w:tab w:leader="none" w:pos="1043"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0" w:lineRule="exact"/>
        <w:rPr>
          <w:sz w:val="20"/>
          <w:szCs w:val="20"/>
          <w:color w:val="auto"/>
        </w:rPr>
      </w:pPr>
    </w:p>
    <w:p>
      <w:pPr>
        <w:jc w:val="both"/>
        <w:ind w:left="180" w:firstLine="648"/>
        <w:spacing w:after="0" w:line="269" w:lineRule="auto"/>
        <w:rPr>
          <w:sz w:val="20"/>
          <w:szCs w:val="20"/>
          <w:color w:val="auto"/>
        </w:rPr>
      </w:pPr>
      <w:r>
        <w:rPr>
          <w:rFonts w:ascii="Arial" w:cs="Arial" w:eastAsia="Arial" w:hAnsi="Arial"/>
          <w:sz w:val="17"/>
          <w:szCs w:val="17"/>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72" w:lineRule="exact"/>
        <w:rPr>
          <w:sz w:val="20"/>
          <w:szCs w:val="20"/>
          <w:color w:val="auto"/>
        </w:rPr>
      </w:pPr>
    </w:p>
    <w:p>
      <w:pPr>
        <w:jc w:val="both"/>
        <w:ind w:left="180" w:firstLine="648"/>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43" w:lineRule="exact"/>
        <w:rPr>
          <w:sz w:val="20"/>
          <w:szCs w:val="20"/>
          <w:color w:val="auto"/>
        </w:rPr>
      </w:pPr>
    </w:p>
    <w:p>
      <w:pPr>
        <w:jc w:val="both"/>
        <w:ind w:left="180" w:firstLine="652"/>
        <w:spacing w:after="0" w:line="290" w:lineRule="auto"/>
        <w:tabs>
          <w:tab w:leader="none" w:pos="1106"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Termination of Relationship as a Service Provider</w:t>
      </w:r>
      <w:r>
        <w:rPr>
          <w:rFonts w:ascii="Arial" w:cs="Arial" w:eastAsia="Arial" w:hAnsi="Arial"/>
          <w:sz w:val="16"/>
          <w:szCs w:val="16"/>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51" w:lineRule="exact"/>
        <w:rPr>
          <w:rFonts w:ascii="Arial" w:cs="Arial" w:eastAsia="Arial" w:hAnsi="Arial"/>
          <w:sz w:val="16"/>
          <w:szCs w:val="16"/>
          <w:color w:val="auto"/>
        </w:rPr>
      </w:pPr>
    </w:p>
    <w:p>
      <w:pPr>
        <w:jc w:val="both"/>
        <w:ind w:left="180" w:firstLine="652"/>
        <w:spacing w:after="0" w:line="254" w:lineRule="auto"/>
        <w:tabs>
          <w:tab w:leader="none" w:pos="117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Disability of Participant</w:t>
      </w:r>
      <w:r>
        <w:rPr>
          <w:rFonts w:ascii="Arial" w:cs="Arial" w:eastAsia="Arial" w:hAnsi="Arial"/>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78" w:lineRule="exact"/>
        <w:rPr>
          <w:rFonts w:ascii="Arial" w:cs="Arial" w:eastAsia="Arial" w:hAnsi="Arial"/>
          <w:sz w:val="18"/>
          <w:szCs w:val="18"/>
          <w:color w:val="auto"/>
        </w:rPr>
      </w:pPr>
    </w:p>
    <w:p>
      <w:pPr>
        <w:jc w:val="both"/>
        <w:ind w:left="180" w:firstLine="652"/>
        <w:spacing w:after="0" w:line="273" w:lineRule="auto"/>
        <w:tabs>
          <w:tab w:leader="none" w:pos="1133"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20"/>
          </w:cols>
          <w:pgMar w:left="1440" w:top="895" w:right="339" w:bottom="1440" w:gutter="0" w:footer="0" w:header="0"/>
        </w:sectPr>
      </w:pPr>
    </w:p>
    <w:bookmarkStart w:id="23" w:name="page24"/>
    <w:bookmarkEnd w:id="23"/>
    <w:p>
      <w:pPr>
        <w:jc w:val="both"/>
        <w:ind w:left="644"/>
        <w:spacing w:after="0" w:line="275" w:lineRule="auto"/>
        <w:rPr>
          <w:sz w:val="20"/>
          <w:szCs w:val="20"/>
          <w:color w:val="auto"/>
        </w:rPr>
      </w:pPr>
      <w:r>
        <w:rPr>
          <w:rFonts w:ascii="Arial" w:cs="Arial" w:eastAsia="Arial" w:hAnsi="Arial"/>
          <w:sz w:val="17"/>
          <w:szCs w:val="17"/>
          <w:color w:val="auto"/>
        </w:rPr>
        <w:t>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63" w:lineRule="exact"/>
        <w:rPr>
          <w:sz w:val="20"/>
          <w:szCs w:val="20"/>
          <w:color w:val="auto"/>
        </w:rPr>
      </w:pPr>
    </w:p>
    <w:p>
      <w:pPr>
        <w:ind w:left="184" w:hanging="184"/>
        <w:spacing w:after="0"/>
        <w:tabs>
          <w:tab w:leader="none" w:pos="18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4" w:firstLine="644"/>
        <w:spacing w:after="0" w:line="308" w:lineRule="auto"/>
        <w:tabs>
          <w:tab w:leader="none" w:pos="896"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32" w:lineRule="exact"/>
        <w:rPr>
          <w:rFonts w:ascii="Arial" w:cs="Arial" w:eastAsia="Arial" w:hAnsi="Arial"/>
          <w:sz w:val="17"/>
          <w:szCs w:val="17"/>
          <w:color w:val="auto"/>
        </w:rPr>
      </w:pPr>
    </w:p>
    <w:p>
      <w:pPr>
        <w:jc w:val="both"/>
        <w:ind w:left="4" w:firstLine="644"/>
        <w:spacing w:after="0" w:line="259" w:lineRule="auto"/>
        <w:tabs>
          <w:tab w:leader="none" w:pos="907"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3" w:lineRule="exact"/>
        <w:rPr>
          <w:rFonts w:ascii="Arial" w:cs="Arial" w:eastAsia="Arial" w:hAnsi="Arial"/>
          <w:sz w:val="18"/>
          <w:szCs w:val="18"/>
          <w:color w:val="auto"/>
        </w:rPr>
      </w:pPr>
    </w:p>
    <w:p>
      <w:pPr>
        <w:ind w:left="4" w:right="20" w:firstLine="644"/>
        <w:spacing w:after="0" w:line="277" w:lineRule="auto"/>
        <w:tabs>
          <w:tab w:leader="none" w:pos="923"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7 or in the Award Agreement, Shares of Restricted Stock may not be sold, transferred, pledged, assigned, or otherwise alienated or hypothecated until the end of the applicable Period of Restriction.</w:t>
      </w:r>
    </w:p>
    <w:p>
      <w:pPr>
        <w:spacing w:after="0" w:line="143" w:lineRule="exact"/>
        <w:rPr>
          <w:rFonts w:ascii="Arial" w:cs="Arial" w:eastAsia="Arial" w:hAnsi="Arial"/>
          <w:sz w:val="18"/>
          <w:szCs w:val="18"/>
          <w:color w:val="auto"/>
        </w:rPr>
      </w:pPr>
    </w:p>
    <w:p>
      <w:pPr>
        <w:ind w:left="4" w:firstLine="644"/>
        <w:spacing w:after="0" w:line="277" w:lineRule="auto"/>
        <w:tabs>
          <w:tab w:leader="none" w:pos="92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56" w:lineRule="exact"/>
        <w:rPr>
          <w:rFonts w:ascii="Arial" w:cs="Arial" w:eastAsia="Arial" w:hAnsi="Arial"/>
          <w:sz w:val="18"/>
          <w:szCs w:val="18"/>
          <w:color w:val="auto"/>
        </w:rPr>
      </w:pPr>
    </w:p>
    <w:p>
      <w:pPr>
        <w:jc w:val="both"/>
        <w:ind w:left="4" w:firstLine="644"/>
        <w:spacing w:after="0" w:line="311" w:lineRule="auto"/>
        <w:tabs>
          <w:tab w:leader="none" w:pos="896"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Removal of Restrictions</w:t>
      </w:r>
      <w:r>
        <w:rPr>
          <w:rFonts w:ascii="Arial" w:cs="Arial" w:eastAsia="Arial" w:hAnsi="Arial"/>
          <w:sz w:val="16"/>
          <w:szCs w:val="16"/>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35" w:lineRule="exact"/>
        <w:rPr>
          <w:rFonts w:ascii="Arial" w:cs="Arial" w:eastAsia="Arial" w:hAnsi="Arial"/>
          <w:sz w:val="16"/>
          <w:szCs w:val="16"/>
          <w:color w:val="auto"/>
        </w:rPr>
      </w:pPr>
    </w:p>
    <w:p>
      <w:pPr>
        <w:ind w:left="4" w:right="20" w:firstLine="644"/>
        <w:spacing w:after="0" w:line="277" w:lineRule="auto"/>
        <w:tabs>
          <w:tab w:leader="none" w:pos="877"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43" w:lineRule="exact"/>
        <w:rPr>
          <w:rFonts w:ascii="Arial" w:cs="Arial" w:eastAsia="Arial" w:hAnsi="Arial"/>
          <w:sz w:val="18"/>
          <w:szCs w:val="18"/>
          <w:color w:val="auto"/>
        </w:rPr>
      </w:pPr>
    </w:p>
    <w:p>
      <w:pPr>
        <w:jc w:val="both"/>
        <w:ind w:left="4" w:firstLine="644"/>
        <w:spacing w:after="0" w:line="259" w:lineRule="auto"/>
        <w:tabs>
          <w:tab w:leader="none" w:pos="92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subject to Section 4(d)(ii). If any such dividends or distributions are paid in Shares, the Shares will be subject to the same restrictions on transferability and forfeitability as the Shares of Restricted Stock with respect to which they were paid.</w:t>
      </w:r>
    </w:p>
    <w:p>
      <w:pPr>
        <w:spacing w:after="0" w:line="173" w:lineRule="exact"/>
        <w:rPr>
          <w:rFonts w:ascii="Arial" w:cs="Arial" w:eastAsia="Arial" w:hAnsi="Arial"/>
          <w:sz w:val="18"/>
          <w:szCs w:val="18"/>
          <w:color w:val="auto"/>
        </w:rPr>
      </w:pPr>
    </w:p>
    <w:p>
      <w:pPr>
        <w:ind w:left="4" w:firstLine="644"/>
        <w:spacing w:after="0" w:line="277" w:lineRule="auto"/>
        <w:tabs>
          <w:tab w:leader="none" w:pos="92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156" w:lineRule="exact"/>
        <w:rPr>
          <w:rFonts w:ascii="Arial" w:cs="Arial" w:eastAsia="Arial" w:hAnsi="Arial"/>
          <w:sz w:val="18"/>
          <w:szCs w:val="18"/>
          <w:color w:val="auto"/>
        </w:rPr>
      </w:pPr>
    </w:p>
    <w:p>
      <w:pPr>
        <w:ind w:left="184" w:hanging="184"/>
        <w:spacing w:after="0"/>
        <w:tabs>
          <w:tab w:leader="none" w:pos="18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4" w:firstLine="644"/>
        <w:spacing w:after="0" w:line="263" w:lineRule="auto"/>
        <w:tabs>
          <w:tab w:leader="none" w:pos="923"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70" w:lineRule="exact"/>
        <w:rPr>
          <w:rFonts w:ascii="Arial" w:cs="Arial" w:eastAsia="Arial" w:hAnsi="Arial"/>
          <w:sz w:val="18"/>
          <w:szCs w:val="18"/>
          <w:color w:val="auto"/>
        </w:rPr>
      </w:pPr>
    </w:p>
    <w:p>
      <w:pPr>
        <w:jc w:val="both"/>
        <w:ind w:left="4" w:firstLine="644"/>
        <w:spacing w:after="0" w:line="259" w:lineRule="auto"/>
        <w:tabs>
          <w:tab w:leader="none" w:pos="907"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173" w:lineRule="exact"/>
        <w:rPr>
          <w:rFonts w:ascii="Arial" w:cs="Arial" w:eastAsia="Arial" w:hAnsi="Arial"/>
          <w:sz w:val="18"/>
          <w:szCs w:val="18"/>
          <w:color w:val="auto"/>
        </w:rPr>
      </w:pPr>
    </w:p>
    <w:p>
      <w:pPr>
        <w:ind w:left="4" w:firstLine="644"/>
        <w:spacing w:after="0" w:line="277" w:lineRule="auto"/>
        <w:tabs>
          <w:tab w:leader="none" w:pos="91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976" w:top="895" w:right="339" w:bottom="1440" w:gutter="0" w:footer="0" w:header="0"/>
        </w:sectPr>
      </w:pPr>
    </w:p>
    <w:bookmarkStart w:id="24" w:name="page25"/>
    <w:bookmarkEnd w:id="24"/>
    <w:p>
      <w:pPr>
        <w:ind w:left="4"/>
        <w:spacing w:after="0" w:line="277" w:lineRule="auto"/>
        <w:rPr>
          <w:sz w:val="20"/>
          <w:szCs w:val="20"/>
          <w:color w:val="auto"/>
        </w:rPr>
      </w:pPr>
      <w:r>
        <w:rPr>
          <w:rFonts w:ascii="Arial" w:cs="Arial" w:eastAsia="Arial" w:hAnsi="Arial"/>
          <w:sz w:val="18"/>
          <w:szCs w:val="18"/>
          <w:color w:val="auto"/>
        </w:rPr>
        <w:t>grant of Restricted Stock Units, the Administrator, in its sole discretion, may reduce or waive any vesting criteria that must be met to receive a payout.</w:t>
      </w:r>
    </w:p>
    <w:p>
      <w:pPr>
        <w:spacing w:after="0" w:line="157" w:lineRule="exact"/>
        <w:rPr>
          <w:sz w:val="20"/>
          <w:szCs w:val="20"/>
          <w:color w:val="auto"/>
        </w:rPr>
      </w:pPr>
    </w:p>
    <w:p>
      <w:pPr>
        <w:jc w:val="both"/>
        <w:ind w:left="4" w:firstLine="644"/>
        <w:spacing w:after="0" w:line="263" w:lineRule="auto"/>
        <w:tabs>
          <w:tab w:leader="none" w:pos="934"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56" w:lineRule="exact"/>
        <w:rPr>
          <w:rFonts w:ascii="Arial" w:cs="Arial" w:eastAsia="Arial" w:hAnsi="Arial"/>
          <w:sz w:val="18"/>
          <w:szCs w:val="18"/>
          <w:color w:val="auto"/>
        </w:rPr>
      </w:pPr>
    </w:p>
    <w:p>
      <w:pPr>
        <w:ind w:left="884" w:hanging="236"/>
        <w:spacing w:after="0"/>
        <w:tabs>
          <w:tab w:leader="none" w:pos="884"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Cancellation</w:t>
      </w:r>
      <w:r>
        <w:rPr>
          <w:rFonts w:ascii="Arial" w:cs="Arial" w:eastAsia="Arial" w:hAnsi="Arial"/>
          <w:sz w:val="17"/>
          <w:szCs w:val="17"/>
          <w:color w:val="auto"/>
        </w:rPr>
        <w:t>. On the date set forth in the Award Agreement, all unearned Restricted Stock Units will be forfeited to the Company.</w:t>
      </w:r>
    </w:p>
    <w:p>
      <w:pPr>
        <w:spacing w:after="0" w:line="223" w:lineRule="exact"/>
        <w:rPr>
          <w:rFonts w:ascii="Arial" w:cs="Arial" w:eastAsia="Arial" w:hAnsi="Arial"/>
          <w:sz w:val="17"/>
          <w:szCs w:val="17"/>
          <w:color w:val="auto"/>
        </w:rPr>
      </w:pPr>
    </w:p>
    <w:p>
      <w:pPr>
        <w:ind w:left="184" w:hanging="184"/>
        <w:spacing w:after="0"/>
        <w:tabs>
          <w:tab w:leader="none" w:pos="18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4" w:firstLine="644"/>
        <w:spacing w:after="0" w:line="277" w:lineRule="auto"/>
        <w:tabs>
          <w:tab w:leader="none" w:pos="896"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43" w:lineRule="exact"/>
        <w:rPr>
          <w:rFonts w:ascii="Arial" w:cs="Arial" w:eastAsia="Arial" w:hAnsi="Arial"/>
          <w:sz w:val="18"/>
          <w:szCs w:val="18"/>
          <w:color w:val="auto"/>
        </w:rPr>
      </w:pPr>
    </w:p>
    <w:p>
      <w:pPr>
        <w:ind w:left="4" w:right="20" w:firstLine="644"/>
        <w:spacing w:after="0" w:line="277" w:lineRule="auto"/>
        <w:tabs>
          <w:tab w:leader="none" w:pos="907"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Stock Appreciation Rights granted to any Service Provider.</w:t>
      </w:r>
    </w:p>
    <w:p>
      <w:pPr>
        <w:spacing w:after="0" w:line="156" w:lineRule="exact"/>
        <w:rPr>
          <w:rFonts w:ascii="Arial" w:cs="Arial" w:eastAsia="Arial" w:hAnsi="Arial"/>
          <w:sz w:val="18"/>
          <w:szCs w:val="18"/>
          <w:color w:val="auto"/>
        </w:rPr>
      </w:pPr>
    </w:p>
    <w:p>
      <w:pPr>
        <w:jc w:val="both"/>
        <w:ind w:left="4" w:firstLine="644"/>
        <w:spacing w:after="0" w:line="257" w:lineRule="auto"/>
        <w:tabs>
          <w:tab w:leader="none" w:pos="896"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Exercise Price and Other Terms</w:t>
      </w:r>
      <w:r>
        <w:rPr>
          <w:rFonts w:ascii="Arial" w:cs="Arial" w:eastAsia="Arial" w:hAnsi="Arial"/>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w:t>
      </w:r>
    </w:p>
    <w:p>
      <w:pPr>
        <w:spacing w:after="0" w:line="174" w:lineRule="exact"/>
        <w:rPr>
          <w:rFonts w:ascii="Arial" w:cs="Arial" w:eastAsia="Arial" w:hAnsi="Arial"/>
          <w:sz w:val="18"/>
          <w:szCs w:val="18"/>
          <w:color w:val="auto"/>
        </w:rPr>
      </w:pPr>
    </w:p>
    <w:p>
      <w:pPr>
        <w:jc w:val="both"/>
        <w:ind w:left="4" w:firstLine="644"/>
        <w:spacing w:after="0" w:line="263" w:lineRule="auto"/>
        <w:tabs>
          <w:tab w:leader="none" w:pos="934"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56" w:lineRule="exact"/>
        <w:rPr>
          <w:rFonts w:ascii="Arial" w:cs="Arial" w:eastAsia="Arial" w:hAnsi="Arial"/>
          <w:sz w:val="18"/>
          <w:szCs w:val="18"/>
          <w:color w:val="auto"/>
        </w:rPr>
      </w:pPr>
    </w:p>
    <w:p>
      <w:pPr>
        <w:jc w:val="both"/>
        <w:ind w:left="4" w:firstLine="644"/>
        <w:spacing w:after="0" w:line="263" w:lineRule="auto"/>
        <w:tabs>
          <w:tab w:leader="none" w:pos="896"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Expiration of Stock Appreciation Rights</w:t>
      </w:r>
      <w:r>
        <w:rPr>
          <w:rFonts w:ascii="Arial" w:cs="Arial" w:eastAsia="Arial" w:hAnsi="Arial"/>
          <w:sz w:val="18"/>
          <w:szCs w:val="18"/>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70" w:lineRule="exact"/>
        <w:rPr>
          <w:rFonts w:ascii="Arial" w:cs="Arial" w:eastAsia="Arial" w:hAnsi="Arial"/>
          <w:sz w:val="18"/>
          <w:szCs w:val="18"/>
          <w:color w:val="auto"/>
        </w:rPr>
      </w:pPr>
    </w:p>
    <w:p>
      <w:pPr>
        <w:jc w:val="both"/>
        <w:ind w:left="4" w:firstLine="644"/>
        <w:spacing w:after="0" w:line="257" w:lineRule="auto"/>
        <w:tabs>
          <w:tab w:leader="none" w:pos="877"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 (i) the difference between the Fair Market Value of a Share on the date of exercise over the 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w:t>
      </w:r>
    </w:p>
    <w:p>
      <w:pPr>
        <w:spacing w:after="0" w:line="174" w:lineRule="exact"/>
        <w:rPr>
          <w:rFonts w:ascii="Arial" w:cs="Arial" w:eastAsia="Arial" w:hAnsi="Arial"/>
          <w:sz w:val="18"/>
          <w:szCs w:val="18"/>
          <w:color w:val="auto"/>
        </w:rPr>
      </w:pPr>
    </w:p>
    <w:p>
      <w:pPr>
        <w:ind w:left="264" w:hanging="264"/>
        <w:spacing w:after="0"/>
        <w:tabs>
          <w:tab w:leader="none" w:pos="26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4" w:firstLine="644"/>
        <w:spacing w:after="0" w:line="263" w:lineRule="auto"/>
        <w:tabs>
          <w:tab w:leader="none" w:pos="896"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Grant of Performance Units/Shares</w:t>
      </w:r>
      <w:r>
        <w:rPr>
          <w:rFonts w:ascii="Arial" w:cs="Arial" w:eastAsia="Arial" w:hAnsi="Arial"/>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70" w:lineRule="exact"/>
        <w:rPr>
          <w:rFonts w:ascii="Arial" w:cs="Arial" w:eastAsia="Arial" w:hAnsi="Arial"/>
          <w:sz w:val="18"/>
          <w:szCs w:val="18"/>
          <w:color w:val="auto"/>
        </w:rPr>
      </w:pPr>
    </w:p>
    <w:p>
      <w:pPr>
        <w:ind w:left="4" w:firstLine="644"/>
        <w:spacing w:after="0" w:line="308" w:lineRule="auto"/>
        <w:tabs>
          <w:tab w:leader="none" w:pos="907"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Value of Performance Units/Shares</w:t>
      </w:r>
      <w:r>
        <w:rPr>
          <w:rFonts w:ascii="Arial" w:cs="Arial" w:eastAsia="Arial" w:hAnsi="Arial"/>
          <w:sz w:val="17"/>
          <w:szCs w:val="17"/>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32" w:lineRule="exact"/>
        <w:rPr>
          <w:rFonts w:ascii="Arial" w:cs="Arial" w:eastAsia="Arial" w:hAnsi="Arial"/>
          <w:sz w:val="17"/>
          <w:szCs w:val="17"/>
          <w:color w:val="auto"/>
        </w:rPr>
      </w:pPr>
    </w:p>
    <w:p>
      <w:pPr>
        <w:jc w:val="both"/>
        <w:ind w:left="4" w:firstLine="644"/>
        <w:spacing w:after="0" w:line="275" w:lineRule="auto"/>
        <w:tabs>
          <w:tab w:leader="none" w:pos="896"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Performance Objectives and Other Terms</w:t>
      </w:r>
      <w:r>
        <w:rPr>
          <w:rFonts w:ascii="Arial" w:cs="Arial" w:eastAsia="Arial" w:hAnsi="Arial"/>
          <w:sz w:val="17"/>
          <w:szCs w:val="17"/>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4"/>
          </w:cols>
          <w:pgMar w:left="976" w:top="895" w:right="339" w:bottom="1440" w:gutter="0" w:footer="0" w:header="0"/>
        </w:sectPr>
      </w:pPr>
    </w:p>
    <w:bookmarkStart w:id="25" w:name="page26"/>
    <w:bookmarkEnd w:id="25"/>
    <w:p>
      <w:pPr>
        <w:jc w:val="both"/>
        <w:ind w:left="660"/>
        <w:spacing w:after="0" w:line="263" w:lineRule="auto"/>
        <w:rPr>
          <w:sz w:val="20"/>
          <w:szCs w:val="20"/>
          <w:color w:val="auto"/>
        </w:rPr>
      </w:pPr>
      <w:r>
        <w:rPr>
          <w:rFonts w:ascii="Arial" w:cs="Arial" w:eastAsia="Arial" w:hAnsi="Arial"/>
          <w:sz w:val="18"/>
          <w:szCs w:val="18"/>
          <w:color w:val="auto"/>
        </w:rPr>
        <w:t>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170" w:lineRule="exact"/>
        <w:rPr>
          <w:sz w:val="20"/>
          <w:szCs w:val="20"/>
          <w:color w:val="auto"/>
        </w:rPr>
      </w:pPr>
    </w:p>
    <w:p>
      <w:pPr>
        <w:jc w:val="both"/>
        <w:ind w:left="660" w:firstLine="644"/>
        <w:spacing w:after="0" w:line="257" w:lineRule="auto"/>
        <w:tabs>
          <w:tab w:leader="none" w:pos="1576"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Earning of Performance Units/Shares</w:t>
      </w:r>
      <w:r>
        <w:rPr>
          <w:rFonts w:ascii="Arial" w:cs="Arial" w:eastAsia="Arial" w:hAnsi="Arial"/>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60" w:lineRule="exact"/>
        <w:rPr>
          <w:rFonts w:ascii="Arial" w:cs="Arial" w:eastAsia="Arial" w:hAnsi="Arial"/>
          <w:sz w:val="18"/>
          <w:szCs w:val="18"/>
          <w:color w:val="auto"/>
        </w:rPr>
      </w:pPr>
    </w:p>
    <w:p>
      <w:pPr>
        <w:jc w:val="both"/>
        <w:ind w:left="660" w:firstLine="644"/>
        <w:spacing w:after="0" w:line="259" w:lineRule="auto"/>
        <w:tabs>
          <w:tab w:leader="none" w:pos="1566"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Performance Units/Shares</w:t>
      </w:r>
      <w:r>
        <w:rPr>
          <w:rFonts w:ascii="Arial" w:cs="Arial" w:eastAsia="Arial" w:hAnsi="Arial"/>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73" w:lineRule="exact"/>
        <w:rPr>
          <w:rFonts w:ascii="Arial" w:cs="Arial" w:eastAsia="Arial" w:hAnsi="Arial"/>
          <w:sz w:val="18"/>
          <w:szCs w:val="18"/>
          <w:color w:val="auto"/>
        </w:rPr>
      </w:pPr>
    </w:p>
    <w:p>
      <w:pPr>
        <w:ind w:left="660" w:firstLine="644"/>
        <w:spacing w:after="0" w:line="277" w:lineRule="auto"/>
        <w:tabs>
          <w:tab w:leader="none" w:pos="156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Cancellation of Performance Units/Shares</w:t>
      </w:r>
      <w:r>
        <w:rPr>
          <w:rFonts w:ascii="Arial" w:cs="Arial" w:eastAsia="Arial" w:hAnsi="Arial"/>
          <w:sz w:val="18"/>
          <w:szCs w:val="18"/>
          <w:color w:val="auto"/>
        </w:rPr>
        <w:t>. On the date set forth in the Award Agreement, all unearned or unvested Performance Units/Shares will be forfeited to the Company, and again will be available for grant under the Plan.</w:t>
      </w:r>
    </w:p>
    <w:p>
      <w:pPr>
        <w:spacing w:after="0" w:line="156" w:lineRule="exact"/>
        <w:rPr>
          <w:rFonts w:ascii="Arial" w:cs="Arial" w:eastAsia="Arial" w:hAnsi="Arial"/>
          <w:sz w:val="18"/>
          <w:szCs w:val="18"/>
          <w:color w:val="auto"/>
        </w:rPr>
      </w:pPr>
    </w:p>
    <w:p>
      <w:pPr>
        <w:jc w:val="both"/>
        <w:ind w:firstLine="656"/>
        <w:spacing w:after="0" w:line="254" w:lineRule="auto"/>
        <w:tabs>
          <w:tab w:leader="none" w:pos="91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Absence/Transfers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day of such leave any Incentive Stock Option held by the Participant will cease to be treated as an Incentive Stock Option and will be treated for tax purposes as a Nonstatutory Stock Option.</w:t>
      </w:r>
    </w:p>
    <w:p>
      <w:pPr>
        <w:spacing w:after="0" w:line="167" w:lineRule="exact"/>
        <w:rPr>
          <w:rFonts w:ascii="Arial" w:cs="Arial" w:eastAsia="Arial" w:hAnsi="Arial"/>
          <w:sz w:val="18"/>
          <w:szCs w:val="18"/>
          <w:color w:val="auto"/>
        </w:rPr>
      </w:pPr>
    </w:p>
    <w:p>
      <w:pPr>
        <w:jc w:val="both"/>
        <w:ind w:firstLine="656"/>
        <w:spacing w:after="0" w:line="279" w:lineRule="auto"/>
        <w:tabs>
          <w:tab w:leader="none" w:pos="93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Transferability of Awards</w:t>
      </w:r>
      <w:r>
        <w:rPr>
          <w:rFonts w:ascii="Arial" w:cs="Arial" w:eastAsia="Arial" w:hAnsi="Arial"/>
          <w:sz w:val="17"/>
          <w:szCs w:val="17"/>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w:t>
      </w:r>
    </w:p>
    <w:p>
      <w:pPr>
        <w:spacing w:after="0" w:line="157" w:lineRule="exact"/>
        <w:rPr>
          <w:rFonts w:ascii="Arial" w:cs="Arial" w:eastAsia="Arial" w:hAnsi="Arial"/>
          <w:sz w:val="17"/>
          <w:szCs w:val="17"/>
          <w:color w:val="auto"/>
        </w:rPr>
      </w:pPr>
    </w:p>
    <w:p>
      <w:pPr>
        <w:ind w:left="920" w:hanging="264"/>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60" w:firstLine="644"/>
        <w:spacing w:after="0" w:line="273" w:lineRule="auto"/>
        <w:tabs>
          <w:tab w:leader="none" w:pos="1579"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150" w:lineRule="exact"/>
        <w:rPr>
          <w:rFonts w:ascii="Arial" w:cs="Arial" w:eastAsia="Arial" w:hAnsi="Arial"/>
          <w:sz w:val="17"/>
          <w:szCs w:val="17"/>
          <w:color w:val="auto"/>
        </w:rPr>
      </w:pPr>
    </w:p>
    <w:p>
      <w:pPr>
        <w:jc w:val="both"/>
        <w:ind w:left="660" w:firstLine="644"/>
        <w:spacing w:after="0" w:line="263" w:lineRule="auto"/>
        <w:tabs>
          <w:tab w:leader="none" w:pos="1563"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566"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173"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In the event that the successor corporation does not assume or substitute for the Award, the Participant will fully vest in and have the right to exercise all of his or her outstanding Options and Stock Appreciation Rights,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95" w:right="339" w:bottom="1440" w:gutter="0" w:footer="0" w:header="0"/>
        </w:sectPr>
      </w:pPr>
    </w:p>
    <w:bookmarkStart w:id="26" w:name="page27"/>
    <w:bookmarkEnd w:id="26"/>
    <w:p>
      <w:pPr>
        <w:jc w:val="both"/>
        <w:ind w:left="4"/>
        <w:spacing w:after="0" w:line="273" w:lineRule="auto"/>
        <w:rPr>
          <w:sz w:val="20"/>
          <w:szCs w:val="20"/>
          <w:color w:val="auto"/>
        </w:rPr>
      </w:pPr>
      <w:r>
        <w:rPr>
          <w:rFonts w:ascii="Arial" w:cs="Arial" w:eastAsia="Arial" w:hAnsi="Arial"/>
          <w:sz w:val="17"/>
          <w:szCs w:val="17"/>
          <w:color w:val="auto"/>
        </w:rPr>
        <w:t>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64"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7"/>
          <w:szCs w:val="17"/>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54" w:lineRule="exact"/>
        <w:rPr>
          <w:sz w:val="20"/>
          <w:szCs w:val="20"/>
          <w:color w:val="auto"/>
        </w:rPr>
      </w:pPr>
    </w:p>
    <w:p>
      <w:pPr>
        <w:jc w:val="both"/>
        <w:ind w:left="4" w:firstLine="648"/>
        <w:spacing w:after="0" w:line="279" w:lineRule="auto"/>
        <w:rPr>
          <w:sz w:val="20"/>
          <w:szCs w:val="20"/>
          <w:color w:val="auto"/>
        </w:rPr>
      </w:pPr>
      <w:r>
        <w:rPr>
          <w:rFonts w:ascii="Arial" w:cs="Arial" w:eastAsia="Arial" w:hAnsi="Arial"/>
          <w:sz w:val="17"/>
          <w:szCs w:val="17"/>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58" w:lineRule="exact"/>
        <w:rPr>
          <w:sz w:val="20"/>
          <w:szCs w:val="20"/>
          <w:color w:val="auto"/>
        </w:rPr>
      </w:pPr>
    </w:p>
    <w:p>
      <w:pPr>
        <w:jc w:val="both"/>
        <w:ind w:left="4" w:firstLine="644"/>
        <w:spacing w:after="0" w:line="272" w:lineRule="auto"/>
        <w:tabs>
          <w:tab w:leader="none" w:pos="907"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Outside Director Awards</w:t>
      </w:r>
      <w:r>
        <w:rPr>
          <w:rFonts w:ascii="Arial" w:cs="Arial" w:eastAsia="Arial" w:hAnsi="Arial"/>
          <w:sz w:val="17"/>
          <w:szCs w:val="17"/>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w:t>
      </w:r>
    </w:p>
    <w:p>
      <w:pPr>
        <w:spacing w:after="0" w:line="163" w:lineRule="exact"/>
        <w:rPr>
          <w:rFonts w:ascii="Arial" w:cs="Arial" w:eastAsia="Arial" w:hAnsi="Arial"/>
          <w:sz w:val="17"/>
          <w:szCs w:val="17"/>
          <w:color w:val="auto"/>
        </w:rPr>
      </w:pPr>
    </w:p>
    <w:p>
      <w:pPr>
        <w:ind w:left="264" w:hanging="264"/>
        <w:spacing w:after="0"/>
        <w:tabs>
          <w:tab w:leader="none" w:pos="26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4" w:firstLine="644"/>
        <w:spacing w:after="0" w:line="311" w:lineRule="auto"/>
        <w:tabs>
          <w:tab w:leader="none" w:pos="896"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Withholding Requirements</w:t>
      </w:r>
      <w:r>
        <w:rPr>
          <w:rFonts w:ascii="Arial" w:cs="Arial" w:eastAsia="Arial" w:hAnsi="Arial"/>
          <w:sz w:val="16"/>
          <w:szCs w:val="16"/>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35" w:lineRule="exact"/>
        <w:rPr>
          <w:rFonts w:ascii="Arial" w:cs="Arial" w:eastAsia="Arial" w:hAnsi="Arial"/>
          <w:sz w:val="16"/>
          <w:szCs w:val="16"/>
          <w:color w:val="auto"/>
        </w:rPr>
      </w:pPr>
    </w:p>
    <w:p>
      <w:pPr>
        <w:jc w:val="both"/>
        <w:ind w:left="4" w:firstLine="644"/>
        <w:spacing w:after="0" w:line="255" w:lineRule="auto"/>
        <w:tabs>
          <w:tab w:leader="none" w:pos="907"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Withholding Arrangements</w:t>
      </w:r>
      <w:r>
        <w:rPr>
          <w:rFonts w:ascii="Arial" w:cs="Arial" w:eastAsia="Arial" w:hAnsi="Arial"/>
          <w:sz w:val="18"/>
          <w:szCs w:val="18"/>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178" w:lineRule="exact"/>
        <w:rPr>
          <w:rFonts w:ascii="Arial" w:cs="Arial" w:eastAsia="Arial" w:hAnsi="Arial"/>
          <w:sz w:val="18"/>
          <w:szCs w:val="18"/>
          <w:color w:val="auto"/>
        </w:rPr>
      </w:pPr>
    </w:p>
    <w:p>
      <w:pPr>
        <w:jc w:val="both"/>
        <w:ind w:left="4" w:firstLine="644"/>
        <w:spacing w:after="0" w:line="254" w:lineRule="auto"/>
        <w:tabs>
          <w:tab w:leader="none" w:pos="896"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4"/>
          </w:cols>
          <w:pgMar w:left="976" w:top="895"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7"/>
          <w:szCs w:val="17"/>
          <w:color w:val="auto"/>
        </w:rPr>
        <w:t>such that the grant, payment, settlement or deferral will not be subject to the additional tax or interest applicable under Code Section 409A.</w:t>
      </w:r>
    </w:p>
    <w:p>
      <w:pPr>
        <w:spacing w:after="0" w:line="223" w:lineRule="exact"/>
        <w:rPr>
          <w:sz w:val="20"/>
          <w:szCs w:val="20"/>
          <w:color w:val="auto"/>
        </w:rPr>
      </w:pPr>
    </w:p>
    <w:p>
      <w:pPr>
        <w:jc w:val="both"/>
        <w:ind w:firstLine="656"/>
        <w:spacing w:after="0" w:line="263" w:lineRule="auto"/>
        <w:tabs>
          <w:tab w:leader="none" w:pos="91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56"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0" w:lineRule="exact"/>
        <w:rPr>
          <w:rFonts w:ascii="Arial" w:cs="Arial" w:eastAsia="Arial" w:hAnsi="Arial"/>
          <w:sz w:val="18"/>
          <w:szCs w:val="18"/>
          <w:color w:val="auto"/>
        </w:rPr>
      </w:pPr>
    </w:p>
    <w:p>
      <w:pPr>
        <w:ind w:firstLine="656"/>
        <w:spacing w:after="0" w:line="308" w:lineRule="auto"/>
        <w:tabs>
          <w:tab w:leader="none" w:pos="918"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Term of Plan</w:t>
      </w:r>
      <w:r>
        <w:rPr>
          <w:rFonts w:ascii="Arial" w:cs="Arial" w:eastAsia="Arial" w:hAnsi="Arial"/>
          <w:sz w:val="17"/>
          <w:szCs w:val="17"/>
          <w:color w:val="auto"/>
        </w:rPr>
        <w:t>. Subject to Section 22 of the Plan, the Plan will become effective upon the Amendment Effective Date. It will continue in effect for a term of ten (10) years from the date the Existing Plan was adopted by the Board, unless terminated earlier under Section 18 of the Plan.</w:t>
      </w:r>
    </w:p>
    <w:p>
      <w:pPr>
        <w:spacing w:after="0" w:line="132" w:lineRule="exact"/>
        <w:rPr>
          <w:rFonts w:ascii="Arial" w:cs="Arial" w:eastAsia="Arial" w:hAnsi="Arial"/>
          <w:sz w:val="17"/>
          <w:szCs w:val="17"/>
          <w:color w:val="auto"/>
        </w:rPr>
      </w:pPr>
    </w:p>
    <w:p>
      <w:pPr>
        <w:ind w:left="920" w:hanging="264"/>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540" w:hanging="236"/>
        <w:spacing w:after="0"/>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the Plan.</w:t>
      </w:r>
    </w:p>
    <w:p>
      <w:pPr>
        <w:spacing w:after="0" w:line="211" w:lineRule="exact"/>
        <w:rPr>
          <w:rFonts w:ascii="Arial" w:cs="Arial" w:eastAsia="Arial" w:hAnsi="Arial"/>
          <w:sz w:val="18"/>
          <w:szCs w:val="18"/>
          <w:color w:val="auto"/>
        </w:rPr>
      </w:pPr>
    </w:p>
    <w:p>
      <w:pPr>
        <w:ind w:left="660" w:firstLine="644"/>
        <w:spacing w:after="0" w:line="277" w:lineRule="auto"/>
        <w:tabs>
          <w:tab w:leader="none" w:pos="1563"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56" w:lineRule="exact"/>
        <w:rPr>
          <w:rFonts w:ascii="Arial" w:cs="Arial" w:eastAsia="Arial" w:hAnsi="Arial"/>
          <w:sz w:val="18"/>
          <w:szCs w:val="18"/>
          <w:color w:val="auto"/>
        </w:rPr>
      </w:pPr>
    </w:p>
    <w:p>
      <w:pPr>
        <w:jc w:val="both"/>
        <w:ind w:left="660" w:firstLine="644"/>
        <w:spacing w:after="0" w:line="259" w:lineRule="auto"/>
        <w:tabs>
          <w:tab w:leader="none" w:pos="155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59" w:lineRule="exact"/>
        <w:rPr>
          <w:rFonts w:ascii="Arial" w:cs="Arial" w:eastAsia="Arial" w:hAnsi="Arial"/>
          <w:sz w:val="18"/>
          <w:szCs w:val="18"/>
          <w:color w:val="auto"/>
        </w:rPr>
      </w:pPr>
    </w:p>
    <w:p>
      <w:pPr>
        <w:ind w:left="920" w:hanging="264"/>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60" w:firstLine="644"/>
        <w:spacing w:after="0" w:line="263" w:lineRule="auto"/>
        <w:tabs>
          <w:tab w:leader="none" w:pos="155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1563"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38" w:lineRule="exact"/>
        <w:rPr>
          <w:rFonts w:ascii="Arial" w:cs="Arial" w:eastAsia="Arial" w:hAnsi="Arial"/>
          <w:sz w:val="17"/>
          <w:szCs w:val="17"/>
          <w:color w:val="auto"/>
        </w:rPr>
      </w:pPr>
    </w:p>
    <w:p>
      <w:pPr>
        <w:jc w:val="both"/>
        <w:ind w:firstLine="656"/>
        <w:spacing w:after="0" w:line="263" w:lineRule="auto"/>
        <w:tabs>
          <w:tab w:leader="none" w:pos="91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Forfeiture Events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60" w:firstLine="644"/>
        <w:spacing w:after="0" w:line="290" w:lineRule="auto"/>
        <w:tabs>
          <w:tab w:leader="none" w:pos="1546"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5" w:right="339" w:bottom="1440" w:gutter="0" w:footer="0" w:header="0"/>
        </w:sectPr>
      </w:pPr>
    </w:p>
    <w:bookmarkStart w:id="28" w:name="page29"/>
    <w:bookmarkEnd w:id="28"/>
    <w:p>
      <w:pPr>
        <w:jc w:val="both"/>
        <w:ind w:left="660" w:firstLine="644"/>
        <w:spacing w:after="0" w:line="275" w:lineRule="auto"/>
        <w:tabs>
          <w:tab w:leader="none" w:pos="1565"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162" w:lineRule="exact"/>
        <w:rPr>
          <w:rFonts w:ascii="Arial" w:cs="Arial" w:eastAsia="Arial" w:hAnsi="Arial"/>
          <w:sz w:val="17"/>
          <w:szCs w:val="17"/>
          <w:color w:val="auto"/>
        </w:rPr>
      </w:pPr>
    </w:p>
    <w:p>
      <w:pPr>
        <w:ind w:firstLine="656"/>
        <w:spacing w:after="0" w:line="277" w:lineRule="auto"/>
        <w:tabs>
          <w:tab w:leader="none" w:pos="91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This amendment of the Plan is subject to, and contingent upon, stockholder approval at the 2020 Annual Meeting of Stockholders. Such stockholder approval will be obtained in the manner and to the degree required under Applicable Laws.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decimal"/>
      <w:start w:val="2"/>
    </w:lvl>
  </w:abstractNum>
  <w:abstractNum w:abstractNumId="3">
    <w:nsid w:val="54E49EB4"/>
    <w:multiLevelType w:val="hybridMultilevel"/>
    <w:lvl w:ilvl="0">
      <w:lvlJc w:val="left"/>
      <w:lvlText w:val="%1."/>
      <w:numFmt w:val="decimal"/>
      <w:start w:val="3"/>
    </w:lvl>
  </w:abstractNum>
  <w:abstractNum w:abstractNumId="4">
    <w:nsid w:val="71F32454"/>
    <w:multiLevelType w:val="hybridMultilevel"/>
    <w:lvl w:ilvl="0">
      <w:lvlJc w:val="left"/>
      <w:lvlText w:val="%1."/>
      <w:numFmt w:val="decimal"/>
      <w:start w:val="4"/>
    </w:lvl>
  </w:abstractNum>
  <w:abstractNum w:abstractNumId="5">
    <w:nsid w:val="2CA88611"/>
    <w:multiLevelType w:val="hybridMultilevel"/>
    <w:lvl w:ilvl="0">
      <w:lvlJc w:val="left"/>
      <w:lvlText w:val="%1."/>
      <w:numFmt w:val="decimal"/>
      <w:start w:val="5"/>
    </w:lvl>
  </w:abstractNum>
  <w:abstractNum w:abstractNumId="6">
    <w:nsid w:val="836C40E"/>
    <w:multiLevelType w:val="hybridMultilevel"/>
    <w:lvl w:ilvl="0">
      <w:lvlJc w:val="left"/>
      <w:lvlText w:val="(%1)"/>
      <w:numFmt w:val="lowerLetter"/>
      <w:start w:val="4"/>
    </w:lvl>
  </w:abstractNum>
  <w:abstractNum w:abstractNumId="7">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
    <w:nsid w:val="3A95F874"/>
    <w:multiLevelType w:val="hybridMultilevel"/>
    <w:lvl w:ilvl="0">
      <w:lvlJc w:val="left"/>
      <w:lvlText w:val="(%1)"/>
      <w:numFmt w:val="lowerLetter"/>
      <w:start w:val="5"/>
    </w:lvl>
  </w:abstractNum>
  <w:abstractNum w:abstractNumId="9">
    <w:nsid w:val="8138641"/>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10">
    <w:nsid w:val="1E7FF521"/>
    <w:multiLevelType w:val="hybridMultilevel"/>
    <w:lvl w:ilvl="0">
      <w:lvlJc w:val="left"/>
      <w:lvlText w:val="%1."/>
      <w:numFmt w:val="decimal"/>
      <w:start w:val="4"/>
    </w:lvl>
    <w:lvl w:ilvl="1">
      <w:lvlJc w:val="left"/>
      <w:lvlText w:val="(%2)"/>
      <w:numFmt w:val="lowerLetter"/>
      <w:start w:val="22"/>
    </w:lvl>
    <w:lvl w:ilvl="2">
      <w:lvlJc w:val="left"/>
      <w:lvlText w:val="%3"/>
      <w:numFmt w:val="lowerRoman"/>
      <w:start w:val="1"/>
    </w:lvl>
  </w:abstractNum>
  <w:abstractNum w:abstractNumId="11">
    <w:nsid w:val="7C3DBD3D"/>
    <w:multiLevelType w:val="hybridMultilevel"/>
    <w:lvl w:ilvl="0">
      <w:lvlJc w:val="left"/>
      <w:lvlText w:val="(%1)"/>
      <w:numFmt w:val="lowerLetter"/>
      <w:start w:val="24"/>
    </w:lvl>
  </w:abstractNum>
  <w:abstractNum w:abstractNumId="12">
    <w:nsid w:val="737B8DDC"/>
    <w:multiLevelType w:val="hybridMultilevel"/>
    <w:lvl w:ilvl="0">
      <w:lvlJc w:val="left"/>
      <w:lvlText w:val="%1"/>
      <w:numFmt w:val="decimal"/>
      <w:start w:val="1"/>
    </w:lvl>
    <w:lvl w:ilvl="1">
      <w:lvlJc w:val="left"/>
      <w:lvlText w:val="(%2)"/>
      <w:numFmt w:val="lowerLetter"/>
      <w:start w:val="27"/>
    </w:lvl>
  </w:abstractNum>
  <w:abstractNum w:abstractNumId="13">
    <w:nsid w:val="6CEAF087"/>
    <w:multiLevelType w:val="hybridMultilevel"/>
    <w:lvl w:ilvl="0">
      <w:lvlJc w:val="left"/>
      <w:lvlText w:val="%1."/>
      <w:numFmt w:val="decimal"/>
      <w:start w:val="3"/>
    </w:lvl>
    <w:lvl w:ilvl="1">
      <w:lvlJc w:val="left"/>
      <w:lvlText w:val="(%2)"/>
      <w:numFmt w:val="lowerLetter"/>
      <w:start w:val="1"/>
    </w:lvl>
  </w:abstractNum>
  <w:abstractNum w:abstractNumId="14">
    <w:nsid w:val="22221A70"/>
    <w:multiLevelType w:val="hybridMultilevel"/>
    <w:lvl w:ilvl="0">
      <w:lvlJc w:val="left"/>
      <w:lvlText w:val="%1."/>
      <w:numFmt w:val="decimal"/>
      <w:start w:val="5"/>
    </w:lvl>
    <w:lvl w:ilvl="1">
      <w:lvlJc w:val="left"/>
      <w:lvlText w:val="(%2)"/>
      <w:numFmt w:val="lowerLetter"/>
      <w:start w:val="1"/>
    </w:lvl>
  </w:abstractNum>
  <w:abstractNum w:abstractNumId="15">
    <w:nsid w:val="4516DDE9"/>
    <w:multiLevelType w:val="hybridMultilevel"/>
    <w:lvl w:ilvl="0">
      <w:lvlJc w:val="left"/>
      <w:lvlText w:val="%1."/>
      <w:numFmt w:val="decimal"/>
      <w:start w:val="8"/>
    </w:lvl>
    <w:lvl w:ilvl="1">
      <w:lvlJc w:val="left"/>
      <w:lvlText w:val="(%2)"/>
      <w:numFmt w:val="lowerLetter"/>
      <w:start w:val="1"/>
    </w:lvl>
  </w:abstractNum>
  <w:abstractNum w:abstractNumId="16">
    <w:nsid w:val="3006C83E"/>
    <w:multiLevelType w:val="hybridMultilevel"/>
    <w:lvl w:ilvl="0">
      <w:lvlJc w:val="left"/>
      <w:lvlText w:val="%1."/>
      <w:numFmt w:val="decimal"/>
      <w:start w:val="12"/>
    </w:lvl>
    <w:lvl w:ilvl="1">
      <w:lvlJc w:val="left"/>
      <w:lvlText w:val="(%2)"/>
      <w:numFmt w:val="lowerLetter"/>
      <w:start w:val="1"/>
    </w:lvl>
  </w:abstractNum>
  <w:abstractNum w:abstractNumId="17">
    <w:nsid w:val="614FD4A1"/>
    <w:multiLevelType w:val="hybridMultilevel"/>
    <w:lvl w:ilvl="0">
      <w:lvlJc w:val="left"/>
      <w:lvlText w:val="%1"/>
      <w:numFmt w:val="decimal"/>
      <w:start w:val="1"/>
    </w:lvl>
    <w:lvl w:ilvl="1">
      <w:lvlJc w:val="left"/>
      <w:lvlText w:val="(%2)"/>
      <w:numFmt w:val="lowerLetter"/>
      <w:start w:val="3"/>
    </w:lvl>
  </w:abstractNum>
  <w:abstractNum w:abstractNumId="18">
    <w:nsid w:val="419AC241"/>
    <w:multiLevelType w:val="hybridMultilevel"/>
    <w:lvl w:ilvl="0">
      <w:lvlJc w:val="left"/>
      <w:lvlText w:val="%1."/>
      <w:numFmt w:val="decimal"/>
      <w:start w:val="16"/>
    </w:lvl>
    <w:lvl w:ilvl="1">
      <w:lvlJc w:val="left"/>
      <w:lvlText w:val="(%2)"/>
      <w:numFmt w:val="lowerLetter"/>
      <w:start w:val="1"/>
    </w:lvl>
  </w:abstractNum>
  <w:abstractNum w:abstractNumId="19">
    <w:nsid w:val="5577F8E1"/>
    <w:multiLevelType w:val="hybridMultilevel"/>
    <w:lvl w:ilvl="0">
      <w:lvlJc w:val="left"/>
      <w:lvlText w:val="%1"/>
      <w:numFmt w:val="decimal"/>
      <w:start w:val="10"/>
    </w:lvl>
    <w:lvl w:ilvl="1">
      <w:lvlJc w:val="left"/>
      <w:lvlText w:val="(%2)"/>
      <w:numFmt w:val="lowerLetter"/>
      <w:start w:val="3"/>
    </w:lvl>
  </w:abstractNum>
  <w:abstractNum w:abstractNumId="20">
    <w:nsid w:val="440BADFC"/>
    <w:multiLevelType w:val="hybridMultilevel"/>
    <w:lvl w:ilvl="0">
      <w:lvlJc w:val="left"/>
      <w:lvlText w:val="%1"/>
      <w:numFmt w:val="decimal"/>
      <w:start w:val="10"/>
    </w:lvl>
    <w:lvl w:ilvl="1">
      <w:lvlJc w:val="left"/>
      <w:lvlText w:val="%2"/>
      <w:numFmt w:val="lowerLetter"/>
      <w:start w:val="1"/>
    </w:lvl>
  </w:abstractNum>
  <w:abstractNum w:abstractNumId="21">
    <w:nsid w:val="5072367"/>
    <w:multiLevelType w:val="hybridMultilevel"/>
    <w:lvl w:ilvl="0">
      <w:lvlJc w:val="left"/>
      <w:lvlText w:val="%1."/>
      <w:numFmt w:val="decimal"/>
      <w:start w:val="20"/>
    </w:lvl>
    <w:lvl w:ilvl="1">
      <w:lvlJc w:val="left"/>
      <w:lvlText w:val="(%2)"/>
      <w:numFmt w:val="lowerLetter"/>
      <w:start w:val="1"/>
    </w:lvl>
  </w:abstractNum>
  <w:abstractNum w:abstractNumId="22">
    <w:nsid w:val="3804823E"/>
    <w:multiLevelType w:val="hybridMultilevel"/>
    <w:lvl w:ilvl="0">
      <w:lvlJc w:val="left"/>
      <w:lvlText w:val="(%1)"/>
      <w:numFmt w:val="lowerLetter"/>
      <w:start w:val="2"/>
    </w:lvl>
    <w:lvl w:ilvl="1">
      <w:lvlJc w:val="left"/>
      <w:lvlText w:val="(%2)"/>
      <w:numFmt w:val="lowerRoman"/>
      <w:start w:val="1"/>
    </w:lvl>
  </w:abstractNum>
  <w:abstractNum w:abstractNumId="23">
    <w:nsid w:val="77465F01"/>
    <w:multiLevelType w:val="hybridMultilevel"/>
    <w:lvl w:ilvl="0">
      <w:lvlJc w:val="left"/>
      <w:lvlText w:val="%1."/>
      <w:numFmt w:val="decimal"/>
      <w:start w:val="21"/>
    </w:lvl>
  </w:abstractNum>
  <w:abstractNum w:abstractNumId="24">
    <w:nsid w:val="7724C67E"/>
    <w:multiLevelType w:val="hybridMultilevel"/>
    <w:lvl w:ilvl="0">
      <w:lvlJc w:val="left"/>
      <w:lvlText w:val="%1."/>
      <w:numFmt w:val="decimal"/>
      <w:start w:val="23"/>
    </w:lvl>
  </w:abstractNum>
  <w:abstractNum w:abstractNumId="25">
    <w:nsid w:val="5C482A97"/>
    <w:multiLevelType w:val="hybridMultilevel"/>
    <w:lvl w:ilvl="0">
      <w:lvlJc w:val="left"/>
      <w:lvlText w:val="%1."/>
      <w:numFmt w:val="decimal"/>
      <w:start w:val="24"/>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
    <w:nsid w:val="51EAD36B"/>
    <w:multiLevelType w:val="hybridMultilevel"/>
    <w:lvl w:ilvl="0">
      <w:lvlJc w:val="left"/>
      <w:lvlText w:val="(%1)"/>
      <w:numFmt w:val="lowerLetter"/>
      <w:start w:val="8"/>
    </w:lvl>
  </w:abstractNum>
  <w:abstractNum w:abstractNumId="29">
    <w:nsid w:val="2D517796"/>
    <w:multiLevelType w:val="hybridMultilevel"/>
    <w:lvl w:ilvl="0">
      <w:lvlJc w:val="left"/>
      <w:lvlText w:val="(%1)"/>
      <w:numFmt w:val="lowerLetter"/>
      <w:start w:val="18"/>
    </w:lvl>
    <w:lvl w:ilvl="1">
      <w:lvlJc w:val="left"/>
      <w:lvlText w:val="(%2)"/>
      <w:numFmt w:val="lowerRoman"/>
      <w:start w:val="1"/>
    </w:lvl>
  </w:abstractNum>
  <w:abstractNum w:abstractNumId="30">
    <w:nsid w:val="580BD78F"/>
    <w:multiLevelType w:val="hybridMultilevel"/>
    <w:lvl w:ilvl="0">
      <w:lvlJc w:val="left"/>
      <w:lvlText w:val="(%1)"/>
      <w:numFmt w:val="lowerLetter"/>
      <w:start w:val="27"/>
    </w:lvl>
  </w:abstractNum>
  <w:abstractNum w:abstractNumId="31">
    <w:nsid w:val="153EA438"/>
    <w:multiLevelType w:val="hybridMultilevel"/>
    <w:lvl w:ilvl="0">
      <w:lvlJc w:val="left"/>
      <w:lvlText w:val="%1"/>
      <w:numFmt w:val="decimal"/>
      <w:start w:val="1"/>
    </w:lvl>
    <w:lvl w:ilvl="1">
      <w:lvlJc w:val="left"/>
      <w:lvlText w:val="(%2)"/>
      <w:numFmt w:val="lowerLetter"/>
      <w:start w:val="33"/>
    </w:lvl>
    <w:lvl w:ilvl="2">
      <w:lvlJc w:val="left"/>
      <w:lvlText w:val="%3"/>
      <w:numFmt w:val="lowerRoman"/>
      <w:start w:val="1"/>
    </w:lvl>
  </w:abstractNum>
  <w:abstractNum w:abstractNumId="32">
    <w:nsid w:val="3855585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3">
    <w:nsid w:val="70A64E2A"/>
    <w:multiLevelType w:val="hybridMultilevel"/>
    <w:lvl w:ilvl="0">
      <w:lvlJc w:val="left"/>
      <w:lvlText w:val="%1"/>
      <w:numFmt w:val="lowerLetter"/>
      <w:start w:val="1"/>
    </w:lvl>
    <w:lvl w:ilvl="1">
      <w:lvlJc w:val="left"/>
      <w:lvlText w:val="(%2)"/>
      <w:numFmt w:val="lowerLetter"/>
      <w:start w:val="61"/>
    </w:lvl>
  </w:abstractNum>
  <w:abstractNum w:abstractNumId="34">
    <w:nsid w:val="6A2342EC"/>
    <w:multiLevelType w:val="hybridMultilevel"/>
    <w:lvl w:ilvl="0">
      <w:lvlJc w:val="left"/>
      <w:lvlText w:val="(%1)"/>
      <w:numFmt w:val="lowerLetter"/>
      <w:start w:val="2"/>
    </w:lvl>
    <w:lvl w:ilvl="1">
      <w:lvlJc w:val="left"/>
      <w:lvlText w:val="(%2)"/>
      <w:numFmt w:val="lowerLetter"/>
      <w:start w:val="9"/>
    </w:lvl>
  </w:abstractNum>
  <w:abstractNum w:abstractNumId="35">
    <w:nsid w:val="2A487CB0"/>
    <w:multiLevelType w:val="hybridMultilevel"/>
    <w:lvl w:ilvl="0">
      <w:lvlJc w:val="left"/>
      <w:lvlText w:val="%1"/>
      <w:numFmt w:val="lowerLetter"/>
      <w:start w:val="1"/>
    </w:lvl>
    <w:lvl w:ilvl="1">
      <w:lvlJc w:val="left"/>
      <w:lvlText w:val="(%2)"/>
      <w:numFmt w:val="lowerRoman"/>
      <w:start w:val="2"/>
    </w:lvl>
  </w:abstractNum>
  <w:abstractNum w:abstractNumId="36">
    <w:nsid w:val="1D4ED43B"/>
    <w:multiLevelType w:val="hybridMultilevel"/>
    <w:lvl w:ilvl="0">
      <w:lvlJc w:val="left"/>
      <w:lvlText w:val="(%1)"/>
      <w:numFmt w:val="lowerLetter"/>
      <w:start w:val="3"/>
    </w:lvl>
    <w:lvl w:ilvl="1">
      <w:lvlJc w:val="left"/>
      <w:lvlText w:val="(%2)"/>
      <w:numFmt w:val="lowerRoman"/>
      <w:start w:val="1"/>
    </w:lvl>
  </w:abstractNum>
  <w:abstractNum w:abstractNumId="37">
    <w:nsid w:val="725A06F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lowerLetter"/>
      <w:start w:val="1"/>
    </w:lvl>
  </w:abstractNum>
  <w:abstractNum w:abstractNumId="38">
    <w:nsid w:val="2CD89A32"/>
    <w:multiLevelType w:val="hybridMultilevel"/>
    <w:lvl w:ilvl="0">
      <w:lvlJc w:val="left"/>
      <w:lvlText w:val="(%1)"/>
      <w:numFmt w:val="lowerLetter"/>
      <w:start w:val="4"/>
    </w:lvl>
    <w:lvl w:ilvl="1">
      <w:lvlJc w:val="left"/>
      <w:lvlText w:val="(%2)"/>
      <w:numFmt w:val="lowerLetter"/>
      <w:start w:val="9"/>
    </w:lvl>
  </w:abstractNum>
  <w:abstractNum w:abstractNumId="39">
    <w:nsid w:val="57E4CCAF"/>
    <w:multiLevelType w:val="hybridMultilevel"/>
    <w:lvl w:ilvl="0">
      <w:lvlJc w:val="left"/>
      <w:lvlText w:val="(%1)"/>
      <w:numFmt w:val="lowerRoman"/>
      <w:start w:val="2"/>
    </w:lvl>
  </w:abstractNum>
  <w:abstractNum w:abstractNumId="40">
    <w:nsid w:val="7A6D8D3C"/>
    <w:multiLevelType w:val="hybridMultilevel"/>
    <w:lvl w:ilvl="0">
      <w:lvlJc w:val="left"/>
      <w:lvlText w:val="%1."/>
      <w:numFmt w:val="decimal"/>
      <w:start w:val="7"/>
    </w:lvl>
    <w:lvl w:ilvl="1">
      <w:lvlJc w:val="left"/>
      <w:lvlText w:val="(%2)"/>
      <w:numFmt w:val="lowerLetter"/>
      <w:start w:val="1"/>
    </w:lvl>
  </w:abstractNum>
  <w:abstractNum w:abstractNumId="41">
    <w:nsid w:val="4B588F54"/>
    <w:multiLevelType w:val="hybridMultilevel"/>
    <w:lvl w:ilvl="0">
      <w:lvlJc w:val="left"/>
      <w:lvlText w:val="%1"/>
      <w:numFmt w:val="decimal"/>
      <w:start w:val="1"/>
    </w:lvl>
    <w:lvl w:ilvl="1">
      <w:lvlJc w:val="left"/>
      <w:lvlText w:val="(%2)"/>
      <w:numFmt w:val="lowerLetter"/>
      <w:start w:val="4"/>
    </w:lvl>
  </w:abstractNum>
  <w:abstractNum w:abstractNumId="42">
    <w:nsid w:val="542289EC"/>
    <w:multiLevelType w:val="hybridMultilevel"/>
    <w:lvl w:ilvl="0">
      <w:lvlJc w:val="left"/>
      <w:lvlText w:val="%1."/>
      <w:numFmt w:val="decimal"/>
      <w:start w:val="9"/>
    </w:lvl>
    <w:lvl w:ilvl="1">
      <w:lvlJc w:val="left"/>
      <w:lvlText w:val="(%2)"/>
      <w:numFmt w:val="lowerLetter"/>
      <w:start w:val="1"/>
    </w:lvl>
  </w:abstractNum>
  <w:abstractNum w:abstractNumId="43">
    <w:nsid w:val="6DE91B18"/>
    <w:multiLevelType w:val="hybridMultilevel"/>
    <w:lvl w:ilvl="0">
      <w:lvlJc w:val="left"/>
      <w:lvlText w:val="%1"/>
      <w:numFmt w:val="decimal"/>
      <w:start w:val="1"/>
    </w:lvl>
    <w:lvl w:ilvl="1">
      <w:lvlJc w:val="left"/>
      <w:lvlText w:val="(%2)"/>
      <w:numFmt w:val="lowerLetter"/>
      <w:start w:val="4"/>
    </w:lvl>
  </w:abstractNum>
  <w:abstractNum w:abstractNumId="44">
    <w:nsid w:val="38437FDB"/>
    <w:multiLevelType w:val="hybridMultilevel"/>
    <w:lvl w:ilvl="0">
      <w:lvlJc w:val="left"/>
      <w:lvlText w:val="%1."/>
      <w:numFmt w:val="decimal"/>
      <w:start w:val="11"/>
    </w:lvl>
    <w:lvl w:ilvl="1">
      <w:lvlJc w:val="left"/>
      <w:lvlText w:val="(%2)"/>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4"/>
    </w:lvl>
  </w:abstractNum>
  <w:abstractNum w:abstractNumId="46">
    <w:nsid w:val="32FFF902"/>
    <w:multiLevelType w:val="hybridMultilevel"/>
    <w:lvl w:ilvl="0">
      <w:lvlJc w:val="left"/>
      <w:lvlText w:val="%1."/>
      <w:numFmt w:val="decimal"/>
      <w:start w:val="14"/>
    </w:lvl>
    <w:lvl w:ilvl="1">
      <w:lvlJc w:val="left"/>
      <w:lvlText w:val="(%2)"/>
      <w:numFmt w:val="lowerLetter"/>
      <w:start w:val="1"/>
    </w:lvl>
  </w:abstractNum>
  <w:abstractNum w:abstractNumId="47">
    <w:nsid w:val="684A481A"/>
    <w:multiLevelType w:val="hybridMultilevel"/>
    <w:lvl w:ilvl="0">
      <w:lvlJc w:val="left"/>
      <w:lvlText w:val="%1."/>
      <w:numFmt w:val="decimal"/>
      <w:start w:val="15"/>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2"/>
    </w:lvl>
  </w:abstractNum>
  <w:abstractNum w:abstractNumId="49">
    <w:nsid w:val="749ABB43"/>
    <w:multiLevelType w:val="hybridMultilevel"/>
    <w:lvl w:ilvl="0">
      <w:lvlJc w:val="left"/>
      <w:lvlText w:val="%1."/>
      <w:numFmt w:val="decimal"/>
      <w:start w:val="2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2020-06-24T15:59:44Z</dcterms:created>
  <dcterms:modified xsi:type="dcterms:W3CDTF">2020-06-24T15:59:44Z</dcterms:modified>
</cp:coreProperties>
</file>