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12/04/2017</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80" w:type="dxa"/>
            <w:vAlign w:val="bottom"/>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80" w:type="dxa"/>
            <w:vAlign w:val="bottom"/>
            <w:vMerge w:val="restart"/>
          </w:tcPr>
          <w:p>
            <w:pPr>
              <w:jc w:val="right"/>
              <w:ind w:right="92"/>
              <w:spacing w:after="0"/>
              <w:rPr>
                <w:sz w:val="20"/>
                <w:szCs w:val="20"/>
                <w:color w:val="auto"/>
              </w:rPr>
            </w:pPr>
            <w:r>
              <w:rPr>
                <w:rFonts w:ascii="Arial" w:cs="Arial" w:eastAsia="Arial" w:hAnsi="Arial"/>
                <w:sz w:val="18"/>
                <w:szCs w:val="18"/>
                <w:color w:val="0000FF"/>
              </w:rPr>
              <w:t>12/04/2017</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0000FF"/>
              </w:rPr>
              <w:t>8,409</w:t>
            </w:r>
          </w:p>
        </w:tc>
        <w:tc>
          <w:tcPr>
            <w:tcW w:w="54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860" w:type="dxa"/>
            <w:vAlign w:val="bottom"/>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5.4759</w:t>
            </w:r>
            <w:r>
              <w:rPr>
                <w:rFonts w:ascii="Arial" w:cs="Arial" w:eastAsia="Arial" w:hAnsi="Arial"/>
                <w:sz w:val="22"/>
                <w:szCs w:val="22"/>
                <w:color w:val="008000"/>
                <w:w w:val="91"/>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10,324,393</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1,166,957</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82,884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Trilogy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56,820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19,818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ind w:left="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2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Levin Capital Trilogy Master Fund, Ltd.</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ectPr>
          <w:pgSz w:w="11900" w:h="16838" w:orient="portrait"/>
          <w:cols w:equalWidth="0" w:num="1">
            <w:col w:w="10199"/>
          </w:cols>
          <w:pgMar w:left="260" w:top="314"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266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924175" cy="42665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$5.465 to $5.50.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9.</w:t>
      </w:r>
    </w:p>
    <w:p>
      <w:pPr>
        <w:sectPr>
          <w:pgSz w:w="11900" w:h="16838" w:orient="portrait"/>
          <w:cols w:equalWidth="0" w:num="1">
            <w:col w:w="11340"/>
          </w:cols>
          <w:pgMar w:left="260" w:top="140" w:right="299" w:bottom="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05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88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12/06/2017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9060" w:space="80"/>
            <w:col w:w="2200"/>
          </w:cols>
          <w:pgMar w:left="260" w:top="140" w:right="299" w:bottom="0" w:gutter="0" w:footer="0" w:header="0"/>
          <w:type w:val="continuous"/>
        </w:sectPr>
      </w:pPr>
    </w:p>
    <w:p>
      <w:pPr>
        <w:ind w:left="6840"/>
        <w:spacing w:after="0"/>
        <w:rPr>
          <w:sz w:val="20"/>
          <w:szCs w:val="20"/>
          <w:color w:val="auto"/>
        </w:rPr>
      </w:pPr>
      <w:r>
        <w:rPr>
          <w:rFonts w:ascii="Arial" w:cs="Arial" w:eastAsia="Arial" w:hAnsi="Arial"/>
          <w:sz w:val="16"/>
          <w:szCs w:val="16"/>
          <w:color w:val="0000FF"/>
        </w:rPr>
        <w:t>Safinia Partners, L.P.; By: LCS 12/06/2017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957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340"/>
          </w:cols>
          <w:pgMar w:left="260" w:top="140"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550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12/06/2017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0"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2019-12-23T16:19:25Z</dcterms:created>
  <dcterms:modified xsi:type="dcterms:W3CDTF">2019-12-23T16:19:25Z</dcterms:modified>
</cp:coreProperties>
</file>