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6720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672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860"/>
          </w:cols>
          <w:pgMar w:left="160" w:top="146" w:right="179" w:bottom="39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Khadder Nicholas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00" w:val="left"/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720"/>
            <w:col w:w="3295" w:space="720"/>
            <w:col w:w="3425"/>
          </w:cols>
          <w:pgMar w:left="160" w:top="146" w:right="179" w:bottom="394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394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ind w:left="7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41,205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1,975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43,180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45,431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2,432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2.3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42,999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675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1,975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2,251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22,510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5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9, 2016, the Reporting Person was granted 10,800 Restricted Stock Units vesting as to 14/48th of the total number of shares on August 20, 2017, and as to 1/16th of the total number of shares each quarter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31,600 Restricted Stock Units vesting as to 1/12th of the total number of shares on May 20, 2017, and as to 1/16th of the total number of shares each quarter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36,016 Restricted Stock Units vesting as to 1/16th of the total number of shares on August 20, 2018, and as to 1/16th of the total number of shares each quarter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General Counsel, and Secretary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Nicholas Khadder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11/22/2019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39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598911" TargetMode="External"/><Relationship Id="rId13" Type="http://schemas.openxmlformats.org/officeDocument/2006/relationships/hyperlink" Target="file://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2019-11-22T20:51:54Z</dcterms:created>
  <dcterms:modified xsi:type="dcterms:W3CDTF">2019-11-22T20:51:54Z</dcterms:modified>
</cp:coreProperties>
</file>