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24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24256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Kim Hanjoon Alex</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STANDARD BIOTOOLS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50 MILK STREET,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STANDARD BIOTOOLS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03/20/2026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31"/>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04" w:lineRule="exact"/>
        <w:rPr>
          <w:sz w:val="24"/>
          <w:szCs w:val="24"/>
          <w:color w:val="auto"/>
        </w:rPr>
      </w:pPr>
    </w:p>
    <w:p>
      <w:pPr>
        <w:sectPr>
          <w:pgSz w:w="11900" w:h="16838" w:orient="portrait"/>
          <w:cols w:equalWidth="0" w:num="3">
            <w:col w:w="3180" w:space="720"/>
            <w:col w:w="3160" w:space="669"/>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74"/>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02109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436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03/20/2026</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36"/>
              <w:spacing w:after="0"/>
              <w:rPr>
                <w:sz w:val="20"/>
                <w:szCs w:val="20"/>
                <w:color w:val="auto"/>
              </w:rPr>
            </w:pPr>
            <w:r>
              <w:rPr>
                <w:rFonts w:ascii="Times New Roman" w:cs="Times New Roman" w:eastAsia="Times New Roman" w:hAnsi="Times New Roman"/>
                <w:sz w:val="16"/>
                <w:szCs w:val="16"/>
                <w:color w:val="0000FF"/>
                <w:w w:val="97"/>
              </w:rPr>
              <w:t>323,173</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lef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right"/>
              <w:ind w:right="263"/>
              <w:spacing w:after="0"/>
              <w:rPr>
                <w:sz w:val="20"/>
                <w:szCs w:val="20"/>
                <w:color w:val="auto"/>
              </w:rPr>
            </w:pPr>
            <w:r>
              <w:rPr>
                <w:rFonts w:ascii="Times New Roman" w:cs="Times New Roman" w:eastAsia="Times New Roman" w:hAnsi="Times New Roman"/>
                <w:sz w:val="16"/>
                <w:szCs w:val="16"/>
                <w:color w:val="0000FF"/>
              </w:rPr>
              <w:t>2,730,519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04/06/2026</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96"/>
              <w:spacing w:after="0"/>
              <w:rPr>
                <w:sz w:val="20"/>
                <w:szCs w:val="20"/>
                <w:color w:val="auto"/>
              </w:rPr>
            </w:pPr>
            <w:r>
              <w:rPr>
                <w:rFonts w:ascii="Times New Roman" w:cs="Times New Roman" w:eastAsia="Times New Roman" w:hAnsi="Times New Roman"/>
                <w:sz w:val="16"/>
                <w:szCs w:val="16"/>
                <w:color w:val="0000FF"/>
              </w:rPr>
              <w:t>70,183</w:t>
            </w:r>
          </w:p>
        </w:tc>
        <w:tc>
          <w:tcPr>
            <w:tcW w:w="60" w:type="dxa"/>
            <w:vAlign w:val="bottom"/>
          </w:tcPr>
          <w:p>
            <w:pPr>
              <w:spacing w:after="0"/>
              <w:rPr>
                <w:sz w:val="21"/>
                <w:szCs w:val="21"/>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jc w:val="right"/>
              <w:ind w:right="263"/>
              <w:spacing w:after="0"/>
              <w:rPr>
                <w:sz w:val="20"/>
                <w:szCs w:val="20"/>
                <w:color w:val="auto"/>
              </w:rPr>
            </w:pPr>
            <w:r>
              <w:rPr>
                <w:rFonts w:ascii="Times New Roman" w:cs="Times New Roman" w:eastAsia="Times New Roman" w:hAnsi="Times New Roman"/>
                <w:sz w:val="16"/>
                <w:szCs w:val="16"/>
                <w:color w:val="0000FF"/>
              </w:rPr>
              <w:t>2,800,702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04/06/2026</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96"/>
              <w:spacing w:after="0"/>
              <w:rPr>
                <w:sz w:val="20"/>
                <w:szCs w:val="20"/>
                <w:color w:val="auto"/>
              </w:rPr>
            </w:pPr>
            <w:r>
              <w:rPr>
                <w:rFonts w:ascii="Times New Roman" w:cs="Times New Roman" w:eastAsia="Times New Roman" w:hAnsi="Times New Roman"/>
                <w:sz w:val="16"/>
                <w:szCs w:val="16"/>
                <w:color w:val="0000FF"/>
                <w:w w:val="97"/>
              </w:rPr>
              <w:t>21,301</w:t>
            </w:r>
            <w:r>
              <w:rPr>
                <w:rFonts w:ascii="Times New Roman" w:cs="Times New Roman" w:eastAsia="Times New Roman" w:hAnsi="Times New Roman"/>
                <w:sz w:val="20"/>
                <w:szCs w:val="20"/>
                <w:color w:val="008000"/>
                <w:w w:val="97"/>
                <w:vertAlign w:val="superscript"/>
              </w:rPr>
              <w:t>(2)</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lef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0.908</w:t>
            </w:r>
          </w:p>
        </w:tc>
        <w:tc>
          <w:tcPr>
            <w:tcW w:w="1280" w:type="dxa"/>
            <w:vAlign w:val="bottom"/>
            <w:tcBorders>
              <w:bottom w:val="single" w:sz="8" w:color="2C2C2C"/>
            </w:tcBorders>
            <w:gridSpan w:val="3"/>
          </w:tcPr>
          <w:p>
            <w:pPr>
              <w:jc w:val="right"/>
              <w:ind w:right="263"/>
              <w:spacing w:after="0"/>
              <w:rPr>
                <w:sz w:val="20"/>
                <w:szCs w:val="20"/>
                <w:color w:val="auto"/>
              </w:rPr>
            </w:pPr>
            <w:r>
              <w:rPr>
                <w:rFonts w:ascii="Times New Roman" w:cs="Times New Roman" w:eastAsia="Times New Roman" w:hAnsi="Times New Roman"/>
                <w:sz w:val="16"/>
                <w:szCs w:val="16"/>
                <w:color w:val="0000FF"/>
              </w:rPr>
              <w:t>2,779,401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jc w:val="right"/>
              <w:ind w:right="24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0.9846</w:t>
            </w:r>
          </w:p>
        </w:tc>
        <w:tc>
          <w:tcPr>
            <w:tcW w:w="120" w:type="dxa"/>
            <w:vAlign w:val="bottom"/>
          </w:tcPr>
          <w:p>
            <w:pPr>
              <w:spacing w:after="0"/>
              <w:rPr>
                <w:sz w:val="17"/>
                <w:szCs w:val="17"/>
                <w:color w:val="auto"/>
              </w:rPr>
            </w:pP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03/20/2026</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727,140</w:t>
            </w:r>
          </w:p>
        </w:tc>
        <w:tc>
          <w:tcPr>
            <w:tcW w:w="46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0000FF"/>
              </w:rPr>
              <w:t>03/20/2036</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727,140</w:t>
            </w:r>
          </w:p>
        </w:tc>
        <w:tc>
          <w:tcPr>
            <w:tcW w:w="700" w:type="dxa"/>
            <w:vAlign w:val="bottom"/>
            <w:gridSpan w:val="2"/>
          </w:tcPr>
          <w:p>
            <w:pPr>
              <w:jc w:val="right"/>
              <w:ind w:right="24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0000FF"/>
              </w:rPr>
              <w:t>727,140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tcPr>
          <w:p>
            <w:pPr>
              <w:ind w:left="60"/>
              <w:spacing w:after="0" w:line="75"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ind w:left="40"/>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44"/>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right"/>
              <w:ind w:right="276"/>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70,183</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04/06/2026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6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70,183</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restart"/>
          </w:tcPr>
          <w:p>
            <w:pPr>
              <w:jc w:val="right"/>
              <w:ind w:right="24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63"/>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-2060575</wp:posOffset>
            </wp:positionV>
            <wp:extent cx="28575" cy="2066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662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6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over four years, with 1/16 of the RSUs vesting on May 20, 2026 and the remaining RSUs vesting in equal quarterly installments thereafter, subject to the Reporting Person's continued service through the applicable vesting date. Each RSU represents the right to receive one share of common stock upon vesting.</w:t>
      </w:r>
    </w:p>
    <w:p>
      <w:pPr>
        <w:spacing w:after="0" w:line="22" w:lineRule="exact"/>
        <w:rPr>
          <w:rFonts w:ascii="Times New Roman" w:cs="Times New Roman" w:eastAsia="Times New Roman" w:hAnsi="Times New Roman"/>
          <w:sz w:val="13"/>
          <w:szCs w:val="13"/>
          <w:color w:val="008000"/>
        </w:rPr>
      </w:pPr>
    </w:p>
    <w:p>
      <w:pPr>
        <w:ind w:left="40" w:right="3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("RSUs") granted to the reporting person on April 4, 2022, which grant was originally reported on Form 4 filed with the U.S. Securities and Exchange Commission on April 6, 2022.</w:t>
      </w:r>
    </w:p>
    <w:p>
      <w:pPr>
        <w:spacing w:after="0" w:line="22" w:lineRule="exact"/>
        <w:rPr>
          <w:rFonts w:ascii="Times New Roman" w:cs="Times New Roman" w:eastAsia="Times New Roman" w:hAnsi="Times New Roman"/>
          <w:sz w:val="13"/>
          <w:szCs w:val="13"/>
          <w:color w:val="008000"/>
        </w:rPr>
      </w:pPr>
    </w:p>
    <w:p>
      <w:pPr>
        <w:ind w:left="40" w:right="5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to 1/16th of the underlying shares on May 20, 2026, with the remaining shares vesting in equal quarterly installments thereafter, subject to the Reporting Person's continued service through the applicable vesting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4, 2022, the Reporting Person was granted 280,732 RSUs, vesting in four equal annual installments beginning on April 4, 2023.</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0000FF"/>
              </w:rPr>
              <w:t>/s/ Hanjoon Alex Kim</w:t>
            </w:r>
          </w:p>
        </w:tc>
        <w:tc>
          <w:tcPr>
            <w:tcW w:w="56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04/08/2026</w:t>
            </w:r>
          </w:p>
        </w:tc>
      </w:tr>
      <w:tr>
        <w:trPr>
          <w:trHeight w:val="20"/>
        </w:trPr>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2026-04-08T20:56:21Z</dcterms:created>
  <dcterms:modified xsi:type="dcterms:W3CDTF">2026-04-08T20:56:21Z</dcterms:modified>
</cp:coreProperties>
</file>