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3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2022</w:t>
      </w:r>
    </w:p>
    <w:p>
      <w:pPr>
        <w:spacing w:after="0" w:line="5"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22"/>
          <w:szCs w:val="22"/>
          <w:b w:val="1"/>
          <w:bCs w:val="1"/>
          <w:color w:val="auto"/>
        </w:rPr>
        <w:t>or</w:t>
      </w: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00"/>
          </w:cols>
          <w:pgMar w:left="320" w:top="932" w:right="379" w:bottom="1440" w:gutter="0" w:footer="0" w:header="0"/>
        </w:sectPr>
      </w:pPr>
    </w:p>
    <w:p>
      <w:pPr>
        <w:spacing w:after="0" w:line="4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1" w:lineRule="exact"/>
        <w:rPr>
          <w:sz w:val="24"/>
          <w:szCs w:val="24"/>
          <w:color w:val="auto"/>
        </w:rPr>
      </w:pPr>
    </w:p>
    <w:p>
      <w:pPr>
        <w:sectPr>
          <w:pgSz w:w="11900" w:h="16838" w:orient="portrait"/>
          <w:cols w:equalWidth="0" w:num="2">
            <w:col w:w="6580" w:space="720"/>
            <w:col w:w="3900"/>
          </w:cols>
          <w:pgMar w:left="320" w:top="932" w:right="379" w:bottom="1440" w:gutter="0" w:footer="0" w:header="0"/>
          <w:type w:val="continuous"/>
        </w:sectPr>
      </w:pPr>
    </w:p>
    <w:p>
      <w:pPr>
        <w:ind w:left="4000"/>
        <w:spacing w:after="0" w:line="219" w:lineRule="auto"/>
        <w:rPr>
          <w:sz w:val="20"/>
          <w:szCs w:val="20"/>
          <w:color w:val="auto"/>
        </w:rPr>
      </w:pPr>
      <w:r>
        <w:rPr>
          <w:rFonts w:ascii="Times New Roman" w:cs="Times New Roman" w:eastAsia="Times New Roman" w:hAnsi="Times New Roman"/>
          <w:sz w:val="14"/>
          <w:szCs w:val="14"/>
          <w:color w:val="auto"/>
        </w:rPr>
        <w:t>_____________________________________________</w:t>
      </w:r>
    </w:p>
    <w:p>
      <w:pPr>
        <w:sectPr>
          <w:pgSz w:w="11900" w:h="16838" w:orient="portrait"/>
          <w:cols w:equalWidth="0" w:num="1">
            <w:col w:w="11200"/>
          </w:cols>
          <w:pgMar w:left="320" w:top="932" w:right="379" w:bottom="1440" w:gutter="0" w:footer="0" w:header="0"/>
          <w:type w:val="continuous"/>
        </w:sectPr>
      </w:pP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13335</wp:posOffset>
            </wp:positionV>
            <wp:extent cx="111442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442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9"/>
          <w:szCs w:val="39"/>
          <w:b w:val="1"/>
          <w:bCs w:val="1"/>
          <w:color w:val="auto"/>
        </w:rPr>
        <w:t>STANDARD BIOTOOLS INC.</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932" w:right="379" w:bottom="1440" w:gutter="0" w:footer="0" w:header="0"/>
          <w:type w:val="continuous"/>
        </w:sectPr>
      </w:pPr>
    </w:p>
    <w:p>
      <w:pPr>
        <w:spacing w:after="0" w:line="140"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sectPr>
          <w:pgSz w:w="11900" w:h="16838" w:orient="portrait"/>
          <w:cols w:equalWidth="0" w:num="2">
            <w:col w:w="7180" w:space="720"/>
            <w:col w:w="3300"/>
          </w:cols>
          <w:pgMar w:left="320" w:top="932" w:right="37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85" w:lineRule="exact"/>
        <w:rPr>
          <w:sz w:val="24"/>
          <w:szCs w:val="24"/>
          <w:color w:val="auto"/>
        </w:rPr>
      </w:pPr>
    </w:p>
    <w:p>
      <w:pPr>
        <w:sectPr>
          <w:pgSz w:w="11900" w:h="16838" w:orient="portrait"/>
          <w:cols w:equalWidth="0" w:num="2">
            <w:col w:w="6500" w:space="720"/>
            <w:col w:w="3980"/>
          </w:cols>
          <w:pgMar w:left="320" w:top="932" w:right="3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b w:val="1"/>
          <w:bCs w:val="1"/>
          <w:color w:val="auto"/>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CA</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2" w:lineRule="exact"/>
        <w:rPr>
          <w:sz w:val="24"/>
          <w:szCs w:val="24"/>
          <w:color w:val="auto"/>
        </w:rPr>
      </w:pPr>
    </w:p>
    <w:p>
      <w:pPr>
        <w:sectPr>
          <w:pgSz w:w="11900" w:h="16838" w:orient="portrait"/>
          <w:cols w:equalWidth="0" w:num="4">
            <w:col w:w="2600" w:space="600"/>
            <w:col w:w="1620" w:space="220"/>
            <w:col w:w="2360" w:space="720"/>
            <w:col w:w="3080"/>
          </w:cols>
          <w:pgMar w:left="320" w:top="932" w:right="37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115" w:lineRule="exact"/>
        <w:rPr>
          <w:sz w:val="24"/>
          <w:szCs w:val="24"/>
          <w:color w:val="auto"/>
        </w:rPr>
      </w:pPr>
    </w:p>
    <w:p>
      <w:pPr>
        <w:sectPr>
          <w:pgSz w:w="11900" w:h="16838" w:orient="portrait"/>
          <w:cols w:equalWidth="0" w:num="2">
            <w:col w:w="7320" w:space="720"/>
            <w:col w:w="3160"/>
          </w:cols>
          <w:pgMar w:left="320" w:top="932"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(650) 266-6000</w:t>
      </w:r>
    </w:p>
    <w:p>
      <w:pPr>
        <w:spacing w:after="0" w:line="3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932" w:right="379" w:bottom="1440" w:gutter="0" w:footer="0" w:header="0"/>
          <w:type w:val="continuous"/>
        </w:sectPr>
      </w:pPr>
    </w:p>
    <w:p>
      <w:pPr>
        <w:spacing w:after="0" w:line="12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20" w:space="720"/>
            <w:col w:w="3680"/>
          </w:cols>
          <w:pgMar w:left="320" w:top="932" w:right="37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LAB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3">
            <w:col w:w="4620" w:space="720"/>
            <w:col w:w="1420" w:space="720"/>
            <w:col w:w="3720"/>
          </w:cols>
          <w:pgMar w:left="320" w:top="932" w:right="379" w:bottom="1440" w:gutter="0" w:footer="0" w:header="0"/>
          <w:type w:val="continuous"/>
        </w:sectPr>
      </w:pP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Times New Roman" w:cs="Times New Roman" w:eastAsia="Times New Roman" w:hAnsi="Times New Roman"/>
          <w:sz w:val="16"/>
          <w:szCs w:val="16"/>
          <w:color w:val="auto"/>
        </w:rPr>
        <w:t>ct.</w:t>
      </w:r>
    </w:p>
    <w:p>
      <w:pPr>
        <w:spacing w:after="0" w:line="134" w:lineRule="exact"/>
        <w:rPr>
          <w:sz w:val="24"/>
          <w:szCs w:val="24"/>
          <w:color w:val="auto"/>
        </w:rPr>
      </w:pPr>
    </w:p>
    <w:tbl>
      <w:tblPr>
        <w:tblLayout w:type="fixed"/>
        <w:tblInd w:w="1380" w:type="dxa"/>
        <w:tblCellMar>
          <w:top w:w="0" w:type="dxa"/>
          <w:left w:w="0" w:type="dxa"/>
          <w:bottom w:w="0" w:type="dxa"/>
          <w:right w:w="0" w:type="dxa"/>
        </w:tblCellMar>
      </w:tblP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340" w:right="13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31, 2022 there were 78,654,802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2"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1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00" w:type="dxa"/>
            <w:vAlign w:val="bottom"/>
            <w:vMerge w:val="restart"/>
          </w:tcPr>
          <w:p>
            <w:pPr>
              <w:spacing w:after="0"/>
              <w:rPr>
                <w:sz w:val="2"/>
                <w:szCs w:val="2"/>
                <w:color w:val="auto"/>
              </w:rPr>
            </w:pPr>
          </w:p>
        </w:tc>
        <w:tc>
          <w:tcPr>
            <w:tcW w:w="980" w:type="dxa"/>
            <w:vAlign w:val="bottom"/>
            <w:vMerge w:val="restart"/>
          </w:tcPr>
          <w:p>
            <w:pPr>
              <w:spacing w:after="0"/>
              <w:rPr>
                <w:sz w:val="2"/>
                <w:szCs w:val="2"/>
                <w:color w:val="auto"/>
              </w:rPr>
            </w:pPr>
          </w:p>
        </w:tc>
        <w:tc>
          <w:tcPr>
            <w:tcW w:w="22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3380" w:type="dxa"/>
            <w:vAlign w:val="bottom"/>
            <w:gridSpan w:val="7"/>
            <w:vMerge w:val="restart"/>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60" w:type="dxa"/>
            <w:vAlign w:val="bottom"/>
            <w:tcBorders>
              <w:bottom w:val="single" w:sz="8" w:color="0000FF"/>
            </w:tcBorders>
            <w:gridSpan w:val="6"/>
            <w:vMerge w:val="continue"/>
          </w:tcPr>
          <w:p>
            <w:pPr>
              <w:spacing w:after="0"/>
              <w:rPr>
                <w:sz w:val="14"/>
                <w:szCs w:val="14"/>
                <w:color w:val="auto"/>
              </w:rPr>
            </w:pPr>
          </w:p>
        </w:tc>
        <w:tc>
          <w:tcPr>
            <w:tcW w:w="3380" w:type="dxa"/>
            <w:vAlign w:val="bottom"/>
            <w:gridSpan w:val="7"/>
            <w:vMerge w:val="continue"/>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2022 and December 31, 2021</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2022 and 2021</w:t>
            </w:r>
          </w:p>
        </w:tc>
        <w:tc>
          <w:tcPr>
            <w:tcW w:w="1040" w:type="dxa"/>
            <w:vAlign w:val="bottom"/>
            <w:gridSpan w:val="3"/>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six months ended June 30, 2022 and 2021</w:t>
            </w:r>
          </w:p>
        </w:tc>
        <w:tc>
          <w:tcPr>
            <w:tcW w:w="320" w:type="dxa"/>
            <w:vAlign w:val="bottom"/>
            <w:gridSpan w:val="2"/>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and six months ended June 30, 2022 and</w:t>
            </w:r>
          </w:p>
        </w:tc>
        <w:tc>
          <w:tcPr>
            <w:tcW w:w="12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2021</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00" w:type="dxa"/>
            <w:vAlign w:val="bottom"/>
            <w:gridSpan w:val="7"/>
          </w:tcPr>
          <w:p>
            <w:pPr>
              <w:spacing w:after="0"/>
              <w:rPr>
                <w:sz w:val="22"/>
                <w:szCs w:val="22"/>
                <w:color w:val="auto"/>
              </w:rPr>
            </w:pPr>
          </w:p>
        </w:tc>
        <w:tc>
          <w:tcPr>
            <w:tcW w:w="1700" w:type="dxa"/>
            <w:vAlign w:val="bottom"/>
            <w:gridSpan w:val="4"/>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22"/>
                <w:szCs w:val="22"/>
                <w:color w:val="auto"/>
              </w:rPr>
            </w:pPr>
          </w:p>
        </w:tc>
        <w:tc>
          <w:tcPr>
            <w:tcW w:w="2540" w:type="dxa"/>
            <w:vAlign w:val="bottom"/>
            <w:gridSpan w:val="5"/>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3560" w:type="dxa"/>
            <w:vAlign w:val="bottom"/>
            <w:gridSpan w:val="8"/>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60" w:type="dxa"/>
            <w:vAlign w:val="bottom"/>
            <w:gridSpan w:val="16"/>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40" w:type="dxa"/>
            <w:vAlign w:val="bottom"/>
            <w:gridSpan w:val="10"/>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tcPr>
          <w:p>
            <w:pPr>
              <w:spacing w:after="0"/>
              <w:rPr>
                <w:sz w:val="22"/>
                <w:szCs w:val="22"/>
                <w:color w:val="auto"/>
              </w:rPr>
            </w:pPr>
          </w:p>
        </w:tc>
        <w:tc>
          <w:tcPr>
            <w:tcW w:w="6620" w:type="dxa"/>
            <w:vAlign w:val="bottom"/>
            <w:gridSpan w:val="14"/>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80" w:type="dxa"/>
            <w:vAlign w:val="bottom"/>
            <w:gridSpan w:val="17"/>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0" w:type="dxa"/>
            <w:vAlign w:val="bottom"/>
            <w:gridSpan w:val="1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LIST</w:t>
            </w:r>
          </w:p>
        </w:tc>
        <w:tc>
          <w:tcPr>
            <w:tcW w:w="8800" w:type="dxa"/>
            <w:vAlign w:val="bottom"/>
            <w:gridSpan w:val="21"/>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7"/>
        </w:trPr>
        <w:tc>
          <w:tcPr>
            <w:tcW w:w="20" w:type="dxa"/>
            <w:vAlign w:val="bottom"/>
            <w:tcBorders>
              <w:bottom w:val="single" w:sz="8" w:color="9A9A9A"/>
            </w:tcBorders>
          </w:tcPr>
          <w:p>
            <w:pPr>
              <w:spacing w:after="0"/>
              <w:rPr>
                <w:sz w:val="24"/>
                <w:szCs w:val="24"/>
                <w:color w:val="auto"/>
              </w:rPr>
            </w:pPr>
          </w:p>
        </w:tc>
        <w:tc>
          <w:tcPr>
            <w:tcW w:w="9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allowances of $545 and $356 at June 30, 2022 and December 31, 2021,</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106,379</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MEZZANINE EQUITY AND STOCKHOLDERS’ EQUITY (DEFICIT)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under revolving credit agreement, current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180,618</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preferred stock: $0.001 par value; 256 and — shares issued and outstanding at June 30, 2022 and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31, 2021, respectively; aggregate liquidation preference of $255,559 and $— as of June 30, 2022 and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9,744 and 10,000 shares authorized at June 30, 2022 and December 31,</w:t>
            </w:r>
          </w:p>
        </w:tc>
        <w:tc>
          <w:tcPr>
            <w:tcW w:w="260" w:type="dxa"/>
            <w:vAlign w:val="bottom"/>
          </w:tcPr>
          <w:p>
            <w:pPr>
              <w:spacing w:after="0"/>
              <w:rPr>
                <w:sz w:val="24"/>
                <w:szCs w:val="24"/>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respectively; no shares issued and outstanding at either June 30, 2022 or December 31, 2021</w:t>
            </w:r>
          </w:p>
        </w:tc>
        <w:tc>
          <w:tcPr>
            <w:tcW w:w="2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400,000 and 200,000 shares authorized at June 30, 2022 and December 31,</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2021, respectively; 78,654 and 76,919 shares issued and outstanding at June 30, 2022 and December 31, 2021,</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831,424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(875,825)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3"/>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(37,454)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 (deficit)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441,122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275,214</w:t>
            </w:r>
          </w:p>
        </w:tc>
      </w:tr>
      <w:tr>
        <w:trPr>
          <w:trHeight w:val="20"/>
        </w:trPr>
        <w:tc>
          <w:tcPr>
            <w:tcW w:w="8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47,355</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63,812</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24,393</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20,194</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51,856</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100,400</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forward sale of Series B Preferred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bridge loans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(38,152)</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75,452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77,430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75,084</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33655</wp:posOffset>
            </wp:positionV>
            <wp:extent cx="1868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 w:lineRule="exact"/>
        <w:rPr>
          <w:sz w:val="20"/>
          <w:szCs w:val="20"/>
          <w:color w:val="auto"/>
        </w:rPr>
      </w:pPr>
    </w:p>
    <w:p>
      <w:pPr>
        <w:ind w:left="5740"/>
        <w:spacing w:after="0"/>
        <w:tabs>
          <w:tab w:leader="none" w:pos="72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33655</wp:posOffset>
            </wp:positionV>
            <wp:extent cx="191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3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8100" w:space="720"/>
            <w:col w:w="242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10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(139,827)</w:t>
            </w:r>
          </w:p>
        </w:tc>
        <w:tc>
          <w:tcPr>
            <w:tcW w:w="10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 (loss) on investments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(36,360)</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2080" w:type="dxa"/>
            <w:vAlign w:val="bottom"/>
            <w:gridSpan w:val="3"/>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60" w:type="dxa"/>
            <w:vAlign w:val="bottom"/>
          </w:tcPr>
          <w:p>
            <w:pPr>
              <w:spacing w:after="0"/>
              <w:rPr>
                <w:sz w:val="2"/>
                <w:szCs w:val="2"/>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
                <w:szCs w:val="2"/>
                <w:color w:val="auto"/>
              </w:rPr>
            </w:pPr>
          </w:p>
        </w:tc>
        <w:tc>
          <w:tcPr>
            <w:tcW w:w="1020" w:type="dxa"/>
            <w:vAlign w:val="bottom"/>
            <w:vMerge w:val="restart"/>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Income (Loss)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76,919</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94,596</w:t>
            </w:r>
          </w:p>
        </w:tc>
        <w:tc>
          <w:tcPr>
            <w:tcW w:w="0" w:type="dxa"/>
            <w:vAlign w:val="bottom"/>
          </w:tcPr>
          <w:p>
            <w:pPr>
              <w:spacing w:after="0"/>
              <w:rPr>
                <w:sz w:val="1"/>
                <w:szCs w:val="1"/>
                <w:color w:val="auto"/>
              </w:rPr>
            </w:pPr>
          </w:p>
        </w:tc>
      </w:tr>
      <w:tr>
        <w:trPr>
          <w:trHeight w:val="184"/>
        </w:trPr>
        <w:tc>
          <w:tcPr>
            <w:tcW w:w="3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stock, net of shares withheld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option exercises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77,199</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22,113</w:t>
            </w:r>
          </w:p>
        </w:tc>
        <w:tc>
          <w:tcPr>
            <w:tcW w:w="0" w:type="dxa"/>
            <w:vAlign w:val="bottom"/>
          </w:tcPr>
          <w:p>
            <w:pPr>
              <w:spacing w:after="0"/>
              <w:rPr>
                <w:sz w:val="1"/>
                <w:szCs w:val="1"/>
                <w:color w:val="auto"/>
              </w:rPr>
            </w:pPr>
          </w:p>
        </w:tc>
      </w:tr>
      <w:tr>
        <w:trPr>
          <w:trHeight w:val="184"/>
        </w:trPr>
        <w:tc>
          <w:tcPr>
            <w:tcW w:w="3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stock, net of shares withheld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as of June 30, 2022</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78,654</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840,545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(875,825)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(37,454)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3860" w:type="dxa"/>
            <w:vAlign w:val="bottom"/>
          </w:tcPr>
          <w:p>
            <w:pPr>
              <w:spacing w:after="0"/>
              <w:rPr>
                <w:sz w:val="24"/>
                <w:szCs w:val="24"/>
                <w:color w:val="auto"/>
              </w:rPr>
            </w:pPr>
          </w:p>
        </w:tc>
        <w:tc>
          <w:tcPr>
            <w:tcW w:w="2080" w:type="dxa"/>
            <w:vAlign w:val="bottom"/>
            <w:gridSpan w:val="3"/>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60" w:type="dxa"/>
            <w:vAlign w:val="bottom"/>
          </w:tcPr>
          <w:p>
            <w:pPr>
              <w:spacing w:after="0"/>
              <w:rPr>
                <w:sz w:val="2"/>
                <w:szCs w:val="2"/>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
                <w:szCs w:val="2"/>
                <w:color w:val="auto"/>
              </w:rPr>
            </w:pPr>
          </w:p>
        </w:tc>
        <w:tc>
          <w:tcPr>
            <w:tcW w:w="1020" w:type="dxa"/>
            <w:vAlign w:val="bottom"/>
            <w:vMerge w:val="restart"/>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Income (Loss)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74,543</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0" w:type="dxa"/>
            <w:vAlign w:val="bottom"/>
          </w:tcPr>
          <w:p>
            <w:pPr>
              <w:spacing w:after="0"/>
              <w:rPr>
                <w:sz w:val="1"/>
                <w:szCs w:val="1"/>
                <w:color w:val="auto"/>
              </w:rPr>
            </w:pPr>
          </w:p>
        </w:tc>
      </w:tr>
      <w:tr>
        <w:trPr>
          <w:trHeight w:val="184"/>
        </w:trPr>
        <w:tc>
          <w:tcPr>
            <w:tcW w:w="3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stock, net of shares withheld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taxes,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74,963</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818,776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(695,582)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122,938</w:t>
            </w:r>
          </w:p>
        </w:tc>
        <w:tc>
          <w:tcPr>
            <w:tcW w:w="0" w:type="dxa"/>
            <w:vAlign w:val="bottom"/>
          </w:tcPr>
          <w:p>
            <w:pPr>
              <w:spacing w:after="0"/>
              <w:rPr>
                <w:sz w:val="1"/>
                <w:szCs w:val="1"/>
                <w:color w:val="auto"/>
              </w:rPr>
            </w:pPr>
          </w:p>
        </w:tc>
      </w:tr>
      <w:tr>
        <w:trPr>
          <w:trHeight w:val="184"/>
        </w:trPr>
        <w:tc>
          <w:tcPr>
            <w:tcW w:w="3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stock, net of shares withheld</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taxes, and other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option exercises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(139,827)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forward sale of Series B Preferred Stock</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bridge loans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developed technology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intangible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debt discounts, premiums and issuance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non-cash items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Inventories,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0" w:type="dxa"/>
            <w:vAlign w:val="bottom"/>
          </w:tcPr>
          <w:p>
            <w:pPr>
              <w:spacing w:after="0"/>
              <w:rPr>
                <w:sz w:val="1"/>
                <w:szCs w:val="1"/>
                <w:color w:val="auto"/>
              </w:rPr>
            </w:pPr>
          </w:p>
        </w:tc>
      </w:tr>
      <w:tr>
        <w:trPr>
          <w:trHeight w:val="195"/>
        </w:trPr>
        <w:tc>
          <w:tcPr>
            <w:tcW w:w="8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compensation and related benefits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(27,565)</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NIH Contract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(139,108)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bridge loans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B Preferred Stock</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advances under credit agreement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stock issuance of ESPP</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231,033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fluctuations on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(37,657)</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69,536</w:t>
            </w:r>
          </w:p>
        </w:tc>
        <w:tc>
          <w:tcPr>
            <w:tcW w:w="0" w:type="dxa"/>
            <w:vAlign w:val="bottom"/>
          </w:tcPr>
          <w:p>
            <w:pPr>
              <w:spacing w:after="0"/>
              <w:rPr>
                <w:sz w:val="1"/>
                <w:szCs w:val="1"/>
                <w:color w:val="auto"/>
              </w:rPr>
            </w:pPr>
          </w:p>
        </w:tc>
      </w:tr>
      <w:tr>
        <w:trPr>
          <w:trHeight w:val="202"/>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31,879</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60" w:type="dxa"/>
            <w:vAlign w:val="bottom"/>
            <w:vMerge w:val="continue"/>
          </w:tcPr>
          <w:p>
            <w:pPr>
              <w:spacing w:after="0"/>
              <w:rPr>
                <w:sz w:val="13"/>
                <w:szCs w:val="13"/>
                <w:color w:val="auto"/>
              </w:rPr>
            </w:pPr>
          </w:p>
        </w:tc>
        <w:tc>
          <w:tcPr>
            <w:tcW w:w="34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(formerly known as FLUIDIGM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Standard BioTools Inc. (Standard BioTools, the Company, we, our or us) is driven by a bold vision – unleashing tools to accelerate breakthroughs in human health. Standard BioTools has an established portfolio of essential, standardized next-generation technologies that help biomedical researchers develop medicines faster and better. As a leading solutions provider, we provide reliable and repeatable insights in health and disease using our proprietary mass cytometry and microfluidics technologies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06"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 Company, formerly known as Fluidigm Corporation, changed its name to Standard BioTools Inc. in April 2022, in connection with the completion of the Private Placement Issuance discussed in Note 3. The Company was founded in 1999 and is headquartered in South San Francisco, California.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(U.S. GAAP) and include the accounts of our wholly owned subsidiaries. As of June 30, 2022, we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upon consolidation.</w:t>
      </w:r>
    </w:p>
    <w:p>
      <w:pPr>
        <w:spacing w:after="0" w:line="11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the audited financial statements and the related notes for the year ended December 31, 2021 included in our annual report on Form 10-K, filed with the SEC on March 8, 2022, we disclosed that we had performed an assessment to determine whether there were conditions or events, considered in the aggregate, that raised substantial doubt about our ability to continue as a going concern for at least the twelve-month period following the date the financial statements were issued. We believed that our then-current level of cash and cash equivalents, together with committed financing facilities, were not sufficient to fund ongoing operations for at least the twelve-month period after the financial statements were issued. We subsequently closed the $225 million Series B Preferred Equity Financing, as defined in Note 3. The completion of this financing eliminated the doubt about the Company’s ability to continue as a going concern. See Note 3 for further discussion.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 condensed consolidated financial statements were reclassified to conform with the current period presentation. These reclassifications were immaterial and did not affect prior period total assets, total liabilities, stockholders’ equity, total revenue, total costs and expenses, loss from operations or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0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U.S. GAAP. The condensed consolidated results of operations for the three and six months ended June 30, 2022 is not necessarily indicative of the results to be expected for the full year or for any other year or interim period. The accompanying condensed consolidated financial statements should be read in conjunction with the audited financial statements and the related notes for the year ended December 31, 2021 included in our annual report on Form 10-K, filed with the SEC on March 8,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judgments that affect the amounts reported in the condensed consolidated financial statements and accompanying notes. We base these estimates on historical experience, the current economic environment and on various other assumptions believed 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ind w:right="60"/>
        <w:spacing w:after="0" w:line="254" w:lineRule="auto"/>
        <w:rPr>
          <w:sz w:val="20"/>
          <w:szCs w:val="20"/>
          <w:color w:val="auto"/>
        </w:rPr>
      </w:pPr>
      <w:r>
        <w:rPr>
          <w:rFonts w:ascii="Times New Roman" w:cs="Times New Roman" w:eastAsia="Times New Roman" w:hAnsi="Times New Roman"/>
          <w:sz w:val="18"/>
          <w:szCs w:val="18"/>
          <w:color w:val="auto"/>
        </w:rPr>
        <w:t>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including the unknown impact of COVID-19 and the war in Ukraine. Accounting matters that rely on forecasted financial information included, but were not limited to, our inventory, and related reserves, and the carrying value of goodwill and other long-lived assets and liabilities. Actual results could differ materially from these estimates and could have a material adverse effect on our condensed consolidated financial statements. We also use significant judgment in determining the fair value of financial instruments, including debt and equity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Assets and liabilities of non-U.S. subsidiaries that use the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Issuance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for a detailed discussion of the transactions, including the accounting treatment, and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Other comprehensive income (loss) generally consists of unrealized gains and losses on our investments and foreign currency translation adjustments. Total comprehensive loss for all periods presented has been disclosed in the condensed consolidated statements of comprehensive loss.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for the three and six months ended June 30, 2022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3"/>
                <w:szCs w:val="13"/>
                <w:color w:val="auto"/>
              </w:rPr>
            </w:pPr>
          </w:p>
        </w:tc>
        <w:tc>
          <w:tcPr>
            <w:tcW w:w="13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on Investments</w:t>
            </w:r>
          </w:p>
        </w:tc>
        <w:tc>
          <w:tcPr>
            <w:tcW w:w="120" w:type="dxa"/>
            <w:vAlign w:val="bottom"/>
          </w:tcPr>
          <w:p>
            <w:pPr>
              <w:spacing w:after="0"/>
              <w:rPr>
                <w:sz w:val="16"/>
                <w:szCs w:val="16"/>
                <w:color w:val="auto"/>
              </w:rPr>
            </w:pPr>
          </w:p>
        </w:tc>
        <w:tc>
          <w:tcPr>
            <w:tcW w:w="13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March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basic and diluted net loss per share is calculated by dividing net loss by the weighted-average number of shares of common stock outstanding for the period.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98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420" w:type="dxa"/>
            <w:vAlign w:val="bottom"/>
            <w:tcBorders>
              <w:bottom w:val="single" w:sz="8" w:color="CCEEFF"/>
            </w:tcBorders>
          </w:tcPr>
          <w:p>
            <w:pPr>
              <w:spacing w:after="0"/>
              <w:rPr>
                <w:sz w:val="16"/>
                <w:szCs w:val="16"/>
                <w:color w:val="auto"/>
              </w:rPr>
            </w:pPr>
          </w:p>
        </w:tc>
        <w:tc>
          <w:tcPr>
            <w:tcW w:w="78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restricted stock units and performance awards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potential make-whole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78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113,836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27,729</w:t>
            </w:r>
          </w:p>
        </w:tc>
      </w:tr>
      <w:tr>
        <w:trPr>
          <w:trHeight w:val="21"/>
        </w:trPr>
        <w:tc>
          <w:tcPr>
            <w:tcW w:w="4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Potentially dilutive securities in the above table include the impact of the Series B Preferred Stock defined in Note 3. See Note 3 for further discussion.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Changes and Accounting Pronouncements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Adoption of New Accounting Guidance</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adopted ASU 2020-06 effective January 1, 2022. The adoption of ASU 2020-06 did not have an impact on our 2014 and 2019 Convertible Notes.</w:t>
      </w:r>
    </w:p>
    <w:p>
      <w:pPr>
        <w:spacing w:after="0" w:line="12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amendment is effective for annual periods beginning after December 15, 2021. The amendment establishes financial disclosure requirements for business entities that receive government assistance that the entities account for by analogizing to a grant or contribution model because there is no specific authoritative guidance under U.S. GAAP that applies to the transaction. Entities that receive this type of assistance should include the following information in their annual report: (1) the nature of the transaction, (2) the significant terms and conditions, (3) the accounting treatment, (4) the line items on the balance sheet and income statement that are affected along with (5) the respective amounts that have been recorded. We adopted ASU 2021-10 effective January 1, 2022. The adoption of ASU 2021-10 did not have a material impact on our financial statements.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ind w:right="8940" w:firstLine="8"/>
        <w:spacing w:after="0" w:line="417"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Placement Issuance Overview of Transactions</w:t>
      </w: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On January 23, 2022, we entered into (i) a Loan Agreement (the Casdin Bridge Loan Agreement) with Casdin Private Growth Equity Fund II, L.P. and Casdin Partners Master Fund, L.P. (collectively, Casdin) and (ii) a Loan Agreement (the Viking Bridge Loan Agreement, and together with the Casdin Bridge Loan Agreement, the Bridge Loan Agreements) with Viking Global Opportunities Illiquid Investments Sub-Master LP and Viking Global Opportunities Drawdown (Aggregator) LP (collectively, Viking and, together with Casdin, the Purchasers and each, a Purchaser). Each Bridge Loan Agreement provided for a $12.5 million term loan (the Bridge Loans) to the Company. The Bridge Loans were fully drawn on January 24, 2022. The Bridge Loans automatically converted into Series B Preferred Stock, defined below, upon the completion of the Preferred Equity Financing, defined below.</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Also on January 23, 2022, we entered into separate Series B Convertible Preferred Stock Purchase Agreements (the Purchase Agreements) with each of Casdin and Viking pursuant to which at the closing of the transactions contemplated thereby, and on the terms and subject to the conditions set forth therein, including the approval of our stockholders, we issued and sold an aggregate of $225 million of convertible preferred stock on April 4, 2022, consisting of: (i) 112,500 shares of the Company’s Series B-1 Convertible Preferred Stock, par value $0.001 per share (the Series B-1 Preferred Stock), at a purchase price of $1,000 per share to Casdin; and (ii) 112,500 shares of the Company’s Series B-2 Convertible Preferred Stock, par value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$0.001 per share (the Series B-2 Preferred Stock, and together with the Series B-1 Preferred Stock, the Series B Preferred Stock) at a purchase price of $1,000 per share to Viking (the Preferred Equity Financing, and together with the issuance of shares of Series B Preferred Stock in connection with the conversion of the Bridge Loans, the Private Placement Issuance).</w:t>
      </w:r>
    </w:p>
    <w:p>
      <w:pPr>
        <w:spacing w:after="0" w:line="9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rights, preferences and privileges of the Series B Preferred Stock are set forth in the Series B-1 Certificate of Designations and Series B-2 Certificate of Designations (collectively, the Series B Certificates of Designations), each as defined in the respective Purchase Agreements. The Series B Preferred Stock ranks senior to our common stock with respect to dividend rights, redemption rights and rights on the distribution of assets on any voluntary or involuntary liquidation, dissolution or winding up of the affairs of the Company. The holders of Series B Preferred Stock are entitled to participate in all dividends declared on our common stock on an as-converted basis, on the terms and subject to the conditions set forth in the Series B Certificates of Designations.</w:t>
      </w:r>
    </w:p>
    <w:p>
      <w:pPr>
        <w:spacing w:after="0" w:line="12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(the Board) called a meeting (Special Meeting) to ask our stockholders to consider, vote upon and approve (i) a proposal to amend our Eighth Amended and Restated Certificate of Incorporation (the Charter) to, among other things, increase the number of shares of common stock, par value $0.001 per share, that we are authorized to issue from two hundred million (200,000,000) shares to four hundred million (400,000,000) shares and to change the Company’s name to Standard BioTools Inc. (the Charter Amendment Proposal); (ii) a proposal to approve, in accordance with Nasdaq Listing Rule 5635,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 the conversion of the Series B Preferred Stock (the Private Placement Issuance Proposal); and (iii) a proposal to adjourn the Special Meeting if the Special Meeting were convened and a quorum were present, but there were not sufficient votes to approve the Charter Amendment Proposal and the Private Placement Issuance Proposal (the Adjournment Proposal, and, together with the Private Placement Issuance Proposal and the Charter Amendment Proposal, the Stockholder Proposals). Each of the Private Placement Issuance Proposal and Charter Amendment Proposal were conditioned on the approval of the other proposal, and neither proposal would take effect unless both were approved by our stockholders.</w:t>
      </w:r>
    </w:p>
    <w:p>
      <w:pPr>
        <w:spacing w:after="0" w:line="12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stockholders approved the Charter Amendment Proposal and Private Placement Issuance Proposal on April 1, 2022. The Private Placement Issuance closed on April 4, 2022. Upon closing, 225,000 shares of Series B Preferred Stock were issued in accordance with the Purchase Agreements and the Bridge Loans converted into 30,559 shares of Series B Preferred Stock, for a total of 255,559 shares of Series B Preferred Stock. The proceeds of the Private Placement Issuance have been and will be used to fund expenses related to the Private Placement Issuance, as well as working capital, general corporate purposes and potential future merger and acquisition opportunities that we may identify from time to time.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Redeemable Preferred Stock</w:t>
      </w:r>
    </w:p>
    <w:p>
      <w:pPr>
        <w:spacing w:after="0" w:line="162" w:lineRule="exact"/>
        <w:rPr>
          <w:sz w:val="20"/>
          <w:szCs w:val="20"/>
          <w:color w:val="auto"/>
        </w:rPr>
      </w:pPr>
    </w:p>
    <w:p>
      <w:pPr>
        <w:ind w:right="120" w:firstLine="383"/>
        <w:spacing w:after="0" w:line="258" w:lineRule="auto"/>
        <w:rPr>
          <w:sz w:val="20"/>
          <w:szCs w:val="20"/>
          <w:color w:val="auto"/>
        </w:rPr>
      </w:pPr>
      <w:r>
        <w:rPr>
          <w:rFonts w:ascii="Times New Roman" w:cs="Times New Roman" w:eastAsia="Times New Roman" w:hAnsi="Times New Roman"/>
          <w:sz w:val="18"/>
          <w:szCs w:val="18"/>
          <w:color w:val="auto"/>
        </w:rPr>
        <w:t>Preferred stock is classified as debt, equity or mezzanine equity based on its redemption features. Preferred stock with redemption features outside of the control of the issuer, such as contingent redemption features, is classified as mezzanine equity. We recorded the Series B Preferred Stock as mezzanine equity at its fair value upon issuance, net of any issuance costs, on the condensed consolidated balance sheet as of June 30, 2022 because it had features, such as change of control and liquidation preference, which are outside of the issuer’s control. Subsequent adjustment of the amount presented within mezzanine equity to its redemption amount is unnecessary as it is not probable that the instrument will become redeemable.</w:t>
      </w:r>
    </w:p>
    <w:p>
      <w:pPr>
        <w:spacing w:after="0" w:line="116" w:lineRule="exact"/>
        <w:rPr>
          <w:sz w:val="20"/>
          <w:szCs w:val="20"/>
          <w:color w:val="auto"/>
        </w:rPr>
      </w:pPr>
    </w:p>
    <w:p>
      <w:pPr>
        <w:jc w:val="both"/>
        <w:ind w:right="140" w:firstLine="383"/>
        <w:spacing w:after="0" w:line="266" w:lineRule="auto"/>
        <w:rPr>
          <w:sz w:val="20"/>
          <w:szCs w:val="20"/>
          <w:color w:val="auto"/>
        </w:rPr>
      </w:pPr>
      <w:r>
        <w:rPr>
          <w:rFonts w:ascii="Times New Roman" w:cs="Times New Roman" w:eastAsia="Times New Roman" w:hAnsi="Times New Roman"/>
          <w:sz w:val="18"/>
          <w:szCs w:val="18"/>
          <w:color w:val="auto"/>
        </w:rPr>
        <w:t>Upon closing, the value of the Bridge Loans and the Purchase Agreements, discussed in detail below, were reclassified and included in the carrying value of the Series B Redeemable Preferred Stock. The carrying value of the Series B Redeemable Preferred Stock as of April 4, 2022 was $311.3 million and was unchanged as of June 30, 2022. The components of the carrying value of the Series B Redeemable Preferred Stock are as follows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3"/>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Purchase Agreements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Bridge Loans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Forward Purchase Agreements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Bridge Loans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equity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Series B Redeemable Preferred Stock</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311,253</w:t>
            </w:r>
          </w:p>
        </w:tc>
      </w:tr>
      <w:tr>
        <w:trPr>
          <w:trHeight w:val="20"/>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Series B Preferred Stock Certificates of Designations contain several conversion rights, redemption features and other key provisions described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Holder Voluntary Conversion Rights</w:t>
      </w:r>
    </w:p>
    <w:p>
      <w:pPr>
        <w:spacing w:after="0" w:line="14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Series B Preferred Stock is convertible at the option of the holders thereof at any time into a number of shares of common stock equal to the Conversion Rate (as defined in the Series B Certificates of Designations), which is initially 294.1176 shares of common stock per share of Series B Preferred Stock, in each case subject to certain adjustments and certain limitations on conversion.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Call Provision</w:t>
      </w:r>
    </w:p>
    <w:p>
      <w:pPr>
        <w:spacing w:after="0" w:line="16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At any time after the fifth anniversary of the closing of the Private Placement Issuance, if the last reported sale price of the common stock is greater than 250% of the Conversion Price (as defined in the Series B Certificates of Designations) as of such time for at least 20 consecutive trading days, we may elect to convert all of the outstanding shares of Series B Preferred Stock into shares of common stock.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Redemption Provision</w:t>
      </w:r>
    </w:p>
    <w:p>
      <w:pPr>
        <w:spacing w:after="0" w:line="16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After the seventh anniversary of the closing of the Private Placement Issuance, subject to certain conditions, we may, at our option, redeem all of the outstanding shares of Series B Preferred Stock at a redemption price per share of Series B Preferred Stock, payable in cash, equal to the Liquidation Preference (as defined in the Series B Certificates of Designations).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Provisions</w:t>
      </w:r>
    </w:p>
    <w:p>
      <w:pPr>
        <w:spacing w:after="0" w:line="14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undergo certain change of control transactions, each holder of outstanding shares of Series B Preferred Stock will have the option, subject to the holder’s right to convert all or a portion of the shares of Series B Preferred Stock held by such holder into common stock, to require us to purchase all or a portion of such holder’s outstanding shares of Series B Preferred Stock that have not been converted into common stock at a purchase price per share of Series B Preferred Stock, payable in cash, equal to the greater of (A) the Liquidation Preference of such share of Series B Preferred Stock, and (B) the amount of cash and/or other assets that such holder would have been entitled to receive if such holder had converted such share of Series B Preferred Stock into common stock immediately prior to the change of control transaction (Change of Control Put).</w:t>
      </w:r>
    </w:p>
    <w:p>
      <w:pPr>
        <w:spacing w:after="0" w:line="12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event of a change of control in which we are not expected to be the surviving corporation or if the common stock will no longer be listed on a U.S. national securities exchange, we will have a right to redeem, subject to the holder’s right to convert into common stock prior to such redemption, all of such holder’s shares of Series B Preferred Stock, or if a holder exercises the Change of Control Put in part, the remainder of such holder’s shares of Series B Preferred Stock, at a redemption price per share payable in cash, equal to the greater of (A) the Liquidation Preference of such share of Series B Preferred Stock, and (B) the amount of cash and/or other assets that the holder would have received if such holder had converted such share of Series B Preferred Stock into common stock immediately prior to the change of control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4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the Company, the Series B Preferred Stock has a liquidation preference equal to the greater of (i) the Liquidation Preference (as defined in the Series B Certificates of Designations, currently $3.40) and (ii) the amount per share of Series B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 Certificates of Designations (without regard to any limitations on conversion contained therein).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Purchase Agreements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Purchase Agreements for the issuance of 225,000 shares of Series B Preferred Stock for $225 million at a future date, were accounted for as forward sales contracts at fair value in accordance with ASC 480 Distinguishing Liabilities from Equities because the Series B Preferred Stock included certain contingent redemption features which created an obligation for the Company to repurchase its shares. The fair value of the Series B Preferred Stock payable portion of the forward sales contracts was determined using a Monte Carlo Simulation (MCS). The MCS analysis used a random-walk process to simulate the value of our common stock and the resulting impact on the value of our Series B Preferred Stock, given the convertibility of the Series B Preferred Stock into cash or our common stock under several scenarios, as well as various provisions discussed above.</w:t>
      </w:r>
    </w:p>
    <w:p>
      <w:pPr>
        <w:spacing w:after="0" w:line="10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225,000 shares of Series B Preferred Stock was determined to be $262.8 million as of March 31, 2022 and $285.1 million as of April 4, 2022. The $22.3 million increase in the fair value of the Series B Preferred Stock from March 31, 2022 to April 4, 2022 is included in the loss on forward sale of Series B Preferred Stock on the condensed consolidated statement of operations for the three months ended June 30, 2022. The loss is primarily due to the increase in our common share price from $3.59 per share on March 31, 2022 to $3.99 per share on April 4, 2022. The $60.1 million loss 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13" w:name="page14"/>
    <w:bookmarkEnd w:id="13"/>
    <w:p>
      <w:pPr>
        <w:ind w:right="100"/>
        <w:spacing w:after="0" w:line="266" w:lineRule="auto"/>
        <w:rPr>
          <w:sz w:val="20"/>
          <w:szCs w:val="20"/>
          <w:color w:val="auto"/>
        </w:rPr>
      </w:pPr>
      <w:r>
        <w:rPr>
          <w:rFonts w:ascii="Times New Roman" w:cs="Times New Roman" w:eastAsia="Times New Roman" w:hAnsi="Times New Roman"/>
          <w:sz w:val="18"/>
          <w:szCs w:val="18"/>
          <w:color w:val="auto"/>
        </w:rPr>
        <w:t>forward sales of Series B Preferred Stock for the six months ended June 30, 2022 reflected the increase in the share price of our common stock from $2.84 at the inception of the contracts to $3.99 per share value as of April 4, 2022 and the value of the various conversion rights and key provisions discussed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Prior to their conversion, the Bridge Loans bore interest (i) from and including the effective date of the Bridge Loan Agreements to but excluding March 1, 2022, at 10%, (ii) from and including March 1, 2022 to but excluding June 1, 2022, at 12%, (iii) from and including June 1, 2022 to but excluding September 1, 2022, at 14%, and (iv) from and including September 1, 2022 and thereafter, at 16%. Interest accrued daily and was payable in kind by adding the accrued interest to the outstanding principal amount. Unless earlier converted, the outstanding principal amount of the Bridge Loans (inclusive of principal and accrued and unpaid interest) was due and payable in cash on the maturity date.</w:t>
      </w:r>
    </w:p>
    <w:p>
      <w:pPr>
        <w:spacing w:after="0" w:line="1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Bridge Loans automatically converted into Series B Preferred Stock upon the closing of the Private Placement Issuance, in accordance with the terms of the Bridge Loan Agreements. The Bridge Loans converted into a number of shares of Series B Preferred Stock equal to (i) the then outstanding principal amount of the applicable Bridge Loan (including any interest added to the original principal amount thereof) plus accrued and unpaid interest (together, the Conversion Amount) on the Bridge Loans divided by $1,000 multiplied by (ii) the Conversion Price (as defined in the Series B Certificates of Designations) divided by $2.84.</w:t>
      </w:r>
    </w:p>
    <w:p>
      <w:pPr>
        <w:spacing w:after="0" w:line="10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If the Series B Preferred Stock had not been approved for issuance by our stockholders, or the Purchase Agreements were terminated, then the Bridge Loans would have become convertible, at each lender’s option, into common stock, par value $0.001 per share, of the Company at an initial conversion rate of 352.1126 shares of common stock per $1,000 of the Conversion Amount, subject to the cap set forth in the Bridge Loan Agreements.</w:t>
      </w:r>
    </w:p>
    <w:p>
      <w:pPr>
        <w:spacing w:after="0" w:line="80" w:lineRule="exact"/>
        <w:rPr>
          <w:sz w:val="20"/>
          <w:szCs w:val="20"/>
          <w:color w:val="auto"/>
        </w:rPr>
      </w:pPr>
    </w:p>
    <w:p>
      <w:pPr>
        <w:ind w:right="120" w:firstLine="324"/>
        <w:spacing w:after="0" w:line="226" w:lineRule="exact"/>
        <w:rPr>
          <w:sz w:val="20"/>
          <w:szCs w:val="20"/>
          <w:color w:val="auto"/>
        </w:rPr>
      </w:pPr>
      <w:r>
        <w:rPr>
          <w:rFonts w:ascii="Times New Roman" w:cs="Times New Roman" w:eastAsia="Times New Roman" w:hAnsi="Times New Roman"/>
          <w:sz w:val="18"/>
          <w:szCs w:val="18"/>
          <w:color w:val="auto"/>
        </w:rPr>
        <w:t>Applying the guidance in ASC 825 Financial Instruments, we elected to record the Bridge Loans at their fair value. We employed a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weighted expected return method in our valuation analysis of the Bridge Loans. Specifically, our analysis contemplated two scenarios: 1) our stockholders approve the transaction (Approval Scenario) and 2) our stockholders do not approve the transaction (Disapproval Scenario). To estimate the fair value of the Bridge Loans pursuant to the Approval Scenario, we employed a Monte Carlo Simulation (MCS) analysis, discussed above, based on the underlying Series B Preferred Stock into which the Bridge Loans were convertible.</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change in fair value of the Bridge Loans from inception to conversion on April 4, 2022 is included as a non-operating loss on Bridge Loans in the condensed consolidated statement of operations. The loss on Bridge Loans was $3.1 million for the three months ended June 30, 2022 and $13.7 million for the six months ended June 30, 2022. The losses were attributable to the increases in our share price from the prior quarter end and from inception of the Bridge Loans to the April 4, 2022 closing date, respectively. In addition, as required under the fair value option, issuance costs associated with the Bridge Loans of $0.2 million were recognized in selling, general and administrative expenses in the first quarter of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NIH Contract</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2020, we were awarded the NIH Contract under the RADx program to support the expansion of our production capacity and throughput capabilities for COVID-19 testing with our microfluidics technology. We completed the required milestones in 2021 and received the total NIH Contract value of $34.0 million. Proceeds from the NIH Contract have been used primarily for capital expenditures to expand production capacity and, to a lesser extent, to offset applicable operating costs. Grant proceeds that exceed the cost of the capital expenditures and expenses that have been and are expected to be incurred are recorded in other non-operating income on the condensed consolidated statement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under the NIH Contract as of June 30, 2022 and December 31,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receipts from milestones achieved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operating costs (excluding depreciation)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depreciation expense for assets placed in service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amounts recognized as non-operating income</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grant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placed in service,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amounts applied against depreciation expense for assets placed in service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property and equipment,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196"/>
        </w:trPr>
        <w:tc>
          <w:tcPr>
            <w:tcW w:w="7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deferred grant income</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19,992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21,651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grant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Deferred grant income, current on our condensed consolidated balance sheet represents the amounts expected to be offset against depreciation expense over the next twelve months. Deferred grant income, non-current includes amounts expected to be offset against depreciation expense in future later periods.</w:t>
      </w:r>
    </w:p>
    <w:p>
      <w:pPr>
        <w:spacing w:after="0" w:line="9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expect to spend $22.4 million on capital expenditures associated with the NIH Contract. As of June 30, 2022, we have placed $20.8 million of assets in service and expect to place the remaining assets in service by the end of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based upon the geographic location of our customers’ facilities and by source for the three and six months ended June 30, 2022 and 2021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Markets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16,120</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60" w:type="dxa"/>
            <w:vAlign w:val="bottom"/>
          </w:tcPr>
          <w:p>
            <w:pPr>
              <w:spacing w:after="0"/>
              <w:rPr>
                <w:sz w:val="19"/>
                <w:szCs w:val="19"/>
                <w:color w:val="auto"/>
              </w:rPr>
            </w:pP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Source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tcPr>
          <w:p>
            <w:pPr>
              <w:spacing w:after="0"/>
              <w:rPr>
                <w:sz w:val="19"/>
                <w:szCs w:val="19"/>
                <w:color w:val="auto"/>
              </w:rPr>
            </w:pPr>
          </w:p>
        </w:tc>
        <w:tc>
          <w:tcPr>
            <w:tcW w:w="4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60" w:type="dxa"/>
            <w:vAlign w:val="bottom"/>
          </w:tcPr>
          <w:p>
            <w:pPr>
              <w:spacing w:after="0"/>
              <w:rPr>
                <w:sz w:val="19"/>
                <w:szCs w:val="19"/>
                <w:color w:val="auto"/>
              </w:rPr>
            </w:pPr>
          </w:p>
        </w:tc>
        <w:tc>
          <w:tcPr>
            <w:tcW w:w="4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Consumables</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and royalty revenue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revenue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revenue</w:t>
            </w: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Unfulfilled Performance Obligations</w:t>
      </w:r>
    </w:p>
    <w:p>
      <w:pPr>
        <w:spacing w:after="0" w:line="14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reported $17.9 million of deferred revenue on our December 31, 2021 consolidated balance sheet. During the six months ended June 30, 2022, $7.1 million of the opening balance was recognized as revenue and $5.7 million of net additional advance payments were received from customers, primarily associated with instrument service contracts. At June 30, 2022, we reported $16.5 million of deferred revenue.</w:t>
      </w:r>
    </w:p>
    <w:p>
      <w:pPr>
        <w:spacing w:after="0" w:line="1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expect to recognize revenue from unfulfilled performance obligations associated with service contracts that were partially completed on June 30, 2022 in the following periods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3"/>
                <w:szCs w:val="13"/>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Expected Revenue</w:t>
            </w:r>
          </w:p>
        </w:tc>
        <w:tc>
          <w:tcPr>
            <w:tcW w:w="0" w:type="dxa"/>
            <w:vAlign w:val="bottom"/>
          </w:tcPr>
          <w:p>
            <w:pPr>
              <w:spacing w:after="0"/>
              <w:rPr>
                <w:sz w:val="1"/>
                <w:szCs w:val="1"/>
                <w:color w:val="auto"/>
              </w:rPr>
            </w:pPr>
          </w:p>
        </w:tc>
      </w:tr>
      <w:tr>
        <w:trPr>
          <w:trHeight w:val="139"/>
        </w:trPr>
        <w:tc>
          <w:tcPr>
            <w:tcW w:w="9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
        </w:trPr>
        <w:tc>
          <w:tcPr>
            <w:tcW w:w="9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40" w:right="120" w:hanging="332"/>
        <w:spacing w:after="0" w:line="255" w:lineRule="auto"/>
        <w:tabs>
          <w:tab w:leader="none" w:pos="2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revenue includes both billed amounts included in deferred revenue and unbilled amounts that are not reflected in our condensed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10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apply the practical expedient that permits us not to disclose information about unsatisfied performance obligations for service contracts with an expected term of one year or less.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4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had an outstanding trade accounts receivable of $1.1 million from one customer which represented more than 10% of our total accounts receivable, net as of June 30, 2022. No customer had an outstanding trade accounts receivable balance that represented more than 10% of total accounts receivable, net as of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DVS in February 2014, we recognized goodwill of $104.1 million and $112.0 million of developed technology. In the first quarter of 2020, we recognized $2.2 million (Euro 2.0 million) of goodwill from the InstruNor acquisition and $5.4 million (Euro 4.9 million) of developed technology.</w:t>
      </w:r>
    </w:p>
    <w:p>
      <w:pPr>
        <w:spacing w:after="0" w:line="10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 Due to the significant decline in our share price since the prior quarter end, we performed an analysis of our goodwill as of June 30, 2022 and concluded that no impairment charge was necessary.</w:t>
      </w:r>
    </w:p>
    <w:p>
      <w:pPr>
        <w:spacing w:after="0" w:line="108"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In June 2022, the decision was made to discontinue further development on the product lines supported by the InstruNor developed technology. As there are no future cash flows attributable to this asset group, an impairment charge of $3.5 million was recognized, representing the remaining carrying value of the intangible asset.</w:t>
      </w:r>
    </w:p>
    <w:p>
      <w:pPr>
        <w:spacing w:after="0" w:line="10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also include other patents and licenses, which are included in other non-current assets. Intangible assets, net,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560" w:type="dxa"/>
            <w:vAlign w:val="bottom"/>
          </w:tcPr>
          <w:p>
            <w:pPr>
              <w:spacing w:after="0"/>
              <w:rPr>
                <w:sz w:val="12"/>
                <w:szCs w:val="12"/>
                <w:color w:val="auto"/>
              </w:rPr>
            </w:pPr>
          </w:p>
        </w:tc>
        <w:tc>
          <w:tcPr>
            <w:tcW w:w="8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94"/>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years</w:t>
            </w: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Patents and licenses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11,254</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(10,337)</w:t>
            </w: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top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7.0 years</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1"/>
                <w:szCs w:val="11"/>
                <w:color w:val="auto"/>
              </w:rPr>
            </w:pPr>
          </w:p>
        </w:tc>
        <w:tc>
          <w:tcPr>
            <w:tcW w:w="8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53"/>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 years</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Patents and licenses</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7.0 years</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Total amortization expense was $3.2 million for both the three months ended June 30, 2022 and 2021. Total amortization expense for the six months ended June 30, 2022 and 2021 was $6.3 million and $6.4 million, respectively. The $3.5 million impairment charge on InstruNor’s developed technology intangible asset was recorded in research and development expense and is reflected in accumulated amortization in the above table.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Based on the carrying value of intangible assets as of June 30, 2022, our estimated future amortization expense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Developed Technology</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Patents and Licenses</w:t>
            </w:r>
          </w:p>
        </w:tc>
        <w:tc>
          <w:tcPr>
            <w:tcW w:w="340" w:type="dxa"/>
            <w:vAlign w:val="bottom"/>
          </w:tcPr>
          <w:p>
            <w:pPr>
              <w:spacing w:after="0"/>
              <w:rPr>
                <w:sz w:val="13"/>
                <w:szCs w:val="13"/>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remainder of the year</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0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June 30, 2022 and December 31, 2021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28,451</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Short-term restricted cash of approximately $16 thousand is included in prepaid expenses and other current assets and $1.0 million of non-current restricted cash is included in other non-current assets in the condensed consolidated balance sheet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net consisted of the following as of June 30, 2022 and December 31, 2021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June 30, 2022 and December 31, 2021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28,034</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p>
      <w:pPr>
        <w:spacing w:after="0" w:line="14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Accrued compensation and related benefits, which are included in current liabilities on the condensed consolidated balance sheet consisted of the following as of June 30, 2022 and December 31, 2021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taxes and other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severance and retention payments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Accrued warranty is included in current other accrued liabilities on our condensed consolidated balance sheet. Activity for our warranty accrual for the six months ended June 30, 2022 and 2021 is summarized below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for current period warranties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Senior Convertible Notes (2014 Notes) and 2019 Senior Convertible Notes (2019 Notes)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the components of the 2014 Notes and 2019 Notes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2.75% 2014 Notes due 2034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2014 Notes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50"/>
        </w:trPr>
        <w:tc>
          <w:tcPr>
            <w:tcW w:w="7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5.25% 2019 Notes due 2024</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carrying value of 2019 Notes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53,592</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all Notes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Senior Convertible Notes (2014 Notes)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February 2014, we closed an underwritten public offering of 2014 Notes. In 2019, the outstanding 2014 Notes were largely refinanced with the 2019 Notes, discussed below. The effective interest rate on the 2014 Notes, reflecting the impact of debt discounts and issuance costs, is approximately 3%. The 2014 Notes will mature on February 1, 2034, unless earlier converted, redeemed, or repurchased in accordance with the terms of the 2014 Notes. Holders may require us to repurchase all or a portion of their 2014 Notes on each of February 6, 2024 and February 6, 2029, at a repurchase price in cash equal to 100% of the principal amount of the 2014 Notes plus accrued and unpaid interest.</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9" w:name="page20"/>
    <w:bookmarkEnd w:id="19"/>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provided by the indenture governing the 2014 Notes, in February 2021, holders of $0.5 million of the 2014 Notes required us to repurchase their notes at 100% of the principal amount plus accrued and unpaid interest. As of June 30, 2022, there was $0.6 million aggregate principal of the 2014 Notes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Senior Convertible Notes (2019 Notes)</w:t>
      </w:r>
    </w:p>
    <w:p>
      <w:pPr>
        <w:spacing w:after="0" w:line="14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November 2019, we issued $55.0 million aggregate principal amount of 2019 Notes. Net proceeds of the 2019 Notes issuance were $52.7 million, after deductions for commissions and other debt issuance costs. $51.8 million of the proceeds of the 2019 Notes were used to retire $50.2 million aggregate principal amount of our 2014 Notes, leaving $1.1 million of aggregate principal value of 2014 Notes then outstanding.</w:t>
      </w:r>
    </w:p>
    <w:p>
      <w:pPr>
        <w:spacing w:after="0" w:line="108" w:lineRule="exact"/>
        <w:rPr>
          <w:sz w:val="20"/>
          <w:szCs w:val="20"/>
          <w:color w:val="auto"/>
        </w:rPr>
      </w:pPr>
    </w:p>
    <w:p>
      <w:pPr>
        <w:ind w:right="300" w:firstLine="324"/>
        <w:spacing w:after="0" w:line="257" w:lineRule="auto"/>
        <w:rPr>
          <w:sz w:val="20"/>
          <w:szCs w:val="20"/>
          <w:color w:val="auto"/>
        </w:rPr>
      </w:pPr>
      <w:r>
        <w:rPr>
          <w:rFonts w:ascii="Times New Roman" w:cs="Times New Roman" w:eastAsia="Times New Roman" w:hAnsi="Times New Roman"/>
          <w:sz w:val="18"/>
          <w:szCs w:val="18"/>
          <w:color w:val="auto"/>
        </w:rPr>
        <w:t>The 2019 Notes bear interest at 5.25% per annum, payable semiannually on June 1 and December 1 of each year.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2019 Notes is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344.8276 shares of our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1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2019 Notes will also be convertible at our option upon certain conditions in accordance with the terms of the indenture governing the 2019 Notes. On or after December 1, 2021 to December 1, 2022, if the price of our common stock has equaled or exceeded 150% of the Conversion Price (as defined in the indenture) then in effect for a specified number of days (Issuer’s Conversion Option), we may, at our option, elect to convert the 2019 Notes in whole but not in part into shares of common stock of the Company, determined in accordance with the terms of the indenture. On or after December 1, 2022, if the price of our common stock has equaled or exceeded 130% of the Conversion Price then in effect for a specified number of days, we may, at our option, elect to convert the 2019 Notes in whole but not in part into shares of common stock of the Company, determined in accordance with the terms of the indenture.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Offering-related costs for the 2019 Notes were capitalized as debt issuance costs and are recorded as an offset to the carrying value of the 2019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rate on the 2019 Notes is 6.2%.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and Term Loan,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of our term loan and advances under the Credit Facility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term fee accretion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term loan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advances under credit agreement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r>
      <w:tr>
        <w:trPr>
          <w:trHeight w:val="20"/>
        </w:trPr>
        <w:tc>
          <w:tcPr>
            <w:tcW w:w="7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August 2018, we entered into a revolving credit facility with Silicon Valley Bank (as amended, the Revolving Credit Facility) in an aggregate principal amount of up to the lesser of (i) $15.0 million (Maximum Amount)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w:t>
      </w:r>
    </w:p>
    <w:p>
      <w:pPr>
        <w:spacing w:after="0" w:line="112" w:lineRule="exact"/>
        <w:rPr>
          <w:sz w:val="20"/>
          <w:szCs w:val="20"/>
          <w:color w:val="auto"/>
        </w:rPr>
      </w:pPr>
    </w:p>
    <w:p>
      <w:pPr>
        <w:ind w:right="240" w:firstLine="324"/>
        <w:spacing w:after="0" w:line="273" w:lineRule="auto"/>
        <w:rPr>
          <w:sz w:val="20"/>
          <w:szCs w:val="20"/>
          <w:color w:val="auto"/>
        </w:rPr>
      </w:pPr>
      <w:r>
        <w:rPr>
          <w:rFonts w:ascii="Times New Roman" w:cs="Times New Roman" w:eastAsia="Times New Roman" w:hAnsi="Times New Roman"/>
          <w:sz w:val="18"/>
          <w:szCs w:val="18"/>
          <w:color w:val="auto"/>
        </w:rPr>
        <w:t>On August 2, 2021, we amended our Revolving Credit Facility to extend the maturity date to August 2, 2023 and to provide for a new $10.0 million Term Loan Facility (the Term Loan Facility and, together with the Revolving Credit Facility, the Credit Facility). The stated maturity of the Term Loan</w:t>
      </w:r>
    </w:p>
    <w:p>
      <w:pPr>
        <w:spacing w:after="0" w:line="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Facility is July 1, 2025. However, if the principal amount of our convertible debt exceeds $0.6 million as of June 1, 2024 or if the maturity of our 2019 Notes has not been extended beyond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ind w:right="40"/>
        <w:spacing w:after="0" w:line="266" w:lineRule="auto"/>
        <w:rPr>
          <w:sz w:val="20"/>
          <w:szCs w:val="20"/>
          <w:color w:val="auto"/>
        </w:rPr>
      </w:pPr>
      <w:r>
        <w:rPr>
          <w:rFonts w:ascii="Times New Roman" w:cs="Times New Roman" w:eastAsia="Times New Roman" w:hAnsi="Times New Roman"/>
          <w:sz w:val="18"/>
          <w:szCs w:val="18"/>
          <w:color w:val="auto"/>
        </w:rPr>
        <w:t>January 1, 2026 by June 1, 2024, then the maturity date of the Term Loan Facility will be June 1, 2024. The Credit Facility is collateralized by substantially all our property, other than intellectual property. The Credit Facility also includes a financial covenant that requires us to maintain a minimum Adjusted Quick Ratio, as defined in the agreement, of at least 1.25 to 1.00.</w:t>
      </w:r>
    </w:p>
    <w:p>
      <w:pPr>
        <w:spacing w:after="0" w:line="9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interest rate on advances made under the Revolving Credit Facility is the greater of (i) prime rate plus 0.50% or (ii) 5.25%. Interest on any outstanding amounts is due and payable monthly and the principal balance is due at maturity, though loans can be prepaid at any time without penalty. Fees for the Revolving Credit Facility include an annual commitment fee of $112,500 and a quarterly unused line fee based on the Borrowing Base. Total availability under the Revolving Credit Facility as of June 30, 2022 was $8.1 million. There were no borrowings outstanding under the Revolving Credit Facility at June 30, 2022.</w:t>
      </w:r>
    </w:p>
    <w:p>
      <w:pPr>
        <w:spacing w:after="0" w:line="11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of June 30, 2022, the Term Loan Facility was fully drawn. The interest rate on the Term Loan Facility is the greater of 4.0% or a floating per annum rate equal to three quarters of one percentage point (0.75%) above the prime rate. Interest on any outstanding term loan advances is due and payable monthly. In addition to the monthly interest payments, a final payment equal to 6.5% of the original principal amount of each advance is due on the earlier of the maturity date or the date the advance is repaid. Principal balances are required to be repaid in twenty-four equal installments beginning on August 1, 2023. The effective interest rate on the Term Loan Facility, reflecting the impact of debt issuance costs, the end-of-term fee and expected timing of principal repayment was 6.3% as of June 30,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have operating leases for buildings, equipment and vehicles. Existing leases have remaining terms of less than one year to eight years. Some leases contain options to extend the lease, usually for up to five years, and termination options.</w:t>
      </w:r>
    </w:p>
    <w:p>
      <w:pPr>
        <w:spacing w:after="0" w:line="8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leases was as follows as of June 30, 2022 and December 31, 2021 (in thousands, except for discount rate and lease term):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buildings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43,419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43,457</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equipment</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vehicles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right-of-use assets, gross</w:t>
            </w:r>
          </w:p>
        </w:tc>
        <w:tc>
          <w:tcPr>
            <w:tcW w:w="3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44,075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44,217</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(8,663)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(7,098)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right-of-use assets,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35,412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37,119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3,293</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3,053</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35,732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37,548</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39,025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40,601</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per annum</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cash, cash equivalents and available-for-sale securities that were measured at fair value by significant investment category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86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Pr>
          <w:p>
            <w:pPr>
              <w:spacing w:after="0"/>
              <w:rPr>
                <w:sz w:val="11"/>
                <w:szCs w:val="11"/>
                <w:color w:val="auto"/>
              </w:rPr>
            </w:pPr>
          </w:p>
        </w:tc>
        <w:tc>
          <w:tcPr>
            <w:tcW w:w="86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Cash-restricted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Available-for-sale: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I:</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212,938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212,227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86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Pr>
          <w:p>
            <w:pPr>
              <w:spacing w:after="0"/>
              <w:rPr>
                <w:sz w:val="11"/>
                <w:szCs w:val="11"/>
                <w:color w:val="auto"/>
              </w:rPr>
            </w:pPr>
          </w:p>
        </w:tc>
        <w:tc>
          <w:tcPr>
            <w:tcW w:w="86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7"/>
                <w:szCs w:val="17"/>
                <w:color w:val="auto"/>
              </w:rPr>
            </w:pPr>
          </w:p>
        </w:tc>
        <w:tc>
          <w:tcPr>
            <w:tcW w:w="8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Cash-restricted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Available-for-sale: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I:</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are Level I measurements. There were no transfers between Level I and Level II measurements, and no changes in the valuation techniques used during the six months ended June 30, 2022.</w:t>
      </w:r>
    </w:p>
    <w:p>
      <w:pPr>
        <w:spacing w:after="0" w:line="16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convertible notes are not regularly traded and it is difficult to estimate a reliable and accurate market price for these securities.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w:t>
      </w:r>
    </w:p>
    <w:p>
      <w:pPr>
        <w:spacing w:after="0" w:line="10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our term loan also represents a Level III valuation since the value cannot be determined by using readily observable inputs or measures, such as market prices. The fair value of our term loan was estimated using a discounted cash flows approach and current market interest rate data for similar loans.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par value, carrying value and the estimated fair value of our debt as of June 30, 2022 and December 31, 2021, respectively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Notes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81,880</w:t>
            </w:r>
          </w:p>
        </w:tc>
      </w:tr>
      <w:tr>
        <w:trPr>
          <w:trHeight w:val="196"/>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Notes</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55,578</w:t>
            </w:r>
          </w:p>
        </w:tc>
        <w:tc>
          <w:tcPr>
            <w:tcW w:w="120" w:type="dxa"/>
            <w:vAlign w:val="bottom"/>
          </w:tcPr>
          <w:p>
            <w:pPr>
              <w:spacing w:after="0"/>
              <w:rPr>
                <w:sz w:val="17"/>
                <w:szCs w:val="17"/>
                <w:color w:val="auto"/>
              </w:rPr>
            </w:pPr>
          </w:p>
        </w:tc>
        <w:tc>
          <w:tcPr>
            <w:tcW w:w="2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54,384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50,437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55,578</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54,160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82,481</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4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Term loan, net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9,168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Advances under revolving credit agreement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6,838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April 1, 2022, our stockholders approved the Charter Amendment Proposal and Private Placement Issuance Proposal discussed in Note 3. The Private Placement Issuance closed on April 4, 2022 and we issued 255,559 shares of Series B Preferred Stock. In connection with the closing, we adopted the 2022 Inducement Equity Incentive Plan (2022 Inducement Plan) with an initial reserve for issuance of approximately 9.5 million shares.</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Following stockholder approval of the Charter Amendment Proposal and the Private Placement Issuance Proposal, our name was changed to Standard BioTools Inc. Shortly after the closing of the Private Placement Issuance, we also changed the trading symbol for our common stock on the Nasdaq Global Select Market to LAB. Upon the closing of the Private Placement Issuance, Dr. Michael Egholm was appointed as our President and Chief Executive Officer and as a member of the Board of Directors.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 Reserved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we had reserved shares of common stock for future issuance under equity compensation plans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Issued Upon Release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5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Of Restricted Stock</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and Performance</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Securities</w:t>
            </w:r>
          </w:p>
        </w:tc>
        <w:tc>
          <w:tcPr>
            <w:tcW w:w="0" w:type="dxa"/>
            <w:vAlign w:val="bottom"/>
          </w:tcPr>
          <w:p>
            <w:pPr>
              <w:spacing w:after="0"/>
              <w:rPr>
                <w:sz w:val="1"/>
                <w:szCs w:val="1"/>
                <w:color w:val="auto"/>
              </w:rPr>
            </w:pPr>
          </w:p>
        </w:tc>
      </w:tr>
      <w:tr>
        <w:trPr>
          <w:trHeight w:val="14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 at</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Inducement Equity Incentive Plan</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Equity Incentive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Inducement Award Plan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DVS Sciences Inc. 2010 Equity Incentive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Employee Stock Purchase Plan</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Included in the securities to be issued upon release of restricted stock units (RSUs) and performance stock units (PSUs) are the maximum number of shares that could be issued for performance share unit awards, which can vest at 0%-200% of the number of awards granted. The number of shares available for future issuance also reflects PSU awards granted at the maximum number of shares that could be issued under these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Plans</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sets the terms, conditions, and restrictions related to our 2017 Employee Stock Purchase Plan (ESPP) and the grant of stock options, RSUs and performance-based awards under our equity incentive plans. Our board of directors determines the number of awards to grant and also sets the vesting criteria.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We may grant RSUs with different vesting terms from time to time.</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Stock options granted under our 2022 Inducement Plan and 2011 Equity Incentive Plan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9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2011 Equity Incentive Plan</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January 2011, our board of directors adopted the 2011 Plan under which incentive stock options, non-statutory stock options, RSUs, stock appreciation rights, PSUs and performance shares may be granted to our employees, directors, and consultants. In April 2019, our board of directors authorized, and in June 2019, our stockholders approved an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of 1.4 million shares reserved for issuance under the 2011 Plan. In April 2021, our board of directors authorized, and in May 2021, our stockholders approved, an additional increase of 4.1 million shares reserved for issuance under the 2011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Inducement Equity Incentive Plan</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11, we adopted the 2022 Inducement Plan in April 2022 and reserved 9.5 million shares of common stock for the issuance of equity-based awards, including non-statutory stock options, RSUs, restricted stock, stock appreciation rights, performance shares and PSUs. In accordance with Nasdaq listing rules, equity awards issued under the 2022 Inducement Plan are restricted to individuals who are not already employees or directors of the Company. The terms and conditions of the 2022 Inducement Plan are substantially similar to those of the 2011 Plan.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under the various plans was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the unrecognized compensation costs related to outstanding unvested RSUs under our equity incentive plans were $21.7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those costs over a weighted 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b w:val="1"/>
          <w:bCs w:val="1"/>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Remaining</w:t>
            </w: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60" w:type="dxa"/>
            <w:vAlign w:val="bottom"/>
          </w:tcPr>
          <w:p>
            <w:pPr>
              <w:spacing w:after="0"/>
              <w:rPr>
                <w:sz w:val="12"/>
                <w:szCs w:val="12"/>
                <w:color w:val="auto"/>
              </w:rPr>
            </w:pPr>
          </w:p>
        </w:tc>
        <w:tc>
          <w:tcPr>
            <w:tcW w:w="128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14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Options (000s)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7"/>
                <w:szCs w:val="17"/>
                <w:color w:val="auto"/>
              </w:rPr>
            </w:pPr>
          </w:p>
        </w:tc>
        <w:tc>
          <w:tcPr>
            <w:tcW w:w="1280" w:type="dxa"/>
            <w:vAlign w:val="bottom"/>
          </w:tcPr>
          <w:p>
            <w:pPr>
              <w:jc w:val="center"/>
              <w:ind w:right="75"/>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Value </w:t>
            </w:r>
            <w:r>
              <w:rPr>
                <w:rFonts w:ascii="Times New Roman" w:cs="Times New Roman" w:eastAsia="Times New Roman" w:hAnsi="Times New Roman"/>
                <w:sz w:val="18"/>
                <w:szCs w:val="18"/>
                <w:b w:val="1"/>
                <w:bCs w:val="1"/>
                <w:color w:val="auto"/>
                <w:w w:val="97"/>
                <w:vertAlign w:val="superscript"/>
              </w:rPr>
              <w:t>(1)</w:t>
            </w:r>
            <w:r>
              <w:rPr>
                <w:rFonts w:ascii="Times New Roman" w:cs="Times New Roman" w:eastAsia="Times New Roman" w:hAnsi="Times New Roman"/>
                <w:sz w:val="14"/>
                <w:szCs w:val="14"/>
                <w:b w:val="1"/>
                <w:bCs w:val="1"/>
                <w:color w:val="auto"/>
                <w:w w:val="97"/>
              </w:rPr>
              <w:t xml:space="preserve"> in (000s)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June 30, 2022</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340" w:right="380" w:hanging="332"/>
        <w:spacing w:after="0" w:line="260"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intrinsic value as of June 30, 2022 was calculated as the difference between the closing price per share of our common stock on the last trading day of June 30, 2022, which was $1.60, and the exercise price of the options, multiplied by the number of in-the-money options.</w:t>
      </w:r>
    </w:p>
    <w:p>
      <w:pPr>
        <w:spacing w:after="0" w:line="11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options granted during 2022 were under the 2022 Inducement Plan and awarded to new members of our management team.</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June 30, 2022, the unrecognized compensation costs related to outstanding unvested options under our equity incentive plans were $16.2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those costs over a weighted average period of 3.8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granted PSU awards to certain executive officers and senior level employees. The number of PSUs ultimately earned under these awards is calculated based on the Total Shareholder Return (TSR) of our common stock as compared to the TSR of a defined group of peer companies during the applicable three-year performance period. The percentage of PSUs that vest will depend on our relative position at the end of the performance period and can range from 0% to 200% of the number of units granted.</w:t>
      </w:r>
    </w:p>
    <w:p>
      <w:pPr>
        <w:spacing w:after="0" w:line="112"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Based on the performance of our stock relative to our defined group of peer companies, none of the PSUs awarded in 2019 for the 2019-2021 measurement period were vested. The performance adjustment in the table below reflects that no shares were issued upon vesting of the 2019 PSU awards.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under the TSR-based PSUs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8"/>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adjustment for 2019 awards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 released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 unrecognized compensation costs related to these awards were $2.1 million. We expect to recognize those costs over a weighted average period of 1.4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Employee Stock Purchase Plan (ESPP)</w:t>
      </w:r>
    </w:p>
    <w:p>
      <w:pPr>
        <w:spacing w:after="0" w:line="14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ESPP offers U.S. and some non-U.S. employees the right to purchase shares of our common stock. Our ESPP program has a six-month offering period, with a new period commencing on the first trading day on or after May 31 and November 30 of each year. Employees are eligible to participate through payroll deductions of up to 10% of their compensation. Employees may not purchase more than $25 thousand of stock for any calendar year. The purchase price at which shares are sold under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5" w:name="page26"/>
    <w:bookmarkEnd w:id="25"/>
    <w:p>
      <w:pPr>
        <w:ind w:right="460"/>
        <w:spacing w:after="0" w:line="282" w:lineRule="auto"/>
        <w:rPr>
          <w:sz w:val="20"/>
          <w:szCs w:val="20"/>
          <w:color w:val="auto"/>
        </w:rPr>
      </w:pPr>
      <w:r>
        <w:rPr>
          <w:rFonts w:ascii="Times New Roman" w:cs="Times New Roman" w:eastAsia="Times New Roman" w:hAnsi="Times New Roman"/>
          <w:sz w:val="18"/>
          <w:szCs w:val="18"/>
          <w:color w:val="auto"/>
        </w:rPr>
        <w:t>ESPP is 85% of the lower of the fair market value of a share of our common stock on the first day of the offering period or the last day of the offering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recognized was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stock options and performance stock units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quarterly provision for income taxes is based on an estimated effective annual income tax rate. Our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spacing w:after="0" w:line="95" w:lineRule="exact"/>
        <w:rPr>
          <w:sz w:val="20"/>
          <w:szCs w:val="20"/>
          <w:color w:val="auto"/>
        </w:rPr>
      </w:pPr>
    </w:p>
    <w:p>
      <w:pPr>
        <w:ind w:right="500" w:firstLine="324"/>
        <w:spacing w:after="0" w:line="258" w:lineRule="auto"/>
        <w:rPr>
          <w:sz w:val="20"/>
          <w:szCs w:val="20"/>
          <w:color w:val="auto"/>
        </w:rPr>
      </w:pPr>
      <w:r>
        <w:rPr>
          <w:rFonts w:ascii="Times New Roman" w:cs="Times New Roman" w:eastAsia="Times New Roman" w:hAnsi="Times New Roman"/>
          <w:sz w:val="18"/>
          <w:szCs w:val="18"/>
          <w:color w:val="auto"/>
        </w:rPr>
        <w:t>We recorded a tax benefit of $1.6 million and $0.5 million for the three months ended June 30, 2022 and 2021, respectively. Higher losses in our foreign operations in the quarter ended June 30, 2022 compared to the quarter ended June 30, 2021 resulted in a higher tax benefit for our foreign operations for the three months ended June 30, 2022 compared to the prior year period. For both the six months ended June 30, 2022 and 2021, we recorded a tax benefit of $2.2 million. While the amounts of income tax benefit were approximately the same for both periods, the effective tax rate decreased due to higher pre-tax losses for the six months ended June 30, 2022.</w:t>
      </w:r>
    </w:p>
    <w:p>
      <w:pPr>
        <w:spacing w:after="0" w:line="11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tax benefit for the periods presented in this report differs from the 21% U.S. Federal statutory rate principally because we maintain a valuation allowance for our domestic deferred tax assets, which primarily consist of net-operating loss carryforwards.</w:t>
      </w:r>
    </w:p>
    <w:p>
      <w:pPr>
        <w:spacing w:after="0" w:line="9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Recording deferred tax assets is appropriate when realization of these assets is more likely than not. Assessing the realizability of deferred tax assets is dependent upon several factors including historical financial results and future expected financial results. Domestic deferred tax assets have been offset by valuation allowances. Any release of valuation allowances could have the effect of decreasing the income tax provision in the period the valuation allowance is released. We continue to assess the likelihood that we will be able to recover our deferred tax assets, including those for which a valuation allowance is recorded. There can be no assurance that we will generate profits in the future periods enabling us to fully realize our deferred tax assets. The timing of recording a valuation allowance or the reversal of such valuation allowance is subject to objective and subjective factors that cannot be readily predicted in advance.</w:t>
      </w:r>
    </w:p>
    <w:p>
      <w:pPr>
        <w:spacing w:after="0" w:line="10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tax positions are subject to audits by multiple tax jurisdictions. We believe that we have provided adequate reserves for uncertain tax positions for all tax years still open for assessment. For the six months ended June 30, 2022 and 2021, respectively, we did not recognize any material interest or penalties related to uncertain tax 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Information About Geographic Areas</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operate in one reporting segment that develops, manufactures and commercializes tools for life science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1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 summary table of our revenue by geographic areas of our customers and by product and services for the three and six months ended June 30, 2022 and 2021 is included in Note 5 to the condensed consolidated financial statements.</w:t>
      </w:r>
    </w:p>
    <w:p>
      <w:pPr>
        <w:spacing w:after="0" w:line="8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Revenue from customers in the United States represented $8.8 million, or 47% of total revenues, and $15.5 million, or 50% of total revenues, for the three months ended June 30, 2022 and 2021, respectively. For the six months ended June 30, 2022 and 2021, revenue from domestic customers totaled $20.6 million, or 46% of total revenues, and $33.7 million, or 53% of total revenues,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Revenue from customers in China represented $1.6 million, or 9% of total revenues, and $2.5 million, or 8% of total revenues, for the three months ended June 30, 2022 and 2021, respectively. For the six months ended June 30, 2022 and 2021, revenue from customers in China totaled $4.5 million, or 10% of total revenues, and $5.5 million, or 9% of total revenues, respectively. With the exception of China, no foreign country had revenue in excess of 10% of total revenues during any of the periods presented.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September 2020, a putative class action complaint alleging violations of the federal securities laws was filed against the Company (also naming our now-former Chief Executive Officer and our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 defendants’ motion and dismissed the second amended complaint with prejudice. The plaintiff has appealed the decision, and the appeal remains pending before the U.S. Court of Appeals for the Ninth Circuit. We believe the claims alleged in the complaint lack merit and we intend to defend this action vigorously.</w:t>
      </w:r>
    </w:p>
    <w:p>
      <w:pPr>
        <w:spacing w:after="0" w:line="1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August 8, 2022, we announced a restructuring plan, including a reduction in force. In addition, we will also seek to reduce leased office space and other operating expenses. The purpose of the restructuring plan is to improve operational efficiency and operating costs and better align our workforce with the current needs of our business.</w:t>
      </w:r>
    </w:p>
    <w:p>
      <w:pPr>
        <w:spacing w:after="0" w:line="9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currently expect cash expenses related to the reduction in force, consisting primarily of severance and termination benefits and related costs, to be in the range of $3 million to $5 million. At this time, we are not able, in good faith, to make a determination of the estimated amount or range of amounts to be incurred for every major type of restructuring cost, including the leased office space reduction charges. We expect to recognize the restructuring costs over the next four quarters. These estimates are subject to a number of assumptions, and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the results of operations and financial condition of Standard BioTools Inc. MD&amp;A is provided as a supplement to, and should be read together with our condensed consolidated financial statements and the notes to those statements included elsewhere in this Form 10-Q. This Form 10-Q contains forward-looking statements within the meaning of Section 27A of the Securities Act of 1933, as amended (the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income and expenses, unit sales and the selling prices of our products, business strategies, our restructuring and reduction-in-force plans, financing plans, expansion of our business, competitive position, industry environment, potential growth opportunities, market growth expectations, and the effects of competition and public health crises (including the COVID-19 pandemic) on our business, the global supply chain, and our customers, suppliers, and other business partners.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0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located elsewhere in this quarterly report on Form 10-Q, and in our annual report on Form 10-K filed with the Securities and Exchange Commission (SEC). Given these uncertainties, you should not place undue reliance on these forward-looking statements. Also, forward-looking statements represent our management’s beliefs and assumptions only as of the date of this Form 10-Q.</w:t>
      </w:r>
    </w:p>
    <w:p>
      <w:pPr>
        <w:spacing w:after="0" w:line="116"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Standard BioTools™, the Standard BioTools logo, Fluidigm®, the Fluidigm logo, 48.Atlas™, Access Array™, AccuLift™, Advanta™, Atlas™,</w:t>
      </w:r>
    </w:p>
    <w:p>
      <w:pPr>
        <w:spacing w:after="0" w:line="16"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8"/>
          <w:szCs w:val="18"/>
          <w:color w:val="auto"/>
        </w:rPr>
        <w:t>Biomark™, Biomark X™, Bringing new insights to life™, C1™, Callisto™, Cell-ID™, CyTOF®, CyTOF XT™, CyTOF XT logo, D3™, Delta Gene™, Direct™, Digital Array™, Dynamic Array™, EP1™, EQ™, FC1™, Flex Six™, Flow Conductor™, FluiDesign™, GeckoGrip™, Helios™, High-Precision 96.96 Genotyping™, HTI™, HTI+™, Hyperion™, Hyperion+™, IMC™, Imaging Mass Cytometry™, Immune Profiling Assay™, Juno™, Maxpar®, MCD™, MSL®, Nanoflex™, Open App™, Pathsetter™, Polaris™, qdPCR 37K™, Script Builder™, Script Hub™, Singular™, SNP Trace™, SNP Type™, “Unleashing tools to accelerate breakthroughs in human health” ™, and Xgrade™ are trademarks or registered trademarks of Standard BioTools Inc. or its affiliates. Other service marks, trademarks and trade names referred to in this quarterly report on Form 10-Q are the property of their respective owners.</w:t>
      </w:r>
    </w:p>
    <w:p>
      <w:pPr>
        <w:spacing w:after="0" w:line="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Form 10-Q to “Standard BioTools” the “Company,” “we,” “us,” and “our” refer to Standard BioTools Inc. and its subsidiaries.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MD&amp;A is organized in the following sections:</w:t>
      </w:r>
    </w:p>
    <w:p>
      <w:pPr>
        <w:spacing w:after="0" w:line="15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Overview</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Policies, Significant Judgments and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Changes and Accounting Pronouncements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Capital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Standard BioTools Inc. is driven by a bold vision – unleashing tools to accelerate breakthroughs in human health. We have an established portfolio of essential, standardized next-generation technologies that help biomedical researchers develop medicines faster and better. As a leading solutions provider, we provide reliable and repeatable insights in health and disease using our proprietary mass cytometry and microfluidics technologies that help transform scientific discoveries into better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28" w:name="page29"/>
    <w:bookmarkEnd w:id="28"/>
    <w:p>
      <w:pPr>
        <w:ind w:right="580"/>
        <w:spacing w:after="0" w:line="312" w:lineRule="auto"/>
        <w:rPr>
          <w:sz w:val="20"/>
          <w:szCs w:val="20"/>
          <w:color w:val="auto"/>
        </w:rPr>
      </w:pPr>
      <w:r>
        <w:rPr>
          <w:rFonts w:ascii="Times New Roman" w:cs="Times New Roman" w:eastAsia="Times New Roman" w:hAnsi="Times New Roman"/>
          <w:sz w:val="17"/>
          <w:szCs w:val="17"/>
          <w:color w:val="auto"/>
        </w:rPr>
        <w:t>patient outcomes. We work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45" w:lineRule="exact"/>
        <w:rPr>
          <w:sz w:val="20"/>
          <w:szCs w:val="20"/>
          <w:color w:val="auto"/>
        </w:rPr>
      </w:pPr>
    </w:p>
    <w:p>
      <w:pPr>
        <w:ind w:right="140" w:firstLine="324"/>
        <w:spacing w:after="0" w:line="242" w:lineRule="auto"/>
        <w:rPr>
          <w:sz w:val="20"/>
          <w:szCs w:val="20"/>
          <w:color w:val="auto"/>
        </w:rPr>
      </w:pPr>
      <w:r>
        <w:rPr>
          <w:rFonts w:ascii="Times New Roman" w:cs="Times New Roman" w:eastAsia="Times New Roman" w:hAnsi="Times New Roman"/>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integrated fluidic circuits (IFCs) as well as our microfluidics instruments, which are assembled by our contract manufacturer located within our Singapore facility. Our mass cytometry instruments, assays and reagents are manufactured at our facility in Canada.</w:t>
      </w:r>
    </w:p>
    <w:p>
      <w:pPr>
        <w:spacing w:after="0" w:line="13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total revenue for the six months ended June 30, 2022 and 2021 was $45.3 million and $63.8 million, respectively. We have incurred significant net losses since our inception in 1999 and, as of June 30, 2022, our accumulated deficit was $875.8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Issuance</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January 23, 2022, we entered into (i) a Loan Agreement (the Casdin Bridge Loan Agreement) with Casdin Private Growth Equity Fund II, L.P. and Casdin Partners Master Fund, L.P. (collectively, Casdin) and (ii) a Loan Agreement (the Viking Bridge Loan Agreement, and together with the Casdin Bridge Loan Agreement, the Bridge Loan Agreements) and each a Bridge Loan) with Viking Global Opportunities Illiquid Investments Sub-Master LP and Viking Global Opportunities Drawdown (Aggregator) LP (collectively, Viking and, together with Casdin, the Purchasers and each, a Purchaser). Each Bridge Loan Agreement provided for a $12.5 million term loan to the Company. The Bridge Loans were fully drawn on January 24, 2022. The Bridge Loans automatically converted into Series B Preferred Stock, defined below, upon the completion of the Preferred Equity Financing, defined below.</w:t>
      </w:r>
    </w:p>
    <w:p>
      <w:pPr>
        <w:spacing w:after="0" w:line="12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Also on January 23, 2022, we entered into separate Series B Convertible Preferred Stock Purchase Agreements (the Purchase Agreements) with each of the Purchasers pursuant to which, among other things, at the closing of the transactions contemplated thereby, and on the terms and subject to the conditions set forth therein, including the approval of our stockholders, we issued and sold an aggregate of $225 million of convertible preferred stock on April 4, 2022, consisting of: (i) 112,500 shares of the Company’s Series B-1 Convertible Preferred Stock, par value $0.001 per share (the Series B-1 Preferred Stock), at a purchase price of $1,000 per share to Casdin; and (ii) 112,500 shares of the Company’s Series B-2 Convertible Preferred Stock, par value $0.001 per share (the Series B-2 Preferred Stock, and together with the Series B-1 Preferred Stock, the Series B Preferred Stock) at a purchase price of $1,000 per share to Viking (the Preferred Equity Financing, and together with the issuance of shares of Series B Preferred Stock in connection with the conversion of the Bridge Loans, the Private Placement Issuance). The proceeds from the Private Placement Issuance have been and will be used for expenses related to the Private Placement Issuance, as well as working capital, general corporate purposes and potential future merger and acquisition opportunities that we may identify from time to time.</w:t>
      </w:r>
    </w:p>
    <w:p>
      <w:pPr>
        <w:spacing w:after="0" w:line="11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(the Board) called a meeting (Special Meeting) to ask our stockholders to consider, vote upon and approve (i) a proposal to amend the Company’s Eighth Amended and Restated Certificate of Incorporation (the Charter) to, among other things, increase the number of shares of common stock, par value $0.001 per share, (Common Stock) of the Company that we are authorized to issue from two hundred million (200,000,000) shares to four hundred million (400,000,000) shares and to change our name to Standard BioTools Inc. (the Charter Amendment Proposal); (ii) a proposal to approve, in accordance with Nasdaq Listing Rule 5635,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 the conversion of the Series B Preferred Stock (the Private Placement Issuance Proposal); and (iii) a proposal to adjourn the Special Meeting if the Special Meeting were convened and a quorum were present, but there were not sufficient votes to approve the Charter Amendment Proposal and the Private Placement Issuance Proposal (the Adjournment Proposal, and, together with the Private Placement Issuance Proposal and the Charter Amendment Proposal, the Stockholder Proposals). Each of the Private Placement Issuance Proposal and Charter Amendment Proposal were conditioned on the approval of the other proposal, and neither proposal would take effect unless both were approved by our stockholders. Our stockholders approved the Charter Amendment Proposal and Private Placement Issuance Proposal on April 1, 2022. The Private Placement Issuance closed on April 4, 2022.</w:t>
      </w:r>
    </w:p>
    <w:p>
      <w:pPr>
        <w:spacing w:after="0" w:line="12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On April 1, 2022, the Company filed with the Secretary of State of the State of Delaware (i) the Charter Amendment, (ii) the Series B-1 Preferred Stock Certificate of Designations to establish the preferences, limitations and relative rights of the Series B-1 Preferred Stock and (iii) the Series B-2 Preferred Stock Certificate of Designations to establish the preferences,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60"/>
        <w:spacing w:after="0" w:line="282" w:lineRule="auto"/>
        <w:rPr>
          <w:sz w:val="20"/>
          <w:szCs w:val="20"/>
          <w:color w:val="auto"/>
        </w:rPr>
      </w:pPr>
      <w:r>
        <w:rPr>
          <w:rFonts w:ascii="Times New Roman" w:cs="Times New Roman" w:eastAsia="Times New Roman" w:hAnsi="Times New Roman"/>
          <w:sz w:val="18"/>
          <w:szCs w:val="18"/>
          <w:color w:val="auto"/>
        </w:rPr>
        <w:t>limitations and relative rights of the Series B-2 Preferred Stock. The Charter Amendment, Series B-1 Certificate of Designations and Series B-2 Certificate of Designations became effective upon filing.</w:t>
      </w:r>
    </w:p>
    <w:p>
      <w:pPr>
        <w:spacing w:after="0" w:line="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April 4, 2022, following stockholder approval of the Charter Amendment Proposal and the Private Placement Issuance Proposal, we received $225 million, before expenses, and issued 225,000 shares of Series B Preferred Stock, pursuant to the Purchase Agreements. The Bridge Loans converted into 30,559 shares of Series B Preferred Stock. With the approval of the proposals, our name was changed to Standard BioTools Inc. Shortly after the closing of the Private Placement Issuance we also changed our trading symbol for our common stock to LAB. Upon the closing of the Private Placement Issuance, Dr. Michael Egholm was appointed as the Company’s President and Chief Executive Officer and as a member of the Board of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16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expect to use the cash from the Private Placement Issuance to help realize identified growth and cost opportunities and allow for new growth drivers as we pursue and consolidate complementary technologies across the life science ecosystem.</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newly assembled management team is focused on streamlining our operations for efficiency and cost reduction, using our Standard BioTools Business Systems (SBS) approach. On August 8, 2022, we announced that a phased restructuring plan, including a reduction in force, was underway which is expected to significantly lower operating cash usage beginning in the second half of 2022. The purpose of the restructuring plan is to improve efficiency and operating costs and better align our workforce with the current needs of our business.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part of the restructuring, the following steps are being taken:</w:t>
      </w:r>
    </w:p>
    <w:p>
      <w:pPr>
        <w:spacing w:after="0" w:line="154" w:lineRule="exact"/>
        <w:rPr>
          <w:sz w:val="20"/>
          <w:szCs w:val="20"/>
          <w:color w:val="auto"/>
        </w:rPr>
      </w:pPr>
    </w:p>
    <w:p>
      <w:pPr>
        <w:ind w:right="100" w:firstLine="332"/>
        <w:spacing w:after="0" w:line="259"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Sizing General and Administrative Expenses. </w:t>
      </w:r>
      <w:r>
        <w:rPr>
          <w:rFonts w:ascii="Times New Roman" w:cs="Times New Roman" w:eastAsia="Times New Roman" w:hAnsi="Times New Roman"/>
          <w:sz w:val="18"/>
          <w:szCs w:val="18"/>
          <w:color w:val="auto"/>
        </w:rPr>
        <w:t>We plan to significantly lower general and administrative spend through a reduction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headcount and a decrease in office space to better align our spend with our streamlined operations. Specifically, we plan to reduce our real estate footprint, including our headquarters location in South San Francisco while fostering remote work for certain employees. Beyond these near-term initiatives, we will pursue continued process optimization through a focused SBS-based approach which may result in additional cost savings and will direct resources into areas with the highest impact to the business.</w:t>
      </w:r>
    </w:p>
    <w:p>
      <w:pPr>
        <w:spacing w:after="0" w:line="98" w:lineRule="exact"/>
        <w:rPr>
          <w:rFonts w:ascii="Times New Roman" w:cs="Times New Roman" w:eastAsia="Times New Roman" w:hAnsi="Times New Roman"/>
          <w:sz w:val="18"/>
          <w:szCs w:val="18"/>
          <w:color w:val="auto"/>
        </w:rPr>
      </w:pPr>
    </w:p>
    <w:p>
      <w:pPr>
        <w:ind w:right="60" w:firstLine="332"/>
        <w:spacing w:after="0" w:line="268"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Sizing Microfluidics Business. </w:t>
      </w:r>
      <w:r>
        <w:rPr>
          <w:rFonts w:ascii="Times New Roman" w:cs="Times New Roman" w:eastAsia="Times New Roman" w:hAnsi="Times New Roman"/>
          <w:sz w:val="18"/>
          <w:szCs w:val="18"/>
          <w:color w:val="auto"/>
        </w:rPr>
        <w:t>We will significantly reduce investment in research and development and marketing while narrowing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focus to high value niche markets for specialized applications for which the platform is ideally suited. In addition, we plan to pursue additional OEM opportunities, similar to our relationship with Olink® Bioscience, as a lower cost and more efficient go-to-market approach.</w:t>
      </w:r>
    </w:p>
    <w:p>
      <w:pPr>
        <w:spacing w:after="0" w:line="103" w:lineRule="exact"/>
        <w:rPr>
          <w:rFonts w:ascii="Times New Roman" w:cs="Times New Roman" w:eastAsia="Times New Roman" w:hAnsi="Times New Roman"/>
          <w:sz w:val="18"/>
          <w:szCs w:val="18"/>
          <w:color w:val="auto"/>
        </w:rPr>
      </w:pPr>
    </w:p>
    <w:p>
      <w:pPr>
        <w:ind w:right="580" w:firstLine="332"/>
        <w:spacing w:after="0" w:line="286"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Portfolio Rationalization. </w:t>
      </w:r>
      <w:r>
        <w:rPr>
          <w:rFonts w:ascii="Times New Roman" w:cs="Times New Roman" w:eastAsia="Times New Roman" w:hAnsi="Times New Roman"/>
          <w:sz w:val="18"/>
          <w:szCs w:val="18"/>
          <w:color w:val="auto"/>
        </w:rPr>
        <w:t>We are rationalizing our product portfolio by discontinuing our laser capture microdissection (LCM), and 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Conductor offerings, while deemphasizing our diagnostics/COVID-19 activities. Revenues from these product lines are not significant.</w:t>
      </w:r>
    </w:p>
    <w:p>
      <w:pPr>
        <w:spacing w:after="0" w:line="9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currently expect cash expenses related to the reduction in force, consisting primarily of severance and termination benefits and related costs, to be in the range of $3 million to $5 million. At this time, we are not able, in good faith, to make a determination of the estimated amount or range of amounts to be incurred for every major type of restructuring cost, including the leased office space reduction charges. Upon the determination of such amounts, we expect to provide an update as such information becomes available. We expect to recognize the restructuring costs over the next four quarters. These estimates are subject to a number of assumptions, and actual results may differ.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Estimates</w:t>
      </w:r>
    </w:p>
    <w:p>
      <w:pPr>
        <w:spacing w:after="0" w:line="14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included elsewhere in this Form 10-Q are prepared in accordance with accounting principles generally accepted in the United States. The preparation of these condensed financial statements in accordance with U.S. GAAP requires management to make estimates and assumptions that affect the amounts reported in the condensed consolidated financial statements and accompanying notes. We base our estimates on historical experience and on various other assumptions believed to be reasonable, which together form the basis for making judgments about the carrying values of assets and liabilities. We also assessed certain accounting matters that generally require consideration of forecasted financial information, including the unknown impact of the COVID-19 pandemic and the war in Ukraine. Accounting matters that rely on forecasted financial information included, but were not limited to, our inventory, and related reserves, and the carrying value of goodwill and other long-lived assets and liabilities. Actual results could differ materially from these estimates and could have a material adverse effect on our condensed consolidated financial statements.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reactions to the pandemic. We also use significant judgment in determining the fair value of financial instruments, including debt and equity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Changes and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Guidance</w:t>
      </w:r>
    </w:p>
    <w:p>
      <w:pPr>
        <w:spacing w:after="0" w:line="14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adopted ASU 2020-06 effective January 1, 2022. The adoption of ASU 2020-06 did not have an impact on our 2014 and 2019 Convertible Notes.</w:t>
      </w:r>
    </w:p>
    <w:p>
      <w:pPr>
        <w:spacing w:after="0" w:line="120" w:lineRule="exact"/>
        <w:rPr>
          <w:sz w:val="20"/>
          <w:szCs w:val="20"/>
          <w:color w:val="auto"/>
        </w:rPr>
      </w:pPr>
    </w:p>
    <w:p>
      <w:pPr>
        <w:ind w:right="740" w:firstLine="324"/>
        <w:spacing w:after="0" w:line="24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amendment is effective for annual periods beginning after December 15, 2021.</w:t>
      </w:r>
    </w:p>
    <w:p>
      <w:pPr>
        <w:spacing w:after="0" w:line="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The amendment establishes financial disclosure requirements for business entities that receive government assistance that they account for by analogizing to a grant or contribution model because there is no specific authoritative guidance under U.S. GAAP that applies to the transaction. Entities that receive this type of assistance should include the following information in their annual report: (1) the nature of the transaction, (2) the significant terms and conditions, (3) the accounting treatment, (4) the line items on the balance sheet and income statement that are affected along with (5) the respective amounts that have been recorded. We adopted ASU 2021-10 effective January 1, 2022. The adoption of ASU 2021-10 did not have a material impact on our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historical condensed consolidated statements of operations for the three and six months ended June 30, 2022 and 2021 (in thousands):</w:t>
      </w:r>
    </w:p>
    <w:p>
      <w:pPr>
        <w:sectPr>
          <w:pgSz w:w="11900" w:h="16838" w:orient="portrait"/>
          <w:cols w:equalWidth="0" w:num="1">
            <w:col w:w="11240"/>
          </w:cols>
          <w:pgMar w:left="320" w:top="1053" w:right="339" w:bottom="1440" w:gutter="0" w:footer="0" w:header="0"/>
        </w:sectPr>
      </w:pPr>
    </w:p>
    <w:p>
      <w:pPr>
        <w:spacing w:after="0" w:line="128" w:lineRule="exact"/>
        <w:rPr>
          <w:sz w:val="20"/>
          <w:szCs w:val="20"/>
          <w:color w:val="auto"/>
        </w:rPr>
      </w:pPr>
    </w:p>
    <w:p>
      <w:pPr>
        <w:jc w:val="center"/>
        <w:ind w:left="3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33655</wp:posOffset>
            </wp:positionV>
            <wp:extent cx="24428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5" w:lineRule="exact"/>
        <w:rPr>
          <w:sz w:val="20"/>
          <w:szCs w:val="20"/>
          <w:color w:val="auto"/>
        </w:rPr>
      </w:pPr>
    </w:p>
    <w:p>
      <w:pPr>
        <w:ind w:left="412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33655</wp:posOffset>
            </wp:positionV>
            <wp:extent cx="25114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7400" w:space="720"/>
            <w:col w:w="3120"/>
          </w:cols>
          <w:pgMar w:left="320" w:top="105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48,286</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111,347</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1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2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(66,066)</w:t>
            </w:r>
          </w:p>
        </w:tc>
        <w:tc>
          <w:tcPr>
            <w:tcW w:w="1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(36,588)</w:t>
            </w:r>
          </w:p>
        </w:tc>
        <w:tc>
          <w:tcPr>
            <w:tcW w:w="10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forward sale of Series B Preferred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10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1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bridge loans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(142,014)</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sales of our products and services and by entering into product development agreements, license and royalty agreements, and grants. Our product revenue consists of sales of instruments and consumables.</w:t>
      </w:r>
    </w:p>
    <w:p>
      <w:pPr>
        <w:sectPr>
          <w:pgSz w:w="11900" w:h="16838" w:orient="portrait"/>
          <w:cols w:equalWidth="0" w:num="1">
            <w:col w:w="11240"/>
          </w:cols>
          <w:pgMar w:left="320" w:top="10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31" w:name="page32"/>
    <w:bookmarkEnd w:id="31"/>
    <w:p>
      <w:pPr>
        <w:ind w:right="80"/>
        <w:spacing w:after="0" w:line="261" w:lineRule="auto"/>
        <w:rPr>
          <w:sz w:val="20"/>
          <w:szCs w:val="20"/>
          <w:color w:val="auto"/>
        </w:rPr>
      </w:pPr>
      <w:r>
        <w:rPr>
          <w:rFonts w:ascii="Times New Roman" w:cs="Times New Roman" w:eastAsia="Times New Roman" w:hAnsi="Times New Roman"/>
          <w:sz w:val="18"/>
          <w:szCs w:val="18"/>
          <w:color w:val="auto"/>
        </w:rPr>
        <w:t>Consumables revenue is largely driven by the size of our installed base of instruments and the annual level of pull-through per instrument. Service revenue is linked to the sales and active installed base of our instruments as our service revenue primarily consists of post-warranty service contracts, preventive maintenance plans, instrument parts, installation and training. We sell our products to leading academic and government laboratories, as well as pharmaceutical, biotechnology, clinical, plant and animal research organizations and clinical laboratories worldwide.</w:t>
      </w:r>
    </w:p>
    <w:p>
      <w:pPr>
        <w:spacing w:after="0" w:line="9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Development Revenue</w:t>
      </w:r>
      <w:r>
        <w:rPr>
          <w:rFonts w:ascii="Times New Roman" w:cs="Times New Roman" w:eastAsia="Times New Roman" w:hAnsi="Times New Roman"/>
          <w:sz w:val="18"/>
          <w:szCs w:val="18"/>
          <w:color w:val="auto"/>
        </w:rPr>
        <w:t>. In March 2020, we entered into an OEM Supply and Development Agreement with a customer to develop OEM products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microfluidics technology. The agreement provided for up-front and periodic milestone payments during its development stage, which was completed during the third quarter of 2021, and $0.4 million of annual on-going payments for sustaining efforts. We recognized $0.4 million and $0.9 million of development revenue during the three months ended June 30, 2022 and 2021, respectively. We recognized $0.4 million and $2.3 million of development revenue during the six months ended June 30, 2022 and 2021, respectively.</w:t>
      </w:r>
    </w:p>
    <w:p>
      <w:pPr>
        <w:spacing w:after="0" w:line="11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Grant Revenue</w:t>
      </w:r>
      <w:r>
        <w:rPr>
          <w:rFonts w:ascii="Times New Roman" w:cs="Times New Roman" w:eastAsia="Times New Roman" w:hAnsi="Times New Roman"/>
          <w:sz w:val="18"/>
          <w:szCs w:val="18"/>
          <w:color w:val="auto"/>
        </w:rPr>
        <w:t>. During the three and six months ended June 30, 2021 we recognized $0.8 million and $1.1 million of grant revenue for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performed under a contract we entered into in the second half of 2019. The contract was completed during the third quarter of 2021.</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Revenue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 revenue from license agreements when the contract has been signed, the license has been transferred to the customer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customer is able to use and benefit from the license. During the three months ended June 30, 2022 and 2021, we recognized $0.4 million and</w:t>
      </w:r>
    </w:p>
    <w:p>
      <w:pPr>
        <w:spacing w:after="0" w:line="234" w:lineRule="auto"/>
        <w:rPr>
          <w:sz w:val="20"/>
          <w:szCs w:val="20"/>
          <w:color w:val="auto"/>
        </w:rPr>
      </w:pPr>
      <w:r>
        <w:rPr>
          <w:rFonts w:ascii="Times New Roman" w:cs="Times New Roman" w:eastAsia="Times New Roman" w:hAnsi="Times New Roman"/>
          <w:sz w:val="18"/>
          <w:szCs w:val="18"/>
          <w:color w:val="auto"/>
        </w:rPr>
        <w:t>$0.1 million of license revenue, respectively. During the six months ended June 30, 2022 and 2021, we recognized $0.7 million and $0.1 million of license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respectively.</w:t>
      </w:r>
    </w:p>
    <w:p>
      <w:pPr>
        <w:spacing w:after="0" w:line="13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No single customer represented more than 10% of total revenues for any of the periods presented in this report. Revenue from our five largest customers represented 17%, and 24% of total revenue, for the three months ended June 30, 2022, and 2021, respectively. For the six months ended June 30, 2022 and 2021, revenue from our five largest customers represented 18%, and 24% of total revenues,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revenue by source for the three and six months ended June 30, 2022 and 2021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00" w:type="dxa"/>
            <w:vAlign w:val="bottom"/>
            <w:gridSpan w:val="8"/>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8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(74)%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Consumables</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8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22,039</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8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(81)%</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614%</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based upon the geographic location of our customers’ facilities for the three and six months ended June 30, 2022 and 2021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9"/>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20" w:type="dxa"/>
            <w:vAlign w:val="bottom"/>
            <w:gridSpan w:val="8"/>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40" w:type="dxa"/>
            <w:vAlign w:val="bottom"/>
            <w:gridSpan w:val="9"/>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Year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20" w:type="dxa"/>
            <w:vAlign w:val="bottom"/>
            <w:gridSpan w:val="8"/>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Year</w:t>
            </w: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22,363</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34,643</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Three months ended June 30, 2022</w:t>
      </w:r>
    </w:p>
    <w:p>
      <w:pPr>
        <w:spacing w:after="0" w:line="14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Total revenue decreased by $12.2 million, or 39%, for the three months ended June 30, 2022 compared to the three months ended June 30, 2021, driven primarily by a decline in product revenue. Instruments revenue fell by $7.5 million, or 74%, while consumables revenue declined by $2.9 million, or 23%, for the three months ended June 30, 2022 compared to the three months ended June 30, 2021. A stronger dollar negatively impacted the Company’s total revenues by approximately 4.0 percent.</w:t>
      </w:r>
    </w:p>
    <w:p>
      <w:pPr>
        <w:spacing w:after="0" w:line="11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Americas revenue decreased by $6.7 million, or 41%, for the three months ended June 30, 2022 compared to the three months ended June 30, 2021. The decline was primarily due to lower instruments revenue and a sharp decline in demand for COVID-19 testing products. EMEA revenue decreased by $3.6 million, primarily driven by a decline in instruments revenue and to a lesser extent, lower consumables revenue. A stronger dollar negatively impacted EMEA revenues by approximately 10.0 percent. In Asia-Pacific, revenue decreased by $2.0 million, or 35%, for three months ended June 30, 2022 compared to the three months ended June 30, 2021, primarily due to a decline in instruments revenue, and to a lesser extent, consumables revenue.</w:t>
      </w:r>
    </w:p>
    <w:p>
      <w:pPr>
        <w:spacing w:after="0" w:line="1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Six months ended June 30, 2022</w:t>
      </w:r>
    </w:p>
    <w:p>
      <w:pPr>
        <w:spacing w:after="0" w:line="14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Total revenue decreased by $18.5 million, or 29%, for the six months ended June 30, 2022 compared to the six months ended June 30, 2021, primarily driven by a $7.7 million decline in instruments revenue and $7.4 million decline in consumables revenue. A stronger dollar negatively impacted the Company’s total revenues by approximately 3.0 percent.</w:t>
      </w:r>
    </w:p>
    <w:p>
      <w:pPr>
        <w:spacing w:after="0" w:line="10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Americas revenue decreased by $12.3 million, or 35%, for the six months ended June 30, 2022 compared to the six months ended June 30, 2021. The decline was primarily attributable to a reduction in product revenue driven by the sharp decline in the demand for COVID-19 testing products, lower instruments revenue and a $1.9 million reduction in development revenue. EMEA revenue decreased by $4.1 million primarily driven by a decline in mass cytometry instruments and, to a lesser extent, lower consumables revenue. A stronger dollar negatively impacted EMEA revenues by approximately 6.0 percent. In Asia-Pacific, revenue decreased by $2.2 million, or 20%, for the six months ended June 30, 2022 compared to the six months ended June 30, 2021, primarily due to a decline in consumables revenue.</w:t>
      </w:r>
    </w:p>
    <w:p>
      <w:pPr>
        <w:spacing w:after="0" w:line="116"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Product and Service Revenue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tables present the split of product and service revenue between our mass cytometry and microfluidics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categories for the three and six months ended June 30, 2022 and 2021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Year-Over-</w:t>
            </w:r>
          </w:p>
        </w:tc>
        <w:tc>
          <w:tcPr>
            <w:tcW w:w="200" w:type="dxa"/>
            <w:vAlign w:val="bottom"/>
          </w:tcPr>
          <w:p>
            <w:pPr>
              <w:spacing w:after="0"/>
              <w:rPr>
                <w:sz w:val="13"/>
                <w:szCs w:val="13"/>
                <w:color w:val="auto"/>
              </w:rPr>
            </w:pPr>
          </w:p>
        </w:tc>
        <w:tc>
          <w:tcPr>
            <w:tcW w:w="24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68"/>
        </w:trPr>
        <w:tc>
          <w:tcPr>
            <w:tcW w:w="29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8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50"/>
        </w:trPr>
        <w:tc>
          <w:tcPr>
            <w:tcW w:w="2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Mass cytometry:</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(69)%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Consumables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21,488</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and service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Microfluidics: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Consumables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8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25,867</w:t>
            </w:r>
          </w:p>
        </w:tc>
        <w:tc>
          <w:tcPr>
            <w:tcW w:w="1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and service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Mass cytometry revenue decreased by $6.5 million, or 39%, during the three months ended June 30, 2022 compared to the three months ended June 30, 2021. The year-over-year decrease was primarily due to a decrease in legacy instruments revenue. The decline in microfluidics revenue of $4.7 million, or 37%, during the three months ended June 30, 2022 compared to the three months ended June 30, 2021 is attributable to reduced demand for microfluidic instruments and our COVID-19 testing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3" w:name="page34"/>
    <w:bookmarkEnd w:id="33"/>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Mass cytometry revenue decreased by $7.0 million, or 23%, during the six months ended June 30, 2022 compared to the six months ended June 30, 2021. The year-over-year decrease was primarily attributable to an overall decrease in legacy mass cytometry instruments revenue. The decline in microfluidics revenue of $9.1 million, or 31%, during the six months ended June 30, 2022 compared to the six months ended June 30, 2021 was attributable to reduced demand for microfluidic instruments and COVID-19 testing products.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Service Cost, Product and Service Gross Profit and Product and Service Margin</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and provisions for slow-moving and obsolete inventory. Our cost of product revenue and related product margin may fluctuate depending on the capacity utilization of our manufacturing facilities in response to market conditions and the demand for our products.</w:t>
      </w:r>
    </w:p>
    <w:p>
      <w:pPr>
        <w:spacing w:after="0" w:line="11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Cost of service revenue includes direct labor hours, overhead and instrument parts. Our cost of service revenue and related service margin may fluctuate depending on the variability of material and labor costs required to service instruments.</w:t>
      </w:r>
    </w:p>
    <w:p>
      <w:pPr>
        <w:spacing w:after="0" w:line="8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product and service cost, product and service gross profit, and product and service margin for the three and six months ended June 30, 2022 and 2021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300" w:type="dxa"/>
            <w:vAlign w:val="bottom"/>
          </w:tcPr>
          <w:p>
            <w:pPr>
              <w:spacing w:after="0"/>
              <w:rPr>
                <w:sz w:val="13"/>
                <w:szCs w:val="13"/>
                <w:color w:val="auto"/>
              </w:rPr>
            </w:pPr>
          </w:p>
        </w:tc>
        <w:tc>
          <w:tcPr>
            <w:tcW w:w="23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300" w:type="dxa"/>
            <w:vAlign w:val="bottom"/>
            <w:gridSpan w:val="2"/>
            <w:vMerge w:val="restart"/>
          </w:tcPr>
          <w:p>
            <w:pPr>
              <w:jc w:val="center"/>
              <w:ind w:right="520"/>
              <w:spacing w:after="0" w:line="135" w:lineRule="exact"/>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48"/>
        </w:trPr>
        <w:tc>
          <w:tcPr>
            <w:tcW w:w="3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12,738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25,077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24,393</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3%</w:t>
            </w: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1,867</w:t>
            </w:r>
          </w:p>
        </w:tc>
        <w:tc>
          <w:tcPr>
            <w:tcW w:w="8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3,957</w:t>
            </w:r>
          </w:p>
        </w:tc>
        <w:tc>
          <w:tcPr>
            <w:tcW w:w="8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and service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14,350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14,597</w:t>
            </w:r>
          </w:p>
        </w:tc>
        <w:tc>
          <w:tcPr>
            <w:tcW w:w="8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28,350</w:t>
            </w:r>
          </w:p>
        </w:tc>
        <w:tc>
          <w:tcPr>
            <w:tcW w:w="8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1"/>
              </w:rPr>
              <w:t>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and service gross profit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14,657</w:t>
            </w:r>
          </w:p>
        </w:tc>
        <w:tc>
          <w:tcPr>
            <w:tcW w:w="8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31,918</w:t>
            </w:r>
          </w:p>
        </w:tc>
        <w:tc>
          <w:tcPr>
            <w:tcW w:w="8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margin</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(29.7)   ppt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2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(17.8)   ppt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Product and service margin decreased by 29.7 percentage points for the three months ended June 30, 2022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Increased provisions for excess and obsolete inventory contributed 17.6 percentage points of the decrease in the product and service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reflected the impact of the portfolio rationalization discussed in “Recent Developments” above. Provisions for excess and obsolete inventory were</w:t>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$3.7 million, or 20.8%, of product and service revenue for the three months ended June 30, 2022 compared to $0.9 million, or 3.2%, of product and service revenue for the three months ended June 30, 2021. Fixed depreciation and amortization costs on a lower revenue base contributed 5.5 percentage points to the decline in the product and service margin, while other factors, including unfavorable product mix from lower COVID-19 consumables sales and the impact of lower plant utilization for mass cytometry products accounted for the majority of the remaining decline in the product and service gross margin for the three months ended June 30, 2022 compared to the three months ended June 30, 2021.</w:t>
      </w:r>
    </w:p>
    <w:p>
      <w:pPr>
        <w:spacing w:after="0" w:line="11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Product and service margin decreased by 17.8 percentage points for the six months ended June 30, 2022 compared to the six months ended June 30, 2021. Higher provisions for excess and obsolete inventory, reflected the impact of the portfolio rationalization discussed above and contributed 8.3 percentage points of the decrease in the product and service margin. Provisions for excess and obsolete inventory were $4.6 million, or 10.4%, of product and service revenue for the six months ended June 30, 2022 compared to $1.2 million, or 2.1%, of product and service revenue for the six months ended June 30, 2021. Fixed depreciation and amortization costs on a lower revenue base contributed 3.5 percentage points to the decline in the product and service margin, while other factors, including unfavorable product mix from lower COVID-19 consumables sales coupled with the impact of lower plant utilization for mass cytometry products accounted for the majority of the remaining decline in the product and service gross margin for the six months ended June 30, 2022 compared to the six months ended June 30, 2021.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and six months ended June 30, 2022 and 2021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4"/>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240" w:type="dxa"/>
            <w:vAlign w:val="bottom"/>
          </w:tcPr>
          <w:p>
            <w:pPr>
              <w:spacing w:after="0"/>
              <w:rPr>
                <w:sz w:val="13"/>
                <w:szCs w:val="13"/>
                <w:color w:val="auto"/>
              </w:rPr>
            </w:pPr>
          </w:p>
        </w:tc>
        <w:tc>
          <w:tcPr>
            <w:tcW w:w="218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09"/>
        </w:trPr>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88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51,856</w:t>
            </w:r>
          </w:p>
        </w:tc>
        <w:tc>
          <w:tcPr>
            <w:tcW w:w="90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18%</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8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72,050</w:t>
            </w:r>
          </w:p>
        </w:tc>
        <w:tc>
          <w:tcPr>
            <w:tcW w:w="9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development and commercialization of new and existing products and services. Research and development expense also includes costs incurred in conjunction with research grants and product development arrangements. We have made substantial investments in research and development since our inception and expect to continue to do so.</w:t>
      </w:r>
    </w:p>
    <w:p>
      <w:pPr>
        <w:spacing w:after="0" w:line="11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$3.2 million, or 34%, for the three months ended June 30, 2022 compared to the three months ended June 30, 2021. Research and development costs for the three months ended June 30, 2022 included $3.5 million of an impairment charge on certain developmental technology intangibles and $0.4 million for retention bonuses. These increases were partially offset by $1.0 million of lower laboratory supplies and consulting costs. The impairment charge reflected the decision to discontinue certain product lines supported by the InstruNor developed technology intangible, while lower laboratory supplies and consulting costs were due to products launched in the second half of 2021 as well as less project activity.</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 increased by $1.3 million, or 6%, for the six months ended June 30, 2022 compared to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primarily due to the $3.5 million impairment charge described above, and partially offset by a decrease of $2.3 million in laboratory supplies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consulting costs due to less project activity.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6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81"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 increased by $6.1 million, or 25%, for the three months ended June 30, 2022 compared to the three months ended June 30, 2021. The increase included $2.7 million in retention bonuses and higher severance costs. Stock-based compensation and salaries increased by $0.9 million and $0.3 million, respectively, for the three months ended June 30, 2022 compared to the three months ended June 30, 2021, reflecting the impact of new management hires. Legal and consulting fees increased by $1.0 million, reflecting costs associated with the name change and rebranding activities. Travel expenses increased by $0.8 million as COVID-19 related travel restrictions eased and sites visits by senior management increased.</w:t>
      </w:r>
    </w:p>
    <w:p>
      <w:pPr>
        <w:spacing w:after="0" w:line="10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by $9.4 million, or 18%, for the six months ended June 30, 2022, compared to the six months ended June 30, 2021. The increase included $4.2 million in severance and retention bonuses. Legal and consulting fees increased by $2.8 million, reflecting the costs of the Private Placement Issuance, as well as costs associated with the name change and rebranding activities. Stock-based compensation increased $1.1 million due to equity grants to the new management team and first quarter 2022 retention grants to existing employees, partially offset by the impact of forfeited equity awards by former employees. Travel expenses increased by $1.0 million as COVID travel restrictions eased and site visits by senior management increased.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 Non-Operating Items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these items for the three and six months ended June 30, 2022 and 2021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3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0" w:type="dxa"/>
            <w:vAlign w:val="bottom"/>
          </w:tcPr>
          <w:p>
            <w:pPr>
              <w:spacing w:after="0"/>
              <w:rPr>
                <w:sz w:val="1"/>
                <w:szCs w:val="1"/>
                <w:color w:val="auto"/>
              </w:rPr>
            </w:pPr>
          </w:p>
        </w:tc>
      </w:tr>
      <w:tr>
        <w:trPr>
          <w:trHeight w:val="228"/>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(1,783)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forward sale of Series B Preferred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bridge loans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98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98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Interest expense is primarily comprised of interest on our convertible debt and our Term Loan Facility. The increase in interest expense for the three months ended and six months ended June 30, 2022 compared to the same periods in the prior year is due primarily to our Term Loan Facility, which began on August 1, 2021.</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Purchase Agreements for the issuance of 225,000 shares of Series B Preferred Stock for $225 million at a future date were accounted for as forward sales contracts at fair value in accordance with ASC 480 Distinguishing Liabilities from Equities. The fair value of the payable portion of the Purchase Agreements for 225,000 shares of Series B Preferred Stock was determined to be $262.8 million as of March 31, 2022 and $285.1 million as of April 4, 2022. The $22.3 million increase in the fair value of the Series B Preferred Stock for the three months ended June 30, 2022 was included in the loss on forward sale of Series B Preferred Stock. The loss was primarily due to the increase in our common share price from $3.59 per share on March 31, 2022 to $3.99 per share on April 4, 2022. The $61.3 million loss on forward sales of Series B Preferred Stock for the six months ended June 30, 2022 reflected the increase in the price per share of our common stock from $2.84 at the inception of the contracts to $3.99 per share value as of April 4, 2022.</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Applying the guidance in ASC 825 Financial Instruments, we elected to record the Bridge Loans at their fair value. The change in fair value of the Bridge Loans from inception to conversion on April 4, 2022 was included as loss on bridge loans. The fair value of the Bridge Loans was largely driven by the value of our common stock and the value of the Series B Preferred Stock into which they were converted. The loss on the bridge loans of $3.1 million and $13.7 million for the three months ended and six months ended June 30, 2022, respectively, was largely driven by an increase in the value in the price of our common stock over those time periods.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6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108"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recorded a tax benefit of $1.6 million, or an effective tax rate of 2.5%, for the three months ended June 30, 2022. In the three months ended June 30, 2021, we recorded a tax benefit of $0.5 million, or an effective tax rate of 2.9%. Higher losses in certain of our foreign operations in the quarter ended June 30, 2022 compared to the quarter ended June 30, 2021 resulted in a higher tax benefit for our foreign operations for the three months ended June 30, 2022.</w:t>
      </w:r>
    </w:p>
    <w:p>
      <w:pPr>
        <w:spacing w:after="0" w:line="9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recorded a tax benefit of $2.2 million, resulting in an effective tax rate of 1.5%. For the six months ended June 30, 2021, we recorded a tax benefit of $2.2 million, resulting in an effective rate of 5.7%. While the tax benefit was approximately the same for the six months ended June 30, 2022 compared to the same period the previous year, the lower effective tax rate is due to higher pre-tax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2"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our principal sources of liquidity consisted of $74.4 million of cash and cash equivalents, $136.9 million of short-term investments and $1.0 million of restricted cash, as well as $8.1 million of availability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cash flow summary for the six months ended June 30, 2022 and 2021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summary: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(37,657)</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Purchase obligations consist of contractual and legally binding commitments to purchase goods and services. The majority of our contracts are cancellable with little or no notice or penalty. However, once a vendor has incurred costs to fulfill a contract with us, and which costs cannot be otherwise deployed, we are liable for those costs upon cancellation.</w:t>
      </w:r>
    </w:p>
    <w:p>
      <w:pPr>
        <w:spacing w:after="0" w:line="9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additional obligations as part of our ordinary course of business, beyond those committed for capital expenditures and other purchase obligations and commitments for purchases of goods and services. See Note 3 within our condensed consolidated financial statements included elsewhere in this Form 10-Q for information on our contingent obligations as a result of our issuance of Series B Preferred Stock. See Note 8 within our condensed consolidated financial statements for information about our short-term and long-term debt obligations. See Note 9 within our condensed consolidated financial statements for information about our lease obligations and see Note 15 within our condensed consolidated financial statements included elsewhere in this Form 10-Q for information about our various contractual and legally binding purchase commitments to purchase goods and services. Other than as disclosed above, there have been no material changes during the six months ended June 30, 2022 to our contractual obligations disclosed in our “Management’s Discussion and Analysis of Financial Condition and Results of Operations” included in our annual report on Form 10-K for the year ended December 31, 2021. 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purchasing requirements are not current obligations and are therefore not included in the amounts above. For example, some of these requirements are not managed through binding contracts or are fulfilled by vendors on a purchase order basis within short time horizons.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cash collected from the sale of our products and services, license agreements and grants.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9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$45.6 million and consisted of net loss of $139.8 million, less non-cash items of $99.0 million and cash used by assets and liabilities, net, of $4.8 million. Non-cash items included a loss on forward sale of Series B Preferred Stock of $60.1 million, a loss on Bridge Loans of $13.7 million, stock-based compensation expense of $8.7 million, amortization of developed technology of $5.9 million, depreciation and amortization of $1.9 million, provision for excess and obsolete inventory of $4.6 million and an impairment of an intangible of $3.5 million. The net increase in assets and liabilities was primarily attributable to an increase in inventories, net of $6.5 million, a decrease of other liabilities of $4.6 million, a decrease of accounts payable of $1.7 million, a decrease of deferred revenue of $1.6 million, and an increase in prepaid expenses and other assets of $1.3 million. These items were partially offset by a reduction of accounts receivable, net of $7.3 million, and a $3.6 million increase of accrued compensation and related benefits primarily due to an increase in severance and retention bonuses.</w:t>
      </w:r>
    </w:p>
    <w:p>
      <w:pPr>
        <w:spacing w:after="0" w:line="12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2021 was $27.6 million and consisted of net loss of $36.0 million, adjusted for non-cash items of $17.0 million and cash used by assets and liabilities, net, of $8.6 million. Non-cash items included stock-based compensation expense of $7.4 million, amortization of developed technology of $6.0 million, depreciation and amortization of $1.9 million, provisions for excess and obsolete inventory of $1.2 million, and a variety of smaller items. The cash used by assets and liabilities, net was primarily driven by an increase of inventories, net of $7.5 million a reduction of accrued compensation and related benefits of $5.4 million due primarily to bonus payments in the first quarter of 2021, a reduction of other liabilities of $3.9 million, an increase in prepaid expenses and other assets of $2.6 million and an increase in deferred revenue of $0.6 million. These uses of funds were partially offset by a decrease in accounts receivable, net, of $9.4 million, and an increase in accounts payable of $1.9 million, Also included in net cash from operating activities was $3.5 million of funding from the NIH Contract.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consist of purchases, sales, and maturities of our short-term investments and capital expenditures for manufacturing, laboratory, computer equipment and software to support our infrastructure and workforce. We expect to continue to incur costs for capital expenditures to improve manufacturing efficiencies and strengthen information technology and network security. However, we may choose to decrease or defer certain capital expenditures and development activities, while further optimizing our organization.</w:t>
      </w:r>
    </w:p>
    <w:p>
      <w:pPr>
        <w:spacing w:after="0" w:line="9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$139.1 million, which was primarily due to purchases of short-term investments of $137.3 million and capital expenditures of $1.8 million.</w:t>
      </w:r>
    </w:p>
    <w:p>
      <w:pPr>
        <w:spacing w:after="0" w:line="81" w:lineRule="exact"/>
        <w:rPr>
          <w:sz w:val="20"/>
          <w:szCs w:val="20"/>
          <w:color w:val="auto"/>
        </w:rPr>
      </w:pPr>
    </w:p>
    <w:p>
      <w:pPr>
        <w:jc w:val="both"/>
        <w:ind w:right="300" w:firstLine="324"/>
        <w:spacing w:after="0" w:line="242" w:lineRule="auto"/>
        <w:rPr>
          <w:sz w:val="20"/>
          <w:szCs w:val="20"/>
          <w:color w:val="auto"/>
        </w:rPr>
      </w:pPr>
      <w:r>
        <w:rPr>
          <w:rFonts w:ascii="Times New Roman" w:cs="Times New Roman" w:eastAsia="Times New Roman" w:hAnsi="Times New Roman"/>
          <w:sz w:val="18"/>
          <w:szCs w:val="18"/>
          <w:color w:val="auto"/>
        </w:rPr>
        <w:t>The $9.1 million of net cash used in investing activities during the six months ended June 30, 2021 was primarily related to the expansion our IFC manufacturing capacity in Singapore under the NIH Contract. During the first six months of 2021,cash expenditures for manufacturing and plant assets totaled $11.1 million, while cash receipts from the contract earmarked to fund capital expenditures totaled $2.0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totaled $231.0 million during the six months ended June 30, 2022. The principal sources of cash were proceeds from issuance of Series B Preferred Stock of $225.0 million, and proceeds from Bridge Loans of $25.0 million, which were subsequently converted into Series B Preferred Stock on April 4, 2022. These proceeds were also partially offset by a $12.5 million payment for equity issuance costs on the Series B Preferred Stock and a repayment of $6.8 million of advances under the Revolving Credit Facility.</w:t>
      </w:r>
    </w:p>
    <w:p>
      <w:pPr>
        <w:spacing w:after="0" w:line="11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totaled $1.2 million during the six months ended June 30, 2021. The amount included $0.5 million for the repurchase of our 2014 Notes and $1.6 million of withholding tax payments for net share settlements of equity awards, The payments were partially offset by $0.7 million of receipts from the sale of ESPP shares and $0.2 million of receipts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2022 and December 31, 2021, our working capital, excluding deferred revenues, current and deferred grant income, current, and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was $223.2 million and $38.0 million, respectively, including cash and cash equivalents of $74.4 million and $28.5 million, respectively. We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$136.9 million short-term investments as of June 30, 2022 and no short-term investments as of December 31, 2021. See Recent Developments - </w:t>
      </w:r>
      <w:r>
        <w:rPr>
          <w:rFonts w:ascii="Times New Roman" w:cs="Times New Roman" w:eastAsia="Times New Roman" w:hAnsi="Times New Roman"/>
          <w:sz w:val="18"/>
          <w:szCs w:val="18"/>
          <w:i w:val="1"/>
          <w:iCs w:val="1"/>
          <w:color w:val="auto"/>
        </w:rPr>
        <w:t>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Update </w:t>
      </w:r>
      <w:r>
        <w:rPr>
          <w:rFonts w:ascii="Times New Roman" w:cs="Times New Roman" w:eastAsia="Times New Roman" w:hAnsi="Times New Roman"/>
          <w:sz w:val="18"/>
          <w:szCs w:val="18"/>
          <w:color w:val="auto"/>
        </w:rPr>
        <w:t>for additional information regarding our restructuring plans.</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2019, we closed a private placement to qualified institutional buyers pursuant to Rule 144A under the Securities Act of $55.0 million aggregate principal amount of our 2019 Notes. The 2019 Notes bear interest at 5.25% per annum, payable semiannually on June 1 and December 1 of each year, beginning on June 1, 2020. The 2019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2019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2019 Notes are not complete and are qualified in their entirety by the applicable indentures, forms of global notes, and other agreements and documents filed with the SEC.</w:t>
      </w:r>
    </w:p>
    <w:p>
      <w:pPr>
        <w:spacing w:after="0" w:line="8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August 2, 2018, we entered into a Loan and Security Agreement with SVB (the Credit Agreement) for our Revolving Credit Facility, which provides for secured revolving loans in an aggregate amount of up to $15.0 million, In August 2021, we amended our Revolving Credit Facility to extend the maturity date to August 2, 2023 and to provide for a new $10.0 million Term Loan Facility (the Term Loan Facility and, together with the Revolving Credit Facility, the Credit Facility). The Credit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38" w:name="page39"/>
    <w:bookmarkEnd w:id="38"/>
    <w:p>
      <w:pPr>
        <w:ind w:right="100"/>
        <w:spacing w:after="0" w:line="266" w:lineRule="auto"/>
        <w:rPr>
          <w:sz w:val="20"/>
          <w:szCs w:val="20"/>
          <w:color w:val="auto"/>
        </w:rPr>
      </w:pPr>
      <w:r>
        <w:rPr>
          <w:rFonts w:ascii="Times New Roman" w:cs="Times New Roman" w:eastAsia="Times New Roman" w:hAnsi="Times New Roman"/>
          <w:sz w:val="18"/>
          <w:szCs w:val="18"/>
          <w:color w:val="auto"/>
        </w:rPr>
        <w:t>Facility is collateralized by substantially all our property, other than intellectual property. The maturity date of the Term Loan Facility is July 1, 2025, subject to the following condition: in the event the principal amount of our convertible debt exceeds $0.6 million as of June 1, 2024 or if the maturity date of our 2019 Notes has not been extended beyond January 1, 2026 by that date, then the maturity date of the Term Loan Facility will be June 1, 2024.</w:t>
      </w:r>
    </w:p>
    <w:p>
      <w:pPr>
        <w:spacing w:after="0" w:line="108"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As of June 30, 2022, the balance outstanding on the Term Loan Facility was $10.2 million. Interest on the term loan accrues on the outstanding principal amount thereof at the greater of (i) a floating per annum rate equal to three quarters of one percentage point (0.75%) above the prime rate (as customarily defined), or 4% with a final payment equal to 6.5% of the aggregate original principal amounts of each term loan advance due on the earlier of</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maturity date of the Term Loan Facility, the acceleration of the term loan advances or any prepayment of a term loan advance. Interest is payable monthly. The principal amount of the term loan advances is repayable beginning on August 1, 2023, in twenty-four equal monthly installments of principal plus monthly payments of accrued interest. The Amendment also added a financial covenant to the Credit Facility, requiring us to maintain a minimum Adjusted Quick Ratio (as defined) of at least 1.25 to 1.00.</w:t>
      </w:r>
    </w:p>
    <w:p>
      <w:pPr>
        <w:spacing w:after="0" w:line="9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total availability under the Revolving Credit Facility was $8.1 million. We currently have no outstanding debt under the Revolving Credit Facility, and we are in compliance with all the terms and conditions of the Revolving Credit Facility as of June 30, 2022. See Note 8 to our condensed consolidated financial statements for more information about the Revolving Credit Facility and Term Loan Facility.</w:t>
      </w:r>
    </w:p>
    <w:p>
      <w:pPr>
        <w:spacing w:after="0" w:line="10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On April 4, 2022, we completed the Private Placement Issuance, issuing 255,559 shares of Series B Preferred Stock. The rights, preferences and privileges of the Series B Preferred Stock are set forth in the Series B-1 Certificate of Designations and Series B-2 Certificate of Designations. The Series B Preferred Stock ranks senior to our common stock with respect to dividend rights, redemption rights and rights on the distribution of assets on any voluntary or involuntary liquidation, dissolution or winding up of the affairs of the Company. The holders of Series B Preferred Stock will be entitled to participate in all dividends declared on our common stock on an as-converted basis, on the terms and subject to the conditions set forth in the Series B Certificates of Designations.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conversion rights and other key provisions of the Series B Preferred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 Voluntary Conversion Rights</w:t>
      </w:r>
    </w:p>
    <w:p>
      <w:pPr>
        <w:spacing w:after="0" w:line="160"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Series B Preferred Stock is convertible at the option of the holders thereof at any time into a number of shares of Common Stock equal to the Conversion Rate (as defined in the Series B Certificates of Designations), which is initially 294.1176 shares of common stock per share of Series B Preferred Stock, in each case subject to certain adjustments and limitations on conversion.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Call Provision</w:t>
      </w:r>
    </w:p>
    <w:p>
      <w:pPr>
        <w:spacing w:after="0" w:line="14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At any time after the fifth anniversary of the closing of the Private Placement Issuance, if the last reported sale price of the Common Stock is greater than 250% of the Conversion Price (as defined in the Series B Certificates of Designations) as of such time for at least 20 consecutive trading days immediately preceding the date of the notice of mandatory conversion, we may elect to convert all of the outstanding shares of Series B Preferred Stock into shares of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Redemption Provision</w:t>
      </w:r>
    </w:p>
    <w:p>
      <w:pPr>
        <w:spacing w:after="0" w:line="16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After the seventh anniversary of the closing of the Private Placement Issuance, subject to certain conditions, we may, at our option, redeem all of the outstanding shares of Series B Preferred Stock at a redemption price per share of Series B Preferred Stock, payable in cash, equal to the Liquidation Preference.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Provisions</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undergo certain change of control transactions, each holder of outstanding shares of Series B Preferred Stock will have the option, subject to the holder’s right to convert all or a portion of the shares of Series B Preferred Stock held by such holder into Common Stock prior to such redemption, to require us to purchase all or a portion of such holder’s outstanding shares of Series B Preferred Stock that have not been converted into Common Stock at a purchase price per share of Series B Preferred Stock, payable in cash, equal to the greater of (A) the Liquidation Preference of such share of Series B Preferred Stock, and (B) the amount of cash and/or other assets that such holder would have been entitled to receive if such holder had converted such share of Series B Preferred Stock into Common Stock immediately prior to the change of control transaction (Change of Control Put).</w:t>
      </w:r>
    </w:p>
    <w:p>
      <w:pPr>
        <w:spacing w:after="0" w:line="12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in which we are anticipated to merge with another person and will not be the surviving corporation or if the Common Stock will no longer be listed on a U.S. national securities exchange, we will have a right to redeem, subject to the holder’s right to convert into Common Stock prior to such redemption, all of such holder’s shares of</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sectPr>
      </w:pPr>
    </w:p>
    <w:bookmarkStart w:id="39" w:name="page40"/>
    <w:bookmarkEnd w:id="39"/>
    <w:p>
      <w:pPr>
        <w:ind w:right="40"/>
        <w:spacing w:after="0" w:line="261" w:lineRule="auto"/>
        <w:rPr>
          <w:sz w:val="20"/>
          <w:szCs w:val="20"/>
          <w:color w:val="auto"/>
        </w:rPr>
      </w:pPr>
      <w:r>
        <w:rPr>
          <w:rFonts w:ascii="Times New Roman" w:cs="Times New Roman" w:eastAsia="Times New Roman" w:hAnsi="Times New Roman"/>
          <w:sz w:val="18"/>
          <w:szCs w:val="18"/>
          <w:color w:val="auto"/>
        </w:rPr>
        <w:t>Series B Preferred Stock, or if a holder exercises the Change of Control Put in part, the remainder of such holder’s shares of Series B Preferred Stock, at a redemption price per share payable in cash, equal to the greater of (A) the Liquidation Preference of such share of Series B Preferred Stock, and (B) the amount of cash and/or other assets that the holder would have received if such holder had converted such share of Series B Preferred Stock into Common Stock immediately prior to the change of control transaction.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6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the Company, the Series B Preferred Stock has a liquidation preference equal to the greater of (i) the Liquidation Preference (as defined in the Certificate of Designations, currently $3.40) and (ii) the amount per share of Series B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 Certificates of Designations (without regard to any limitations on conversion contained therein).</w:t>
      </w:r>
    </w:p>
    <w:p>
      <w:pPr>
        <w:spacing w:after="0" w:line="11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believe our existing cash, cash equivalents, and short-term investments, along with funding available under the Revolving Credit Facility, will be sufficient to meet our working capital and capital expenditure needs for at least the next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six months ended June 30, 2022, we had a foreign currency loss of $0.5 million compared to a foreign currency loss of $0.1 million in the prior year for the same period.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$74.4 million as of June 30, 2022. These amounts were held primarily in cash on deposit with banks and money market funds which are short-term. We held $136.9 million short-term investments in treasury securities as of June 30, 2022. Cash, cash equivalents and short-term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six months ended June 30, 2022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2020, a putative class action complaint alleging violations of the federal securities laws was filed against the Company (also naming our now-former Chief Executive Officer and our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 defendants’ motion and dismissed the second amended complaint with prejudice. The plaintiff has appealed the decision, and the appeal remains pending before the U.S. Court of Appeals for the Ninth Circuit. We believe the claims alleged in the complaint lack merit and we intend to defend this action vigorously.</w:t>
      </w:r>
    </w:p>
    <w:p>
      <w:pPr>
        <w:spacing w:after="0" w:line="1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quarterly report on Form 10-Q.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Strategy</w:t>
      </w:r>
    </w:p>
    <w:p>
      <w:pPr>
        <w:spacing w:after="0" w:line="14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significantly affected our business operations.</w:t>
      </w:r>
    </w:p>
    <w:p>
      <w:pPr>
        <w:spacing w:after="0" w:line="49" w:lineRule="exact"/>
        <w:rPr>
          <w:rFonts w:ascii="Times New Roman" w:cs="Times New Roman" w:eastAsia="Times New Roman" w:hAnsi="Times New Roman"/>
          <w:sz w:val="18"/>
          <w:szCs w:val="18"/>
          <w:color w:val="auto"/>
        </w:rPr>
      </w:pPr>
    </w:p>
    <w:p>
      <w:pPr>
        <w:ind w:left="660" w:right="16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and revenue growth rates have varied significantly from quarter-to-quarter and year-to-year, and may not be consistent with expectations.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inception, and we may continue to incur substantial losses for the foreseeable future.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life science markets are highly competitive and subject to rapid technological change.</w:t>
      </w:r>
    </w:p>
    <w:p>
      <w:pPr>
        <w:spacing w:after="0" w:line="49" w:lineRule="exact"/>
        <w:rPr>
          <w:rFonts w:ascii="Times New Roman" w:cs="Times New Roman" w:eastAsia="Times New Roman" w:hAnsi="Times New Roman"/>
          <w:sz w:val="18"/>
          <w:szCs w:val="18"/>
          <w:color w:val="auto"/>
        </w:rPr>
      </w:pPr>
    </w:p>
    <w:p>
      <w:pPr>
        <w:ind w:left="660" w:right="20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research and product development efforts do not result in commercially viable products within anticipated timelines, if at all, our business and results of operations will be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expand our customer base and introduce new applications.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fail to achieve and sustain sufficient market acceptance, our revenue will be adversely affected.</w:t>
      </w:r>
    </w:p>
    <w:p>
      <w:pPr>
        <w:spacing w:after="0" w:line="49" w:lineRule="exact"/>
        <w:rPr>
          <w:rFonts w:ascii="Times New Roman" w:cs="Times New Roman" w:eastAsia="Times New Roman" w:hAnsi="Times New Roman"/>
          <w:sz w:val="18"/>
          <w:szCs w:val="18"/>
          <w:color w:val="auto"/>
        </w:rPr>
      </w:pPr>
    </w:p>
    <w:p>
      <w:pPr>
        <w:ind w:left="660" w:right="52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achieve the expected financial and operational benefits of our recently announced restructuring plan and reduction in force, our business and financial results may be harmed.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company-wide enterprise resource planning (ERP) system could adversely affect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strategy involves the potential for significant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 and Reliance on Third Parties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development or manufacturing problems or delays.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research and development spending levels of our customers.</w:t>
      </w:r>
    </w:p>
    <w:p>
      <w:pPr>
        <w:spacing w:after="0" w:line="36"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manufacturing facilities or other operations, or in the operations of our customers or business partners, could result in cancellation of orders, delays in deliveries or other business activities, or loss of customers.</w:t>
      </w:r>
    </w:p>
    <w:p>
      <w:pPr>
        <w:sectPr>
          <w:pgSz w:w="11900" w:h="16838" w:orient="portrait"/>
          <w:cols w:equalWidth="0" w:num="1">
            <w:col w:w="11220"/>
          </w:cols>
          <w:pgMar w:left="320" w:top="1049"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type w:val="continuous"/>
        </w:sectPr>
      </w:pPr>
    </w:p>
    <w:bookmarkStart w:id="42" w:name="page43"/>
    <w:bookmarkEnd w:id="42"/>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and sole source suppliers for some of the components and materials used in our products.</w:t>
      </w:r>
    </w:p>
    <w:p>
      <w:pPr>
        <w:spacing w:after="0" w:line="4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or delay in the shipping or off-loading of our products may have an adverse effect on our financial condition and results of operations.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depend upon the continuing efforts of our management team and other skilled and experienced personnel.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capabilities and direct sales, field support, and marketing forces must be sufficient to meet our customers’ needs.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our analytical systems, customers typically need to purchase specialized reagents.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cyberattacks, and other IT failures could adversely affect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Quality and the Regulatory Environment</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could have defects or errors.</w:t>
      </w:r>
    </w:p>
    <w:p>
      <w:pPr>
        <w:spacing w:after="0" w:line="4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elect to label and promote any of our products as medical devices, we would be required to obtain prior approval or clearance by the FDA or comparable foreign regulatory authority.</w:t>
      </w: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or the failure to comply with current and future regulations affecting our products and business operations worldwide could cause us significant expense and adversely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Operating a Global Business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substantial portion of our revenue internationally.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may significantly harm our revenue, profitability, and results of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fluctuations in the exchange rate of the U.S. dollar and foreign currencies.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Tax, and Accounting Risks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effective internal control over financial reporting could adversely affect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value of our goodwill or other intangible assets.</w:t>
      </w:r>
    </w:p>
    <w:p>
      <w:pPr>
        <w:spacing w:after="0" w:line="49" w:lineRule="exact"/>
        <w:rPr>
          <w:rFonts w:ascii="Times New Roman" w:cs="Times New Roman" w:eastAsia="Times New Roman" w:hAnsi="Times New Roman"/>
          <w:sz w:val="18"/>
          <w:szCs w:val="18"/>
          <w:color w:val="auto"/>
        </w:rPr>
      </w:pPr>
    </w:p>
    <w:p>
      <w:pPr>
        <w:ind w:left="660" w:right="80" w:hanging="328"/>
        <w:spacing w:after="0" w:line="27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covenants and other obligations under our debt facilities, the lenders may be able to accelerate amounts owed under the facilities and, in the case of our Credit Facility (as defined herein), may foreclose upon the assets securing our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taxation in multiple jurisdictions.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outstanding indebtedness.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technology is uncertain.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and proprietary rights.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resulting from claims that we or our employees have wrongfully used or disclosed alleged trade secrets.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certain technologies that are licensed to us.</w:t>
      </w:r>
    </w:p>
    <w:p>
      <w:pPr>
        <w:spacing w:after="0" w:line="36" w:lineRule="exact"/>
        <w:rPr>
          <w:rFonts w:ascii="Times New Roman" w:cs="Times New Roman" w:eastAsia="Times New Roman" w:hAnsi="Times New Roman"/>
          <w:sz w:val="18"/>
          <w:szCs w:val="18"/>
          <w:color w:val="auto"/>
        </w:rPr>
      </w:pPr>
    </w:p>
    <w:p>
      <w:pPr>
        <w:ind w:left="660" w:right="360" w:hanging="328"/>
        <w:spacing w:after="0" w:line="27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manufacturing restrictions related to licensed technologies that were developed with the financial assistance of U.S. governmental grants.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obligations and restrictions relating to technologies developed in cooperation with Canadian government agencies.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stock price to fall.</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unfavorable research about us or cease to cover our business, our stock price and/or trading volume could decline.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conversions of our 2014 Notes or 2019 Notes will dilute the ownership interest of our existing stockholders.</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162" w:lineRule="exact"/>
        <w:rPr>
          <w:sz w:val="20"/>
          <w:szCs w:val="20"/>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Series B Preferred Stock own a significant portion of our total outstanding voting securities and may prevent other stockholders from influencing material corporate decisions.</w:t>
      </w:r>
    </w:p>
    <w:p>
      <w:pPr>
        <w:ind w:left="660" w:right="34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Common Stock could decline if the holders of our Series B Preferred Stock sell their shares when transfer restrictions expire.</w:t>
      </w:r>
    </w:p>
    <w:p>
      <w:pPr>
        <w:spacing w:after="0" w:line="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B-1 Preferred Stock and Series B-2 Preferred Stock may exercise influence over us, including through their ability to each designate a member of our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STRATEGY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has significantly affected our business operations and could continue to adversely impact our financial position and cash flows to an extent that is unknown and difficult to predict.</w:t>
      </w:r>
    </w:p>
    <w:p>
      <w:pPr>
        <w:spacing w:after="0" w:line="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pandemic and international public health emergency caused by SARS-CoV-2, the novel strain of coronavirus that causes the disease commonly known as COVID-19, has adversely affected all the countries in which we and our customers, suppliers, and other business partners operate, disrupting supply chains, causing significant volatility in global financial markets, and raising the prospect of an extended global recession. Public health problems resulting from COVID-19 and precautionary measures instituted by governments and businesses to mitigate its spread and resurgence,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have resulted in inefficiencies and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12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COVID-19 pandemic and related governmental and societal reactions have had, and may continue to have, a negative impact on our business, liquidity, results of operations, and stock price due to the occurrence of some or all of the following events or circumstances among others:</w:t>
      </w:r>
    </w:p>
    <w:p>
      <w:pPr>
        <w:spacing w:after="0" w:line="81" w:lineRule="exact"/>
        <w:rPr>
          <w:sz w:val="20"/>
          <w:szCs w:val="20"/>
          <w:color w:val="auto"/>
        </w:rPr>
      </w:pPr>
    </w:p>
    <w:p>
      <w:pPr>
        <w:ind w:left="660" w:right="6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some of our products and services due to the impact of COVID-19 on our customers, including in the global academic research community;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ongoing travel restrictions on our sales operations, marketing efforts, and customer field support;</w:t>
      </w:r>
    </w:p>
    <w:p>
      <w:pPr>
        <w:spacing w:after="0" w:line="10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business productivity due to inefficiencies in employees working from home or increasing physical distancing and other pandemic response protocols in our production facilities;</w:t>
      </w:r>
    </w:p>
    <w:p>
      <w:pPr>
        <w:spacing w:after="0" w:line="26"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voluntary turnover, together with impaired ability to hire and effectively train new personnel due to labor shortages and travel restrictions;</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if one of our facilities were to experience a COVID-19 outbreak;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the operations of our contract manufacturers, suppliers, and other business partners;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supply of components and materials used in our products;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in our stock price due to financial market instability.</w:t>
      </w:r>
    </w:p>
    <w:p>
      <w:pPr>
        <w:spacing w:after="0" w:line="14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2021, factors such as supply chain constraints, China trade restrictions, and the ongoing slowdown in the Asia-Pacific region caused our overall revenues to decline more than expected. The extent to which the COVID-19 pandemic will continue to impact our business and financial results will depend on future developments, which are highly uncertain and cannot be predicted with confidence, such as the continued spread and resurgences of the coronavirus; the emergence of new strains of the disease, such as the Delta and Omicron variants; the availability, efficacy, and acceptance of COVID-19 vaccines and boosters; the scope and duration of the public health emergency; and COVID-19 mitigation measures such as travel bans and restrictions, social distancing, quarantines, and business shutdowns and closures. Additionally, in response to a surge in COVID-19 infections in the first half of 2022, the Chinese government imposed lockdowns in certain parts of the country that have negatively impacted and continue to negatively impact manufacturing and/or supply chains, as well as demand for our products.</w:t>
      </w:r>
    </w:p>
    <w:p>
      <w:pPr>
        <w:spacing w:after="0" w:line="12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Because the severity, magnitude, and duration of the COVID-19 pandemic and its economic consequences are uncertain, we are unable to predict the impact of COVID-19 on our operations, our financial performance, and our ability to successfully execute our business strategies and initiatives. The ultimate impact of the COVID-19 pandemic on our operations and financial</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44" w:name="page45"/>
    <w:bookmarkEnd w:id="44"/>
    <w:p>
      <w:pPr>
        <w:ind w:right="60"/>
        <w:spacing w:after="0" w:line="255" w:lineRule="auto"/>
        <w:rPr>
          <w:sz w:val="20"/>
          <w:szCs w:val="20"/>
          <w:color w:val="auto"/>
        </w:rPr>
      </w:pPr>
      <w:r>
        <w:rPr>
          <w:rFonts w:ascii="Times New Roman" w:cs="Times New Roman" w:eastAsia="Times New Roman" w:hAnsi="Times New Roman"/>
          <w:sz w:val="18"/>
          <w:szCs w:val="18"/>
          <w:color w:val="auto"/>
        </w:rPr>
        <w:t>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risk of waning immunity among persons already vaccinated and an increase in fatigue or skepticism with respect to initial or booster vaccinations;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labor and materials shortages; supply chain difficulties, including disruption of logistics, shipping, and other distribution operations; and the pace of recovery when the threat of COVID-19 subsides.</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the COVID-19 pandemic continues to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10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Although our revenue increased year-over-year in 2020 compared to 2019 and in 2019 compared to 2018, we experienced a year-over-year decline in revenue in 2021 compared to 2020, and we may be similarly unable to achieve revenue growth in future periods.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w:t>
      </w:r>
    </w:p>
    <w:p>
      <w:pPr>
        <w:spacing w:after="0" w:line="12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 cycles, capital spending, and the availability of VAT and import tax exemptions;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variations in customer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tendencies among some customers to defer purchase decisions to the end of the quarter;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unit value of our systems, particularly our proteomics systems;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market, sell, and deliver products to our customers in a timely and cost-effective manner;</w:t>
      </w:r>
    </w:p>
    <w:p>
      <w:pPr>
        <w:spacing w:after="0" w:line="7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adequate quantities of the materials or components used in our products, which in certain cases are purchased through sole and single source suppliers;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shortages, lack of skilled labor, increased turnover, and competitive job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reductions in revenue from sales of legacy instruments that may have contributed significant revenue in prior periods;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and our competitors;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complex, variable and, at times, lengthy sales cycle;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and government protectionism;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5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inflationary pressure, including as a result of supply shortages, has adversely impacted and could continue to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9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losses since inception, and we may continue to incur substantial losses for the foreseeable future.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losses in each fiscal year since our inception, including net losses of $59.2 million, $53.0 million, and $64.8 million during the years 2021, 2020, and 2019, respectively. As of June 30, 2022, we had an accumulated deficit of $875.8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w:t>
      </w:r>
    </w:p>
    <w:p>
      <w:pPr>
        <w:spacing w:after="0" w:line="12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inflationary pressure, including as a result of supply shortages, could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9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life science markets are highly competitive and subject to rapid technological change, and we may not be able to successfully compete.</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320"/>
        <w:spacing w:after="0" w:line="282" w:lineRule="auto"/>
        <w:rPr>
          <w:sz w:val="20"/>
          <w:szCs w:val="20"/>
          <w:color w:val="auto"/>
        </w:rPr>
      </w:pPr>
      <w:r>
        <w:rPr>
          <w:rFonts w:ascii="Times New Roman" w:cs="Times New Roman" w:eastAsia="Times New Roman" w:hAnsi="Times New Roman"/>
          <w:sz w:val="18"/>
          <w:szCs w:val="18"/>
          <w:color w:val="auto"/>
        </w:rPr>
        <w:t>product lines and product packages, larger sales forces, larger existing installed bases, larger intellectual property portfolios, and greater experience and scale in research and development, manufacturing, and marketing than we do.</w:t>
      </w:r>
    </w:p>
    <w:p>
      <w:pPr>
        <w:spacing w:after="0" w:line="81"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consider Agilent Technologies, Inc., Thermo Fisher Scientific Inc. (Thermo), Bio-Rad Laboratories, Inc., and Agena Bioscience, Inc. to be our principal competitors in the microfluidics space. We believe that Cytek Biosciences, Inc. and Becton, Dickinson and Company are currently our principal competitors for our mass cytometry market share, and that IonPath Inc., Akoya Biosciences, Inc., NanoString Technologies, Inc., and 10x Genomics, Inc.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2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success is dependent upon our ability to expand our customer base and introduce new applications.</w:t>
      </w:r>
    </w:p>
    <w:p>
      <w:pPr>
        <w:spacing w:after="0" w:line="14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products fail to achieve and sustain sufficient market acceptance, our revenue will be adversely affected.</w:t>
      </w:r>
    </w:p>
    <w:p>
      <w:pPr>
        <w:spacing w:after="0" w:line="16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78"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achieve the expected financial and operational benefits of our recently announced restructuring plan and reduction in force, our business and financial results may be harmed.</w:t>
      </w:r>
    </w:p>
    <w:p>
      <w:pPr>
        <w:spacing w:after="0" w:line="91" w:lineRule="exact"/>
        <w:rPr>
          <w:sz w:val="20"/>
          <w:szCs w:val="20"/>
          <w:color w:val="auto"/>
        </w:rPr>
      </w:pPr>
    </w:p>
    <w:p>
      <w:pPr>
        <w:ind w:right="40" w:firstLine="324"/>
        <w:spacing w:after="0" w:line="290" w:lineRule="auto"/>
        <w:rPr>
          <w:sz w:val="20"/>
          <w:szCs w:val="20"/>
          <w:color w:val="auto"/>
        </w:rPr>
      </w:pPr>
      <w:r>
        <w:rPr>
          <w:rFonts w:ascii="Times New Roman" w:cs="Times New Roman" w:eastAsia="Times New Roman" w:hAnsi="Times New Roman"/>
          <w:sz w:val="17"/>
          <w:szCs w:val="17"/>
          <w:color w:val="auto"/>
        </w:rPr>
        <w:t>From time to time, we have implemented efficiency and cost-savings initiatives intended to stabilize our business operations. In August 2022, we announced a restructuring plan including a reduction in force. In addition to the reduction in force, we will also seek to reduce leased office space and other</w:t>
      </w:r>
    </w:p>
    <w:p>
      <w:pPr>
        <w:ind w:right="60"/>
        <w:spacing w:after="0" w:line="256" w:lineRule="auto"/>
        <w:rPr>
          <w:sz w:val="20"/>
          <w:szCs w:val="20"/>
          <w:color w:val="auto"/>
        </w:rPr>
      </w:pPr>
      <w:r>
        <w:rPr>
          <w:rFonts w:ascii="Times New Roman" w:cs="Times New Roman" w:eastAsia="Times New Roman" w:hAnsi="Times New Roman"/>
          <w:sz w:val="18"/>
          <w:szCs w:val="18"/>
          <w:color w:val="auto"/>
        </w:rPr>
        <w:t>operating expenses. The purpose of the restructuring plan is to improve operational efficiency and operating costs and better align our workforce with the current needs of our business. There is no guarantee that the restructuring plan will achieve its intended benefits and cost savings or that our post-restructuring focus will be sufficient for us to achieve success. For example, our cost restructuring efforts may not result in the anticipated savings or other economic benefits, or could result in total costs and expenses that are greater than expected, which would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and prospects.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Risks associated with implementing a company-wide enterprise resource planning (ERP) system could adversely affect our business and results of operations or the effectiveness of internal control over financial reporting.</w:t>
      </w:r>
    </w:p>
    <w:p>
      <w:pPr>
        <w:spacing w:after="0" w:line="91"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We are preparing to implement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our business, results of operations, and internal controls over financial reporting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9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7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and managing the operations, technologies, and products of the companies we acquire;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normal daily operation of our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key business relationships and the reputations of the businesses we acquire;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 of the acquired company;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entry into markets in which we have limited or no prior experience and in which competitors have stronger market positions;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unfamiliar affiliates and customers of the companies we acquire;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revenue to offset our increased expenses associated with acquisitions;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 for the liabilities of the businesses we acquire, including those which we may not anticipate;</w:t>
      </w:r>
    </w:p>
    <w:p>
      <w:pPr>
        <w:spacing w:after="0" w:line="9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not realize the value of acquired assets recorded as goodwill or intangible assets, and would be required to incur material charges relating to the impairment of those assets;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internal standards, controls, procedures, and policies.</w:t>
      </w:r>
    </w:p>
    <w:p>
      <w:pPr>
        <w:spacing w:after="0" w:line="15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OPERATIONS AND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development or manufacturing problems or delays that could limit the potential growth of our revenue or increase our losses.</w:t>
      </w:r>
    </w:p>
    <w:p>
      <w:pPr>
        <w:spacing w:after="0" w:line="148" w:lineRule="exact"/>
        <w:rPr>
          <w:sz w:val="20"/>
          <w:szCs w:val="20"/>
          <w:color w:val="auto"/>
        </w:rPr>
      </w:pPr>
    </w:p>
    <w:p>
      <w:pPr>
        <w:jc w:val="both"/>
        <w:ind w:right="80" w:firstLine="324"/>
        <w:spacing w:after="0" w:line="272" w:lineRule="auto"/>
        <w:rPr>
          <w:sz w:val="20"/>
          <w:szCs w:val="20"/>
          <w:color w:val="auto"/>
        </w:rPr>
      </w:pPr>
      <w:r>
        <w:rPr>
          <w:rFonts w:ascii="Times New Roman" w:cs="Times New Roman" w:eastAsia="Times New Roman" w:hAnsi="Times New Roman"/>
          <w:sz w:val="17"/>
          <w:szCs w:val="17"/>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2"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9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95"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49" w:name="page50"/>
    <w:bookmarkEnd w:id="49"/>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9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because of the COVID-19 pandemic have resulted in lower than expected sales of our mass cytometry instruments. Additionally, the imposition of tariffs and delays in issuing VAT and import tax exemptions have adversely affected the sales of our products in China. Similar reductions and delays in customer spending have resulted and may continue to result from other factors that are not within our control, such as:</w:t>
      </w:r>
    </w:p>
    <w:p>
      <w:pPr>
        <w:spacing w:after="0" w:line="11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public health crises;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protectionism, the escalation of tariffs and other trade barriers;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tax permits and incentives, including VAT and import tax exemptions;</w:t>
      </w:r>
    </w:p>
    <w:p>
      <w:pPr>
        <w:spacing w:after="0" w:line="76"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plant and animal research companies engaged in research and commercial activities;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research priorities;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shortages among our customers;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plant and animal research industries;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5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ectPr>
          <w:pgSz w:w="11900" w:h="16838" w:orient="portrait"/>
          <w:cols w:equalWidth="0" w:num="1">
            <w:col w:w="11220"/>
          </w:cols>
          <w:pgMar w:left="320" w:top="1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type w:val="continuous"/>
        </w:sectPr>
      </w:pPr>
    </w:p>
    <w:bookmarkStart w:id="50" w:name="page51"/>
    <w:bookmarkEnd w:id="50"/>
    <w:p>
      <w:pPr>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10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(including the ongoing COVID-19 pandemic),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0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9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rely on a limited number of third-party suppliers for certain components and materials used in our products, including single and sole source suppliers. Additionally, several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12" w:lineRule="exact"/>
        <w:rPr>
          <w:sz w:val="20"/>
          <w:szCs w:val="20"/>
          <w:color w:val="auto"/>
        </w:rPr>
      </w:pPr>
    </w:p>
    <w:p>
      <w:pPr>
        <w:ind w:left="660" w:right="3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2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 multiplier detector included in the Hyperion/Hyperion+/CyTOF/CyTOF XT systems and certain metal isotopes used with the Hyperion/Hyperion+/CyTOF/CyTOF XT systems are purchased from sole source suppliers.</w:t>
      </w:r>
    </w:p>
    <w:p>
      <w:pPr>
        <w:spacing w:after="0" w:line="1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raw materials for our Delta Gene and SNP Type assays and Access Array target-specific primers are available from a limited number of sources.</w:t>
      </w:r>
    </w:p>
    <w:p>
      <w:pPr>
        <w:spacing w:after="0" w:line="9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reliance on single and sole source suppliers and assembly service providers also subjects us to other risks that could harm our business, including the following:</w:t>
      </w:r>
    </w:p>
    <w:p>
      <w:pPr>
        <w:spacing w:after="0" w:line="9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increased component or assembly costs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adequate supply or services in a timely manner or on commercially reasonable terms.</w:t>
      </w:r>
    </w:p>
    <w:p>
      <w:pPr>
        <w:spacing w:after="0" w:line="15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as a result of global economic or political instability or health pandemics, such as the ongoing escalation of the situation in Ukraine or the COVID-19 pandemic, our suppliers experience shortages or delays for materials sourced or manufactured in the affected countries, their ability to supply us with instruments or product components may be affected. If any of these events occur, our business and operating results could be harmed. In connection with the global supply chain disruptions following the onset of the COVID-19 pandemic, we have experienced and are continuing to experience problems with some of our suppliers. In the third quarter of 2021, shortages of certain components caused a backlog and we were unable to fulfill all of the demand for our products during the quarter.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 In response to surges in COVID-19 infections, the Chinese government imposed lockdowns in certain parts of the country, which may negatively impact manufacturing and/or supply chains.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We may not be able to convert our orders in backlog into revenue.</w:t>
      </w:r>
    </w:p>
    <w:p>
      <w:pPr>
        <w:spacing w:after="0" w:line="148"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Many events can cause an order to be delayed or not completed at all, some of which may be out of our control, including the potential impacts from the COVID-19 pandemic and our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9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(including the ongoing COVID-19 pandemic),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94"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This competition has become exacerbated by the increase in employee resignations reported by employers nationwide in 2021 and continued high rates of employee turnover continuing into 2022. The loss of qualified employees, or an inability to attract, retain, and motivate employees could prevent us from pursuing collaborations and materially and adversely affect our support of existing products, product development and introductions, business growth prospects, results of operations and financial condition. We have experienced increased turnover at all levels since the start of the COVID-19 pandemic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Attrition and workforce reductions, such as the August 2022 restructuring plan, including the related reduction in force, could adversely affect our reputation among job seekers, and our existing employees may experience distractions or decreases in employee morale, and result in a loss of institutional know-how, reduced productivity, slower customer service response, reduced effectiveness of internal compliance and risk-mitigation programs, and cancellations of or delays in completing new product developments and other strategic projects. We do not maintain significant key person life insurance with any of our employees and all our employees, including our management team, may terminate employment without notice and without cause or good reason.</w:t>
      </w:r>
    </w:p>
    <w:p>
      <w:pPr>
        <w:spacing w:after="0" w:line="12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Additionally, to expand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2" w:name="page53"/>
    <w:bookmarkEnd w:id="52"/>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expand our direct sales, field support, and marketing forces or distribution capabilities to adequately address our customers’ needs, our business will be adversely affected.</w:t>
      </w:r>
    </w:p>
    <w:p>
      <w:pPr>
        <w:spacing w:after="0" w:line="9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increase the scope of our marketing efforts and develop and substantially expand our direct sales force and field application specialist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1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so.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use our products—our Biomark, EP1, CyTOF, and Hyperion systems in particular—customers typically need to purchase specialized reagents.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interruption in the availability of these reagents for use in our products could limit our ability to market our products.</w:t>
      </w:r>
    </w:p>
    <w:p>
      <w:pPr>
        <w:spacing w:after="0" w:line="13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Our products, our Biomark, EP1,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0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9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3" w:name="page54"/>
    <w:bookmarkEnd w:id="53"/>
    <w:p>
      <w:pPr>
        <w:spacing w:after="0" w:line="253" w:lineRule="auto"/>
        <w:rPr>
          <w:sz w:val="20"/>
          <w:szCs w:val="20"/>
          <w:color w:val="auto"/>
        </w:rPr>
      </w:pPr>
      <w:r>
        <w:rPr>
          <w:rFonts w:ascii="Times New Roman" w:cs="Times New Roman" w:eastAsia="Times New Roman" w:hAnsi="Times New Roman"/>
          <w:sz w:val="18"/>
          <w:szCs w:val="18"/>
          <w:color w:val="auto"/>
        </w:rPr>
        <w:t>failures, catastrophes or other unforeseen events, and our system redundancy and other disaster recovery planning may be ineffective or inadequate in preventing or responding to any of these circumstances. Furthermore, there may be a heightened risk of potential cyberattacks by state actors or others since the escalation of the war in Ukraine.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11" w:lineRule="exact"/>
        <w:rPr>
          <w:sz w:val="20"/>
          <w:szCs w:val="20"/>
          <w:color w:val="auto"/>
        </w:rPr>
      </w:pPr>
    </w:p>
    <w:p>
      <w:pPr>
        <w:jc w:val="both"/>
        <w:ind w:right="500" w:firstLine="324"/>
        <w:spacing w:after="0" w:line="257" w:lineRule="auto"/>
        <w:rPr>
          <w:sz w:val="20"/>
          <w:szCs w:val="20"/>
          <w:color w:val="auto"/>
        </w:rPr>
      </w:pPr>
      <w:r>
        <w:rPr>
          <w:rFonts w:ascii="Times New Roman" w:cs="Times New Roman" w:eastAsia="Times New Roman" w:hAnsi="Times New Roman"/>
          <w:sz w:val="18"/>
          <w:szCs w:val="18"/>
          <w:color w:val="auto"/>
        </w:rPr>
        <w:t>We have implemented security controls to protect our information technology infrastructure but, due to the ever-evolving nature of information security threats, we are not fully insulated from technology disruptions that could adversely impact us. For example, in early 2019, we experienced a ransomware attack that infiltrated and encrypted certain of our information technology systems, including systems containing critical business data.</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data were determined to have been released in the course of any future event, it is possible that we could be the subject of actions by governmental authorities or claims from persons alleging they suffered damages from such a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122"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1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Since the beginning of the COVID-19 pandemic, a significant percentage of our employees has been working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security breaches, there is no guarantee that these measures will be adequate to safeguard all systems with the increased number of employees working remotely.</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QUALITY AND THE REGULATORY ENVIRONMENT</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7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4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w:t>
      </w:r>
    </w:p>
    <w:p>
      <w:pPr>
        <w:spacing w:after="0" w:line="144"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Although the FDA granted Emergency Use Authorization (EUA) for our Advanta Dx SARS-CoV-2 RT-PCR Assay in August 2020 (which was updated for use with the AZOVA COVID-19 Test Collection Kit in February 2021, among other updates) and our Advanta Dx COVID-19 EASE Assay in February 2022, these authorizations are only valid during the COVID-19 public health emergency, and when the federally declared public health emergency ends, we will be required to stop commercial distribution of our assay and the collection kit immediately in the United States unless we comply with FDA requirements, which may include obtaining FDA clearance or approval for our assay under a traditional regulatory pathway for in vitro diagnostics, which is lengthy and expensive.</w:t>
      </w:r>
    </w:p>
    <w:p>
      <w:pPr>
        <w:spacing w:after="0" w:line="11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Under section 564 of the Federal Food, Drug, and Cosmetic Act (FD&amp;C Act), the FDA has authority to allow certain unapproved medical products or unapproved uses of approved medical products to be used during a public health emergency under an EUA.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FD&amp;C Act or the EUA is revoked under Section 564(g) of the FD&amp;C Act, after which the product must be cleared or approved by the FDA under a traditional pathway as defined by the FDA and we must comply with the FDA quality system regulations in order to remain on the market or to continue commercialization of the product.</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August 2020, the FDA granted EUA for our Advanta Dx SARS-CoV-2 RT-PCR Assay for qualitative detection of nucleic acid from SARS-CoV-2 in saliva specimens from individuals suspected by their healthcare providers of having COVID-19, with the use of the assay limited to CLIA high complexity laboratories. Four supplements have been submitted and authorized as follows: S001 for addition of the FDA Reference Panel Results, S002 for software updates and labeling changes, S003 for addition of alternative source of targets and labeling updates, and S004 for addition of AZOVA home collection kit. In February 2021, the FDA updated that EUA for our Advanta Dx SARS-CoV-2 RT-PCR Assay for use with the AZOVA COVID-19 Test Collection Kit, which is authorized for self-collection of saliva specimens at home. In February 2022, we were granted EUA for our the Advanta Dx COVID-19 EASE Assay, which is authorized for the qualitative detection of nucleic acid from SARS-CoV-2 in nasopharyngeal swab, oropharyngeal swab, mid-turbinate nasal swab, and anterior nasal swab specimens from individuals suspected of COVID-19 by their healthcare provider. As set forth in each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recall of our products and the issuance of an untitled letter, a warning letter, penalties, or fines, among other adverse actions.</w:t>
      </w:r>
    </w:p>
    <w:p>
      <w:pPr>
        <w:spacing w:after="0" w:line="12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the FDA’s policies and guidance change unexpectedly and/or materially or if we misinterpret them, potential sales of Advanta Dx SARS-CoV-2 RT-PCR and the AZOVA COVID-19 Test Collection Kit could be adversely impacted. In addition,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40"/>
        <w:spacing w:after="0" w:line="255" w:lineRule="auto"/>
        <w:rPr>
          <w:sz w:val="20"/>
          <w:szCs w:val="20"/>
          <w:color w:val="auto"/>
        </w:rPr>
      </w:pPr>
      <w:r>
        <w:rPr>
          <w:rFonts w:ascii="Times New Roman" w:cs="Times New Roman" w:eastAsia="Times New Roman" w:hAnsi="Times New Roman"/>
          <w:sz w:val="18"/>
          <w:szCs w:val="18"/>
          <w:color w:val="auto"/>
        </w:rPr>
        <w:t>the FDA will revoke an EUA where it is 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The demand for our product and our profitability may decline or be adversely impacted by the federal government’s implementation of a national COVID-19 testing strategy. Given the uncertain nature of the COVID-19 pandemic and future legislation and regulation in this space, we can provide no assurance with respect to our ability to achieve or sustain profitability on a quarterly or annual basis.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The healthcare industry is highly regulated and if we fail to comply with applicable healthcare laws and regulations, we could suffer fines and penalties or be required to make significant changes to our operations which could have a significant adverse effect on the results of our business operations.</w:t>
      </w:r>
    </w:p>
    <w:p>
      <w:pPr>
        <w:spacing w:after="0" w:line="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compete in markets in which we or our customers must comply with federal, state, local and foreign regulations, such as healthcare fraud and abuse, data privacy and medical product laws and regulations. The healthcare industry is subject to extensive and frequently changing international and United States federal, state and local laws and regulations. In addition, federal and state enforcement agencies have substantial powers and remedies to pursue suspected violations under broad laws and regulations relating to healthcare fraud and abuse, interactions and financial arrangements with healthcare professionals or entities, data privacy and misconduct involving government programs or contracts. If we, our employees, collaborators or contractors fail to comply with applicable laws and regulations, we could suffer civil and criminal damages, fines and penalties, exclusion from participation in governmental healthcare programs, and the loss of various licenses and authorizations necessary to operate our business, as well as incur liabilities from third-party claims, all of which could have a significant adverse effect on our business.</w:t>
      </w:r>
    </w:p>
    <w:p>
      <w:pPr>
        <w:spacing w:after="0" w:line="18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To the extent we elect to label and promote any of our non-EUA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11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Except for the Advanta Dx SARS-CoV-2 RT-PCR Assay and the AZOVA COVID-19 Test Collection Kit authorized by the FDA under an EUA granted in August 2020 and updated in February 2021, among other updates, and our Advanta Dx COVID-19 EASE Assay authorized by the FDA under an EUA granted in February 2022, our other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4"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We are currently registered with the FDA as a medical device manufacturer, with the reagents for the Advanta Dx SARS-CoV-2 RT-PCR Assay listed as our sole medical device product. As noted in the issued EUA for the Advanta Dx SARS-CoV-2 RT-PCR Assay (including the EUA update for use with the AZOVA COVID-19 Test Collection Kit, among other updates) and the issued EUA for the Advanta Dx COVID-19 EASE Assay, the FDA has waived certain quality system requirements under 21 CFR Part 820 for the duration of each EUA. We may in the future list some of our other products with the FDA pursuant to an FDA Class I listing for general purpose laboratory equipment if we pursue clinical applications for such equipment. While this regulatory classification is generally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If we do not comply with all the requirements of the EUA or the normal regulatory requirements for any of our medical device products, including additional regulatory requirements that would apply to the Advanta Dx SARS-CoV-2 RT-PCR Assay and the AZOVA COVID-19 Test Collection Kit after the expiration or termination of the EUA, we may be subject to regulatory or enforcement actions, including the issuance of an untitled letter, a warning letter, penalties, or fines, among other adverse actions, any of which may adversely impact our business, financial condition and results of operations. Compliance with additional or changing regulatory requirements can be time-consuming and costly.</w:t>
      </w:r>
    </w:p>
    <w:p>
      <w:pPr>
        <w:spacing w:after="0" w:line="11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notifications to the FDA to obtain FDA clearance of certain of our products on a selected basis. It is possible, in the event we elect to submit 510(k) applications for certain of our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80"/>
        <w:spacing w:after="0" w:line="256" w:lineRule="auto"/>
        <w:rPr>
          <w:sz w:val="20"/>
          <w:szCs w:val="20"/>
          <w:color w:val="auto"/>
        </w:rPr>
      </w:pPr>
      <w:r>
        <w:rPr>
          <w:rFonts w:ascii="Times New Roman" w:cs="Times New Roman" w:eastAsia="Times New Roman" w:hAnsi="Times New Roman"/>
          <w:sz w:val="18"/>
          <w:szCs w:val="18"/>
          <w:color w:val="auto"/>
        </w:rPr>
        <w:t>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0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2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extent we decide to seek regulatory marketing authorization for certain of our products in countries outside of the United States, we or our partners, or collaborators, will need to obtain regulatory marketing authorization for our products for the intended use in the jurisdiction where such products will be marketed. Regulatory clearance or approval in one jurisdiction does not mean that we will be successful in obtaining regulatory marketing authorization in other jurisdictions where we conduct business.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ind w:right="120" w:firstLine="324"/>
        <w:spacing w:after="0" w:line="290" w:lineRule="auto"/>
        <w:rPr>
          <w:sz w:val="20"/>
          <w:szCs w:val="20"/>
          <w:color w:val="auto"/>
        </w:rPr>
      </w:pPr>
      <w:r>
        <w:rPr>
          <w:rFonts w:ascii="Times New Roman" w:cs="Times New Roman" w:eastAsia="Times New Roman" w:hAnsi="Times New Roman"/>
          <w:sz w:val="17"/>
          <w:szCs w:val="17"/>
          <w:color w:val="auto"/>
        </w:rPr>
        <w:t>In February 2021, we announced a supply and distribution agreement to market our CyTOF technology, panels, and reagents to clinical labs in China. As part of the agreement, we are working to seek National Medical Products Administration (NMPA) approval for our CyTOF instrument for diagnostic</w:t>
      </w:r>
    </w:p>
    <w:p>
      <w:pPr>
        <w:ind w:right="340"/>
        <w:spacing w:after="0" w:line="282" w:lineRule="auto"/>
        <w:rPr>
          <w:sz w:val="20"/>
          <w:szCs w:val="20"/>
          <w:color w:val="auto"/>
        </w:rPr>
      </w:pPr>
      <w:r>
        <w:rPr>
          <w:rFonts w:ascii="Times New Roman" w:cs="Times New Roman" w:eastAsia="Times New Roman" w:hAnsi="Times New Roman"/>
          <w:sz w:val="18"/>
          <w:szCs w:val="18"/>
          <w:color w:val="auto"/>
        </w:rPr>
        <w:t>use in China. As we increase our operations outside of the United States, our compliance and operational costs will increase, and we will be exposed to greater liability under additional laws and regulations.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0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August 2020, as part of the U.S. government’s efforts to combat COVID-19 and consistent with the direction in Executive Orders 13771 and 13924, the Department of Health and Human Services (HHS) announced rescission of guidances and other informal issuances of the FDA regarding premarket review of LDTs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However, laboratories opting to use LDTs without FDA premarket review or authorization would not be eligible for liability protection under the Public Readiness and Emergency Preparedness Act, or the PREP Act. In November 2021, HHS under the Biden administration issued a statement that withdrew the August 2020 policy announcement, stating that HHS does not have a policy on LDTs that is separate from FDA’s longstanding approach. The FDA also issued a revised version of its COVID-19 test policy that states the FDA expects newly offered COVID-19 tests, including LDTs, to have an EUA, or traditional marketing authorization such as a granted De Novo or cleared 510(k), prior to clinical use. 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and instruments. Further, we could be required to obtain premarket clearance or approval from the FDA before we can sell our products to certain customers.</w:t>
      </w:r>
    </w:p>
    <w:p>
      <w:pPr>
        <w:spacing w:after="0" w:line="130"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9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0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OPERATING A GLOBAL BUSINESS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7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years 2021, 2020, and 2019, approximately 56%, 54%, and 63%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12" w:lineRule="exact"/>
        <w:rPr>
          <w:sz w:val="20"/>
          <w:szCs w:val="20"/>
          <w:color w:val="auto"/>
        </w:rPr>
      </w:pPr>
    </w:p>
    <w:p>
      <w:pPr>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the California Consumer Privacy Act,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7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Assets Control;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or the Russian invasion of Ukraine;</w:t>
      </w:r>
    </w:p>
    <w:p>
      <w:pPr>
        <w:spacing w:after="0" w:line="49" w:lineRule="exact"/>
        <w:rPr>
          <w:rFonts w:ascii="Times New Roman" w:cs="Times New Roman" w:eastAsia="Times New Roman" w:hAnsi="Times New Roman"/>
          <w:sz w:val="17"/>
          <w:szCs w:val="17"/>
          <w:color w:val="auto"/>
        </w:rPr>
      </w:pPr>
    </w:p>
    <w:p>
      <w:pPr>
        <w:ind w:left="660" w:right="7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and travel restrictions resulting from global sociopolitical events, including war and terrorism, public health crises (including the ongoing COVID-19 pandemic), and natural disasters including earthquakes, typhoons, floods and fires;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or procuring intellectual property rights.</w:t>
      </w:r>
    </w:p>
    <w:p>
      <w:pPr>
        <w:spacing w:after="0" w:line="14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Since the beginning of the COVID-19 pandemic, travel restrictions have caused significant slowdowns in China, Japan, and other parts of the Asia-Pacific region. These slowdowns, in addition to shipment delays in China due to delays in obtaining VAT and import tax exemptions for our products, have caused our financial results to suffer. If these situations continue, or if other risks occur, we could be forced to dedicate significant resources to their resolution, and if we are unsuccessful in finding a solution, our financial condition and results will suffer.</w:t>
      </w:r>
    </w:p>
    <w:p>
      <w:pPr>
        <w:spacing w:after="0" w:line="11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of products manufactured in that foreign country and imported into the United States. The United States has commenced certain trade actions, including imposing increased tariffs on certain goods imported into the United States from China, which has resulted in retaliatory tariffs by China. In addition, the United States has commenced certain trade actions as a result of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9" w:name="page60"/>
    <w:bookmarkEnd w:id="59"/>
    <w:p>
      <w:pPr>
        <w:ind w:right="420"/>
        <w:spacing w:after="0" w:line="266" w:lineRule="auto"/>
        <w:rPr>
          <w:sz w:val="20"/>
          <w:szCs w:val="20"/>
          <w:color w:val="auto"/>
        </w:rPr>
      </w:pPr>
      <w:r>
        <w:rPr>
          <w:rFonts w:ascii="Times New Roman" w:cs="Times New Roman" w:eastAsia="Times New Roman" w:hAnsi="Times New Roman"/>
          <w:sz w:val="18"/>
          <w:szCs w:val="18"/>
          <w:color w:val="auto"/>
        </w:rPr>
        <w:t>Russian invasion of Ukraine, which are widely expected to result in retaliatory measures or actions, including tariffs, by Russia. Any increased trade barriers or restrictions on global trade imposed by the United States, or further retaliatory trade measures taken by China, Russia, or other countries in response, could adversely affect our business, financial condition, and results of operations.</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a variety of new U.S. and foreign export controls and economic sanctions regulations that were issued in response to Russia’s invasion of Ukraine; our failure to comply with these laws and regulations could harm our business.</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Due to recent regulations, U.S. companies can no longer provide or receive services or conduct any business with, including selling, shipping, or otherwise transferring any U.S.-controlled products to, the Donetsk People’s Republic (DNR) and Luhansk People’s Republic (LNR) regions of Ukraine. Additionally, existing U.S. sanctions continue to extend these prohibitions to the Crimea region of Ukraine. Our business is also subject to the expansion of previously existing sanctions imposed by the Treasury Department’s Office of Foreign Assets Controls that now cover a significant number of individuals and entities located in Russia, Belarus, and surrounding regions as well as new U.S. export controls imposed by the U.S. Department of Commerce’s Export Administration Regulations on exports to Russia.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12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implemented new measures to reduce our exposure to this liability. Any additional changes in export control laws, sanctions requirements, or our operations in the affected regions may require us to expend additional resources or to discontinue certain products or services, which would negatively affect our business, financial condition, and operating results.In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Adverse conditions in the global economy and disruption of financial markets may significantly harm our revenue, profitability, and results of operations.</w:t>
      </w:r>
    </w:p>
    <w:p>
      <w:pPr>
        <w:spacing w:after="0" w:line="78"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Adverse economic conditions in the U.S. and international markets, including the worldwide economic disruption related to the COVID-19 pandemic and related slowdowns in China, Japan, and elsewhere in the Asia-Pacific region, have negatively affected our revenues and operating results and may continue to do so. Even before the current public health crisis took hold, the global credit and financial markets had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Geopolitical events including the COVID-19 pandemic, the Russian invasion of Ukraine, including any resulting adoption and expansion of trade restrictions by the United States,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fluctuations in the exchange rate of the U.S. dollar and foreign currencies.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TAX, AND ACCOUNTING RISKS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7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believe our existing cash, cash equivalents, and short-term investments, along with funding available under the Revolving Credit Facility, will be sufficient to meet our working capital and capital expenditure needs for at least the next 12 months. However, we have continued to experience losses and, if that trend continues, we may need to seek additional sources of financing. In addition, we may need to raise substantial additional capital for various purposes, including:</w:t>
      </w:r>
    </w:p>
    <w:p>
      <w:pPr>
        <w:spacing w:after="0" w:line="11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operations;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commercialization of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furthering our research and development;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other businesses or assets and licensing technologies.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4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any litigation including intellectual property, employment, contractual or other litigation;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clearances or approvals, if any;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sales, marketing, and distribution capabilities;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technical support capabilities;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cash demands (e.g., due to interest or principal payments or payouts under existing cash compensation plans);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sales and timing of related cash collections;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efficiency and cost-savings initiatives;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crises (including the COVID-19 pandemic);</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7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although we currently have no commitments or agreements relating to any of these types of transactions.</w:t>
      </w:r>
    </w:p>
    <w:p>
      <w:pPr>
        <w:spacing w:after="0" w:line="9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To the extent we draw on our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significant disruption and volatility in the global capital markets, increasing the cost of—and adversely impacting access to—capital. If we raise additional funds by issuing equity securities, our stockholders will experience dilution. Debt financing in addition to the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12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ectPr>
          <w:pgSz w:w="11900" w:h="16838" w:orient="portrait"/>
          <w:cols w:equalWidth="0" w:num="1">
            <w:col w:w="11220"/>
          </w:cols>
          <w:pgMar w:left="320" w:top="12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61" w:name="page62"/>
    <w:bookmarkEnd w:id="6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9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9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 or other regulatory authorities, which would require additional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the value of our goodwill or other intangible assets, which would be reflected in an impairment charge.</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condensed consolidated financial statements. As of June 30, 2022, we had approximately $125.3 million of goodwill and net intangible assets, including approximately $106.2 million of goodwill and $19.1 million of net intangible assets. These assets represent a significant portion of the assets recorded on our condensed consolidated balance sheet and relate primarily to our acquisition of DVS Sciences, Inc. (DVS) in February 2014 and InstruNor in 2020. In addition, if in the future we acquire additional businesses, technologies, or other intangible assets, a substantial portion of the value of such assets may be recorded as goodwill or intangible assets.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assess the realizability of goodwill and indefinite-lived intangible assets annually as well as whenever events or changes in circumstances indicate that these assets may be impaired. We assess the realizability of definite-lived intangible assets whenever events or changes in circumstances indicate that these assets may be impaired. These events or circumstances would generally include operating losses or a significant decline in earnings associated with the acquired business or asset. Our ability to realize the value of the goodwill and intangible assets will depend on the future cash flows of these businesses. These cash flows in turn depend in part on how well we have integrated these businesses. If we are not able to realize the value of the goodwill and intangible assets, we may be required to incur material charges relating to the impairment of those assets.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covenants and other obligations under our Credit Facility, the lenders may be able to accelerate amounts owed under the facilities and may foreclose upon the assets securing our obligations.</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August 2021, we amended our Revolving Credit Facility, which provides for secured revolving loans in an aggregate amount of up to $15.0 million, to extend the maturity date to August 2, 2023 and to provide for a new $10.0 million term loan facility (the Term Loan Facility and, together with the Revolving Credit Facility, the Credit Facility). The Credit Facility is secured by substantially all of our assets, other than intellectual property. The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Additionally, we are required to maintain a minimum Adjusted Quick Ratio (as defined in the amendment) of at least 1.25 to 1.00. If we fail to comply with the covenants and our other obligations under the Credit Facility, the lenders would be able to accelerate the required repayment of amounts due under the Credit Facility and, if they are not repaid, could foreclose upon the assets securing our obligations under the Credit Facility.</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use net operating loss carryforwards to offset future taxable income for U.S. federal income tax purposes and other tax benefits may be limited.</w:t>
      </w:r>
    </w:p>
    <w:p>
      <w:pPr>
        <w:spacing w:after="0" w:line="91"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62" w:name="page63"/>
    <w:bookmarkEnd w:id="62"/>
    <w:p>
      <w:pPr>
        <w:jc w:val="both"/>
        <w:ind w:right="100" w:firstLine="324"/>
        <w:spacing w:after="0" w:line="289" w:lineRule="auto"/>
        <w:rPr>
          <w:sz w:val="20"/>
          <w:szCs w:val="20"/>
          <w:color w:val="auto"/>
        </w:rPr>
      </w:pPr>
      <w:r>
        <w:rPr>
          <w:rFonts w:ascii="Times New Roman" w:cs="Times New Roman" w:eastAsia="Times New Roman" w:hAnsi="Times New Roman"/>
          <w:sz w:val="17"/>
          <w:szCs w:val="17"/>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7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6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principles, or interpretations thereof, could have a significant impact on our financial position and results of operations.</w:t>
      </w:r>
    </w:p>
    <w:p>
      <w:pPr>
        <w:spacing w:after="0" w:line="162" w:lineRule="exact"/>
        <w:rPr>
          <w:sz w:val="20"/>
          <w:szCs w:val="20"/>
          <w:color w:val="auto"/>
        </w:rPr>
      </w:pPr>
    </w:p>
    <w:p>
      <w:pPr>
        <w:jc w:val="both"/>
        <w:ind w:right="240" w:firstLine="324"/>
        <w:spacing w:after="0" w:line="272"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adoption of new or revised accounting principles may require that we make significant changes to our systems, processes and controls.</w:t>
      </w:r>
    </w:p>
    <w:p>
      <w:pPr>
        <w:spacing w:after="0" w:line="12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9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significant outstanding convertible debt. As of June 30, 2022, we had outstanding $0.6 million aggregate principal amount of our 2.75% Senior Convertible Notes due 2034 (2014 Notes) and $55.0 million aggregate principal amount of our 5.25% convertible senior notes due 2024 (2019 Notes). The 2014 Notes will mature on February 1, 2034, unless earlier converted, redeemed, or repurchased in accordance with the terms of the 2014 Notes. Pursuant to the terms of the indenture governing the 2014 Notes (2014 Notes Indenture), holders of the 2014 Notes may require us to repurchase all or a portion of the 2014 Notes at a repurchase price in cash equal to 100% of the principal amount of such 2014 Notes plus accrued and unpaid interest thereon, on each of February 6, 2024 and February 6, 2029. The 2019 Notes will mature on December 1, 2024, unless earlier converted, or repurchased in accordance with the terms of the 2019 Notes.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we undergo a fundamental change (as defined in the 2014 Notes Indenture or the indenture governing the 2019 Notes, as applicable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all or any portion of the Convertible Notes, we may issue additional convertible notes or other debt, which could include additional company obligations and represent more dilution to existing stockholders and noteholders.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color w:val="auto"/>
        </w:rPr>
        <w:t>This significant amount of debt has important risks to us and our investors, including:</w:t>
      </w:r>
    </w:p>
    <w:p>
      <w:pPr>
        <w:spacing w:after="0" w:line="14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 from operations to make interest payments on this debt;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w:t>
      </w:r>
    </w:p>
    <w:p>
      <w:pPr>
        <w:spacing w:after="0" w:line="14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protect our intellectual property and proprietary technology through patents and other means is uncertain.</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0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products and technologies or duplicate any of our products and technologies.</w:t>
      </w:r>
    </w:p>
    <w:p>
      <w:pPr>
        <w:spacing w:after="0" w:line="15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5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10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280"/>
        <w:spacing w:after="0" w:line="282" w:lineRule="auto"/>
        <w:rPr>
          <w:sz w:val="20"/>
          <w:szCs w:val="20"/>
          <w:color w:val="auto"/>
        </w:rPr>
      </w:pPr>
      <w:r>
        <w:rPr>
          <w:rFonts w:ascii="Times New Roman" w:cs="Times New Roman" w:eastAsia="Times New Roman" w:hAnsi="Times New Roman"/>
          <w:sz w:val="18"/>
          <w:szCs w:val="18"/>
          <w:color w:val="auto"/>
        </w:rPr>
        <w:t>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8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9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our Canadian subsidiary (SB Canada) was party to an interim license agreement, now expired, under which the licensor granted SB Canada a worldwide, non-exclusive, research use only, royalty bearing license to certain cytometric reagents, instruments, and other products. While we were able to secure a license under a new license agreement with the licensor, we cannot provide assurances that we will always be able to obtain suitable license rights to technologies or intellectual property of other third parties on acceptable terms, if at all.</w:t>
      </w:r>
    </w:p>
    <w:p>
      <w:pPr>
        <w:spacing w:after="0" w:line="1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ind w:firstLine="324"/>
        <w:spacing w:after="0" w:line="252" w:lineRule="auto"/>
        <w:rPr>
          <w:sz w:val="20"/>
          <w:szCs w:val="20"/>
          <w:color w:val="auto"/>
        </w:rPr>
      </w:pPr>
      <w:r>
        <w:rPr>
          <w:rFonts w:ascii="Times New Roman" w:cs="Times New Roman" w:eastAsia="Times New Roman" w:hAnsi="Times New Roman"/>
          <w:sz w:val="18"/>
          <w:szCs w:val="18"/>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manufacturing restrictions related to licensed technologies that were developed with the financial assistance of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grants.</w:t>
      </w:r>
    </w:p>
    <w:p>
      <w:pPr>
        <w:spacing w:after="0" w:line="12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obligations and restrictions relating to technologies developed in cooperation with Canadian government agencies.</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right="40"/>
        <w:spacing w:after="0" w:line="253" w:lineRule="auto"/>
        <w:rPr>
          <w:sz w:val="20"/>
          <w:szCs w:val="20"/>
          <w:color w:val="auto"/>
        </w:rPr>
      </w:pPr>
      <w:r>
        <w:rPr>
          <w:rFonts w:ascii="Times New Roman" w:cs="Times New Roman" w:eastAsia="Times New Roman" w:hAnsi="Times New Roman"/>
          <w:sz w:val="18"/>
          <w:szCs w:val="18"/>
          <w:color w:val="auto"/>
        </w:rPr>
        <w:t>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is volatile.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2021, we had 76,919,287 shares of common stock outstanding, and stockholders holding at least 5% of our stock, individually or with affiliated persons or entities, collectively beneficially owned or controlled approximately 51%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51% held by our top seven stockholders as of December 31, 2021) means that a relatively small number of stockholders have significant control over the outcomes of stockholder voting.</w:t>
      </w:r>
    </w:p>
    <w:p>
      <w:pPr>
        <w:spacing w:after="0" w:line="14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are beyond our control. These factors include:</w:t>
      </w:r>
    </w:p>
    <w:p>
      <w:pPr>
        <w:spacing w:after="0" w:line="8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the COVID-19 pandemic, on global financial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 in our results of operations or the results of our competitors;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performance consistent with our financial guidance and/or market expectations;</w:t>
      </w:r>
    </w:p>
    <w:p>
      <w:pPr>
        <w:spacing w:after="0" w:line="76"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 for our stock;</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life science, plant and animal research, and contract research organization sectors;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sales;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 that could occur if we are unable to successfully expand our production in our current or an alternative facility;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 in connection with raising additional capital or otherwise;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to the composition of our board of directors or management;</w:t>
      </w:r>
    </w:p>
    <w:p>
      <w:pPr>
        <w:spacing w:after="0" w:line="9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 including deteriorating market conditions due to investor concerns regarding inflation and hostilities between Russia and Ukraine;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current macroeconomic trends and geopolitical events, and slow or negative growth of our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w:t>
      </w:r>
    </w:p>
    <w:p>
      <w:pPr>
        <w:spacing w:after="0" w:line="9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several recent situations where the market price of a stock has been volatile, holders of that stock have instituted securities class action litigation against the company that issued the stock. As discussed in the Legal Proceedings section of this quarterly report on Form 10-Q, a class action securities lawsuit against us is currently pending. While we are continuing to defend such action vigorously, the defense of this action and any additional actions can be costly, divert the time and attention of our management, and harm our operating results, and any judgment against us or any future stockholder litigation could result in substantial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could result in substantial dilution to our existing stockholders and could cause our stock price to decline.</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publish unfavorable research about us or cease to cover our business, our stock price and/or trading volume could decline.</w:t>
      </w:r>
    </w:p>
    <w:p>
      <w:pPr>
        <w:spacing w:after="0" w:line="7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07"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including provisions that:</w:t>
      </w:r>
    </w:p>
    <w:p>
      <w:pPr>
        <w:spacing w:after="0" w:line="9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10,000,000 shares of undesignated preferred stock;</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76"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the board, the chief executive officer or the president;</w:t>
      </w:r>
    </w:p>
    <w:p>
      <w:pPr>
        <w:spacing w:after="0" w:line="2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that our board of directors is divided into three classes, Class I, Class II, and Class III, with each class serving staggered three-year terms;</w:t>
      </w:r>
    </w:p>
    <w:p>
      <w:pPr>
        <w:spacing w:after="0" w:line="8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15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8" w:name="page69"/>
    <w:bookmarkEnd w:id="68"/>
    <w:p>
      <w:pPr>
        <w:spacing w:after="0" w:line="282" w:lineRule="auto"/>
        <w:rPr>
          <w:sz w:val="20"/>
          <w:szCs w:val="20"/>
          <w:color w:val="auto"/>
        </w:rPr>
      </w:pPr>
      <w:r>
        <w:rPr>
          <w:rFonts w:ascii="Times New Roman" w:cs="Times New Roman" w:eastAsia="Times New Roman" w:hAnsi="Times New Roman"/>
          <w:sz w:val="18"/>
          <w:szCs w:val="18"/>
          <w:color w:val="auto"/>
        </w:rPr>
        <w:t>Section 203 of the Delaware General Corporation Law (DGCL), which limits the ability of stockholders owning in excess of 15% of our outstanding voting stock to merge or combine with us.</w:t>
      </w:r>
    </w:p>
    <w:p>
      <w:pPr>
        <w:spacing w:after="0" w:line="15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The forum selection provision in our bylaws could limit the ability of our stockholders to bring a claim in a judicial forum viewed by the stockholders as more favorable for disputes with us or our directors, officers or other employees.</w:t>
      </w:r>
    </w:p>
    <w:p>
      <w:pPr>
        <w:spacing w:after="0" w:line="7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1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certificate of incorporation or our bylaws;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5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or any other claim for which the U.S. federal courts have exclusive jurisdiction.</w:t>
      </w:r>
    </w:p>
    <w:p>
      <w:pPr>
        <w:spacing w:after="0" w:line="8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bylaws further provide that the federal district courts of the United States of America will be the exclusive forum for resolving any complaint asserting a cause of action arising under the Securities Act.</w:t>
      </w:r>
    </w:p>
    <w:p>
      <w:pPr>
        <w:spacing w:after="0" w:line="9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11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Any conversions of the 2014 Notes or 2019 Notes will dilute the ownership interest of our existing stockholders and may otherwise depress the price of our common stock.</w:t>
      </w:r>
    </w:p>
    <w:p>
      <w:pPr>
        <w:spacing w:after="0" w:line="7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ind w:right="100"/>
        <w:spacing w:after="0" w:line="317" w:lineRule="auto"/>
        <w:rPr>
          <w:sz w:val="20"/>
          <w:szCs w:val="20"/>
          <w:color w:val="auto"/>
        </w:rPr>
      </w:pPr>
      <w:r>
        <w:rPr>
          <w:rFonts w:ascii="Times New Roman" w:cs="Times New Roman" w:eastAsia="Times New Roman" w:hAnsi="Times New Roman"/>
          <w:sz w:val="17"/>
          <w:szCs w:val="17"/>
          <w:b w:val="1"/>
          <w:bCs w:val="1"/>
          <w:color w:val="auto"/>
        </w:rPr>
        <w:t>As a result of the Private Placement Issuance, the Purchasers own a significant portion of our total outstanding voting securities and may prevent other stockholders from influencing material corporate decisions, and the Purchasers’ interests may conflict with those of our other stockholders.</w:t>
      </w:r>
    </w:p>
    <w:p>
      <w:pPr>
        <w:spacing w:after="0" w:line="6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Series B Preferred Stock is initially convertible into up to approximately 75,164,397 shares of our common stock (without giving effect to limitations associated with any conversion cap). On an as-converted basis, this collectively represents approximately 48.8% of our issued and outstanding common stock (equating to approximately 24.4% per Purchaser) based on the number of shares of common stock outstanding as of June 30, 2022, but assuming full conversion of all Series B Preferred Stock (without giving effect to limitations associated with any conversion cap). As a result, the Purchasers are our largest stockholders. This concentration of ownership, together with the voting rights, director designation rights and consent rights granted to the Purchasers as part of the Private Placement Issuance, may be perceived negatively by other investors and, as a result, may adversely affect the market price of our common stock. The Purchasers, if they acted together, could significantly influence all matters requiring approval by our stockholders, including the election of directors and the approval of mergers or</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other business combination transactions. The interests of the Purchasers may not always coincide with our interests or the interests of other stockholders.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market value of our common stock could decline if the Purchasers sell their Series B Preferred Stock or common stock after certain transfer restrictions expire.</w:t>
      </w:r>
    </w:p>
    <w:p>
      <w:pPr>
        <w:spacing w:after="0" w:line="7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Pursuant to the Registration Rights Agreement that we entered into on January 23, 2022 with the Purchasers, we registered the resale of the shares of common stock issuable upon conversion of the Series B Preferred Stock with the SEC, which means that such shares would become eligible for resale in the public markets following the expiration of any applicable transfer restrictions. Any sale of such shares, or the anticipation of the possibility of such sales, could create downward pressure on the market price of our common stock.</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Our Series B Preferred Stock has rights, preferences and privileges that are not held by, and are preferential to, the rights of our common stockholders, which could adversely affect our liquidity and financial condition, result in the interests of holders of our Series B Preferred Stock differing from those of our common stockholders and make an acquisition of us more difficult.</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our Series B preferred stock have (i) a liquidation preference (ii) rights to dividends, which are senior to all of our other equity securities,</w:t>
      </w:r>
    </w:p>
    <w:p>
      <w:pPr>
        <w:spacing w:after="0" w:line="27" w:lineRule="exact"/>
        <w:rPr>
          <w:sz w:val="20"/>
          <w:szCs w:val="20"/>
          <w:color w:val="auto"/>
        </w:rPr>
      </w:pPr>
    </w:p>
    <w:p>
      <w:pPr>
        <w:ind w:firstLine="8"/>
        <w:spacing w:after="0" w:line="253"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us to repurchase any or all of their Series B Preferred Stock in connection with certain change of control events, and (iv) conversion price adjustments upon the occurrence of certain events, each subject to the terms, conditions and exceptions contained in the Certificate of Designations for the Series B-1 and Series B-2 Preferred Stock. These dividend and other rights and obligations could impact our liquidity and reduce the amount of cash flows available for working capital, capital expenditures, growth opportunities, acquisitions, and other general corporate purposes.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terms of our Series B Preferred Stock could also limit our ability to obtain additional financing or increase our borrowing costs, which could have an adverse effect on our financial condition. The preferential rights could also result in divergent interests between the Purchasers and holders of our common stock. Furthermore, a sale of our Company, as a change of control event, may require us to repurchase Series B Preferred Stock, which could have the effect of making an acquisition of our Company more expensive and potentially deterring proposed transactions that may otherwise be beneficial to our stockholders.</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holders of Series B Preferred Stock are entitled to vote with the holders of common stock with voting power measured in a manner related to the conversion ratio of the shares of Series B Preferred Stock and the holders of Series B Preferred Stock have rights to approve certain actions. The holders of Series B Preferred Stock may exercise influence over us, including through the ability of each of the holders of the Series B-1 Preferred Stock and the holders of the Series B-2 Preferred Stock to designate a member of our board of directors.</w:t>
      </w:r>
    </w:p>
    <w:p>
      <w:pPr>
        <w:spacing w:after="0" w:line="9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holders of Series B Preferred Stock are generally entitled to vote with the holders of the shares of common stock on all matters submitted for a vote of holders of shares of common stock (voting together with the holders of shares of common stock as one class) with voting power measured in a manner related to the conversion ratio of the shares of Series B Preferred Stock, subject to certain voting limitations as described in the Series B Certificates of Designations. Additionally, the consent of the holders of at least 60% of the shares of Series B Preferred Stock is required for, among other things, (i) amendments to our Certificate of Incorporation or Bylaws that have an adverse effect on the rights, preferences, privileges or voting powers of the Series B Preferred Stock and (ii) issuances by us of securities that are senior to, or equal in priority with, the Series B Preferred Stock.</w:t>
      </w:r>
    </w:p>
    <w:p>
      <w:pPr>
        <w:spacing w:after="0" w:line="1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pursuant to the Series B Certificates of Designations, the Purchasers each have the right to nominate and elect one member to our board of directors at each annual meeting of the stockholders of the Company or at any special meeting called for the purpose of electing directors, for so long as the Casdin Preferred Percentage or Viking Preferred Percentage, as applicable, is equal to or greater than 7.5%. The director designated by each of the Purchasers is entitled to serve on committees of our board of directors, subject to applicable law and Nasdaq rules. Notwithstanding the fact that all directors will be subject to fiduciary duties to us and to applicable law, the interests of the directors designated by the Purchasers may differ from the interests of our security holders as a whole or of our other directors.</w:t>
      </w:r>
    </w:p>
    <w:p>
      <w:pPr>
        <w:spacing w:after="0" w:line="12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significant stockholders may be able to determine or significantly influence matters requiring stockholder approval. The interests of significant stockholders may not always coincide with our interests or the interests of other stockholders. The Series B-1 Director and the Series B-2 Director are not subject to the classified board of directors provisions of our Charter. The director designated by the holders of the Series B -1 Preferred Stock and Series B-2 Preferred Stock will also be entitled to serve on committees of our board of directors, subject to applicable law and stock exchange rules. In addition, the Series B Certificates of Designations also provide that for so long as the Casdin Ownership Percentage and the Viking Ownership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t>Percentage (each as defined in the applicable Certificate of Designations) continue to be met or exceeded for such series of Series B Preferred Stock, the Series B-1 Director and Series B-2 Director will have certain consent rights over, among other things: (i) any increase in the number of directors on the Board beyond seven; (ii) the hiring, promotion, demotion, or termination of the Company’s Chief Executive Officer; (iii) entering into or modifying (including by waiver) any transaction, agreement or arrangement with any Related Person (as such term is defined in the Series B Certificates of Designations), subject to certain exceptions; (iv) any voluntary petition under any applicable federal or state bankruptcy or insolvency law effected by the Company; (v) any change in the principal business of the Company or entry by the Company into any material new line of business; and (vi) for a period of three years after the Closing,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 of inventory or equipment in the ordinary course of business consistent with past practice, for consideration in excess of $50,000,000 in the aggregate in any six month period.</w:t>
      </w:r>
    </w:p>
    <w:p>
      <w:pPr>
        <w:spacing w:after="0" w:line="113" w:lineRule="exact"/>
        <w:rPr>
          <w:sz w:val="20"/>
          <w:szCs w:val="20"/>
          <w:color w:val="auto"/>
        </w:rPr>
      </w:pPr>
    </w:p>
    <w:p>
      <w:pPr>
        <w:jc w:val="both"/>
        <w:ind w:right="760" w:firstLine="324"/>
        <w:spacing w:after="0" w:line="266" w:lineRule="auto"/>
        <w:rPr>
          <w:sz w:val="20"/>
          <w:szCs w:val="20"/>
          <w:color w:val="auto"/>
        </w:rPr>
      </w:pPr>
      <w:r>
        <w:rPr>
          <w:rFonts w:ascii="Times New Roman" w:cs="Times New Roman" w:eastAsia="Times New Roman" w:hAnsi="Times New Roman"/>
          <w:sz w:val="18"/>
          <w:szCs w:val="18"/>
          <w:color w:val="auto"/>
        </w:rPr>
        <w:t>As a result, the holders of Series B Preferred Stock have the ability to influence the outcome of certain matters affecting our governance and capitalization. Our obligations to the holders of Series B Preferred Stock could also limit our ability to obtain additional financing or increase our borrowing costs, which could have an adverse effect on our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ending June 30, 2022, the registrant did not make any sales of unregistered equity securities that were not previously reported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40" w:type="dxa"/>
            <w:vAlign w:val="bottom"/>
            <w:gridSpan w:val="1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 Exhibit</w:t>
            </w: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14"/>
            <w:vMerge w:val="continue"/>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20" w:type="dxa"/>
            <w:vAlign w:val="bottom"/>
            <w:tcBorders>
              <w:top w:val="single" w:sz="8" w:color="auto"/>
            </w:tcBorders>
            <w:gridSpan w:val="17"/>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Eighth Amended and Restated Certificate of Incorporation filed on February 15,</w:t>
              </w:r>
            </w:hyperlink>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3/28/2011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85">
              <w:r>
                <w:rPr>
                  <w:rFonts w:ascii="Times New Roman" w:cs="Times New Roman" w:eastAsia="Times New Roman" w:hAnsi="Times New Roman"/>
                  <w:sz w:val="18"/>
                  <w:szCs w:val="18"/>
                  <w:color w:val="0000FF"/>
                  <w:w w:val="93"/>
                </w:rPr>
                <w:t>2011.</w:t>
              </w:r>
            </w:hyperlink>
          </w:p>
        </w:tc>
        <w:tc>
          <w:tcPr>
            <w:tcW w:w="6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Amended and Restated Bylaws of Standard BioTools Inc.</w:t>
              </w:r>
            </w:hyperlink>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Certificate of Amendment to the Eighth Amended and Restated Certificate of</w:t>
              </w:r>
            </w:hyperlink>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Incorporation.</w:t>
              </w:r>
            </w:hyperlink>
          </w:p>
        </w:tc>
        <w:tc>
          <w:tcPr>
            <w:tcW w:w="456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Certificate of Designation of Rights, Preferences and Privileges of Series A</w:t>
              </w:r>
            </w:hyperlink>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11/22/2016</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Participating Preferred Stock.</w:t>
              </w:r>
            </w:hyperlink>
          </w:p>
        </w:tc>
        <w:tc>
          <w:tcPr>
            <w:tcW w:w="22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Certificate of Elimination of Series A Participating Preferred Stock.</w:t>
              </w:r>
            </w:hyperlink>
          </w:p>
        </w:tc>
        <w:tc>
          <w:tcPr>
            <w:tcW w:w="1460" w:type="dxa"/>
            <w:vAlign w:val="bottom"/>
            <w:gridSpan w:val="9"/>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8/2/2017</w:t>
            </w: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Certificate of Designations of Rights, Preferences and Privileges of Series B-1</w:t>
              </w:r>
            </w:hyperlink>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4/5/2022</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Convertible Preferred Stock.</w:t>
              </w:r>
            </w:hyperlink>
          </w:p>
        </w:tc>
        <w:tc>
          <w:tcPr>
            <w:tcW w:w="3520" w:type="dxa"/>
            <w:vAlign w:val="bottom"/>
            <w:tcBorders>
              <w:top w:val="single" w:sz="8" w:color="0000FF"/>
            </w:tcBorders>
            <w:gridSpan w:val="9"/>
          </w:tcPr>
          <w:p>
            <w:pPr>
              <w:spacing w:after="0"/>
              <w:rPr>
                <w:sz w:val="13"/>
                <w:szCs w:val="13"/>
                <w:color w:val="auto"/>
              </w:rPr>
            </w:pPr>
          </w:p>
        </w:tc>
        <w:tc>
          <w:tcPr>
            <w:tcW w:w="3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Designations of Rights, Preferences and Privileges of Series B-2</w:t>
              </w:r>
            </w:hyperlink>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4/5/2022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Convertible Preferred Stock.</w:t>
              </w:r>
            </w:hyperlink>
          </w:p>
        </w:tc>
        <w:tc>
          <w:tcPr>
            <w:tcW w:w="3520" w:type="dxa"/>
            <w:vAlign w:val="bottom"/>
            <w:tcBorders>
              <w:top w:val="single" w:sz="8" w:color="0000FF"/>
            </w:tcBorders>
            <w:gridSpan w:val="9"/>
          </w:tcPr>
          <w:p>
            <w:pPr>
              <w:spacing w:after="0"/>
              <w:rPr>
                <w:sz w:val="13"/>
                <w:szCs w:val="13"/>
                <w:color w:val="auto"/>
              </w:rPr>
            </w:pPr>
          </w:p>
        </w:tc>
        <w:tc>
          <w:tcPr>
            <w:tcW w:w="3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Standard BioTools 2022 Inducement Equity Incentive Plan.</w:t>
              </w:r>
            </w:hyperlink>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Notice of Stock Option Grant and Stock Option Agreement under the 2022</w:t>
              </w:r>
            </w:hyperlink>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Inducement Equity Incentive Plan.</w:t>
              </w:r>
            </w:hyperlink>
          </w:p>
        </w:tc>
        <w:tc>
          <w:tcPr>
            <w:tcW w:w="352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Notice of Restricted Stock Unit Grant and Restricted Stock Unit Agreement</w:t>
              </w:r>
            </w:hyperlink>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under the 2022 Inducement Equity Incentive Plan.</w:t>
              </w:r>
            </w:hyperlink>
          </w:p>
        </w:tc>
        <w:tc>
          <w:tcPr>
            <w:tcW w:w="248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 of Chief Executive Officer.</w:t>
            </w: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Borders>
              <w:right w:val="single" w:sz="8" w:color="0000FF"/>
            </w:tcBorders>
            <w:gridSpan w:val="8"/>
            <w:shd w:val="clear" w:color="auto" w:fill="0000FF"/>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 of Chief Financial Officer.</w:t>
            </w:r>
          </w:p>
        </w:tc>
        <w:tc>
          <w:tcPr>
            <w:tcW w:w="1680" w:type="dxa"/>
            <w:vAlign w:val="bottom"/>
            <w:tcBorders>
              <w:top w:val="single" w:sz="8" w:color="0000FF"/>
            </w:tcBorders>
            <w:gridSpan w:val="8"/>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 of Chief Executive Officer.</w:t>
            </w: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tcBorders>
              <w:right w:val="single" w:sz="8" w:color="0000FF"/>
            </w:tcBorders>
            <w:gridSpan w:val="8"/>
            <w:shd w:val="clear" w:color="auto" w:fill="0000FF"/>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 of Chief Financial Officer.</w:t>
            </w:r>
          </w:p>
        </w:tc>
        <w:tc>
          <w:tcPr>
            <w:tcW w:w="1680" w:type="dxa"/>
            <w:vAlign w:val="bottom"/>
            <w:tcBorders>
              <w:top w:val="single" w:sz="8" w:color="0000FF"/>
            </w:tcBorders>
            <w:gridSpan w:val="8"/>
          </w:tcPr>
          <w:p>
            <w:pPr>
              <w:spacing w:after="0"/>
              <w:rPr>
                <w:sz w:val="13"/>
                <w:szCs w:val="13"/>
                <w:color w:val="auto"/>
              </w:rPr>
            </w:pPr>
          </w:p>
        </w:tc>
        <w:tc>
          <w:tcPr>
            <w:tcW w:w="16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Document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Document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4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w:t>
            </w:r>
          </w:p>
        </w:tc>
        <w:tc>
          <w:tcPr>
            <w:tcW w:w="12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rPr>
              <w:t>Filed herewith</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Indicates management contract or compensatory plan, contract, or arrangement.</w:t>
      </w:r>
    </w:p>
    <w:p>
      <w:pPr>
        <w:spacing w:after="0" w:line="122" w:lineRule="exact"/>
        <w:rPr>
          <w:sz w:val="20"/>
          <w:szCs w:val="20"/>
          <w:color w:val="auto"/>
        </w:rPr>
      </w:pPr>
    </w:p>
    <w:p>
      <w:pPr>
        <w:ind w:left="260" w:right="60" w:hanging="252"/>
        <w:spacing w:after="0" w:line="263" w:lineRule="auto"/>
        <w:tabs>
          <w:tab w:leader="none" w:pos="24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2" w:name="page73"/>
    <w:bookmarkEnd w:id="7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4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STANDARD BIOTOOLS INC.</w:t>
            </w: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2022</w:t>
            </w:r>
          </w:p>
        </w:tc>
        <w:tc>
          <w:tcPr>
            <w:tcW w:w="24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Egholm</w:t>
            </w:r>
          </w:p>
        </w:tc>
      </w:tr>
      <w:tr>
        <w:trPr>
          <w:trHeight w:val="218"/>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Egholm</w:t>
            </w:r>
          </w:p>
        </w:tc>
      </w:tr>
      <w:tr>
        <w:trPr>
          <w:trHeight w:val="234"/>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56"/>
        </w:trPr>
        <w:tc>
          <w:tcPr>
            <w:tcW w:w="33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2022</w:t>
            </w:r>
          </w:p>
        </w:tc>
        <w:tc>
          <w:tcPr>
            <w:tcW w:w="24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Vikram Jog</w:t>
            </w:r>
          </w:p>
        </w:tc>
      </w:tr>
      <w:tr>
        <w:trPr>
          <w:trHeight w:val="218"/>
        </w:trPr>
        <w:tc>
          <w:tcPr>
            <w:tcW w:w="3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Vikram Jog</w:t>
            </w:r>
          </w:p>
        </w:tc>
      </w:tr>
      <w:tr>
        <w:trPr>
          <w:trHeight w:val="229"/>
        </w:trPr>
        <w:tc>
          <w:tcPr>
            <w:tcW w:w="3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bl>
    <w:p>
      <w:pPr>
        <w:sectPr>
          <w:pgSz w:w="11900" w:h="16838" w:orient="portrait"/>
          <w:cols w:equalWidth="0" w:num="1">
            <w:col w:w="10880"/>
          </w:cols>
          <w:pgMar w:left="320" w:top="1413" w:right="6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Egholm, certify that:</w:t>
      </w:r>
    </w:p>
    <w:p>
      <w:pPr>
        <w:spacing w:after="0" w:line="171"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6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62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960" w:right="200" w:hanging="656"/>
        <w:spacing w:after="0" w:line="266" w:lineRule="auto"/>
        <w:tabs>
          <w:tab w:leader="none" w:pos="16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960" w:right="140" w:hanging="656"/>
        <w:spacing w:after="0" w:line="266" w:lineRule="auto"/>
        <w:tabs>
          <w:tab w:leader="none" w:pos="162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300" w:right="60" w:hanging="644"/>
        <w:spacing w:after="0" w:line="312" w:lineRule="auto"/>
        <w:tabs>
          <w:tab w:leader="none" w:pos="96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jc w:val="right"/>
        <w:ind w:left="1960" w:right="160" w:hanging="656"/>
        <w:spacing w:after="0" w:line="312" w:lineRule="auto"/>
        <w:tabs>
          <w:tab w:leader="none" w:pos="160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Times New Roman" w:cs="Times New Roman" w:eastAsia="Times New Roman" w:hAnsi="Times New Roman"/>
          <w:sz w:val="17"/>
          <w:szCs w:val="17"/>
          <w:color w:val="auto"/>
        </w:rPr>
      </w:pPr>
    </w:p>
    <w:p>
      <w:pPr>
        <w:ind w:left="1960" w:right="440" w:hanging="656"/>
        <w:spacing w:after="0" w:line="282" w:lineRule="auto"/>
        <w:tabs>
          <w:tab w:leader="none" w:pos="16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9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Michael Egholm</w:t>
            </w:r>
          </w:p>
        </w:tc>
      </w:tr>
      <w:tr>
        <w:trPr>
          <w:trHeight w:val="218"/>
        </w:trPr>
        <w:tc>
          <w:tcPr>
            <w:tcW w:w="4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Egholm</w:t>
            </w:r>
          </w:p>
        </w:tc>
      </w:tr>
      <w:tr>
        <w:trPr>
          <w:trHeight w:val="180"/>
        </w:trPr>
        <w:tc>
          <w:tcPr>
            <w:tcW w:w="40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(Principal</w:t>
            </w:r>
          </w:p>
        </w:tc>
      </w:tr>
      <w:tr>
        <w:trPr>
          <w:trHeight w:val="234"/>
        </w:trPr>
        <w:tc>
          <w:tcPr>
            <w:tcW w:w="4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bl>
    <w:p>
      <w:pPr>
        <w:sectPr>
          <w:pgSz w:w="11900" w:h="16838" w:orient="portrait"/>
          <w:cols w:equalWidth="0" w:num="1">
            <w:col w:w="11240"/>
          </w:cols>
          <w:pgMar w:left="320" w:top="1049"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Standard BioTools Inc.;</w:t>
      </w:r>
    </w:p>
    <w:p>
      <w:pPr>
        <w:spacing w:after="0" w:line="17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9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Vikram Jog</w:t>
            </w:r>
          </w:p>
        </w:tc>
      </w:tr>
      <w:tr>
        <w:trPr>
          <w:trHeight w:val="218"/>
        </w:trPr>
        <w:tc>
          <w:tcPr>
            <w:tcW w:w="4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Vikram Jog</w:t>
            </w:r>
          </w:p>
        </w:tc>
      </w:tr>
      <w:tr>
        <w:trPr>
          <w:trHeight w:val="230"/>
        </w:trPr>
        <w:tc>
          <w:tcPr>
            <w:tcW w:w="40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I, Michael Egholm, the chief executive officer of Standard BioTools Inc. (the “Company”), certify for the purposes of 18 U.S.C. Section 1350, as adopted pursuant to Section 906 of the Sarbanes-Oxley Act of 2002, that, to the best of my knowledge,</w:t>
      </w:r>
    </w:p>
    <w:p>
      <w:pPr>
        <w:spacing w:after="0" w:line="108" w:lineRule="exact"/>
        <w:rPr>
          <w:sz w:val="20"/>
          <w:szCs w:val="20"/>
          <w:color w:val="auto"/>
        </w:rPr>
      </w:pPr>
    </w:p>
    <w:p>
      <w:pPr>
        <w:ind w:left="420" w:right="540" w:hanging="7"/>
        <w:spacing w:after="0" w:line="282" w:lineRule="auto"/>
        <w:tabs>
          <w:tab w:leader="none" w:pos="6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2022 (the “Report”), fully complies with the requirements of Section 13(a) or 15(d)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3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Michael Egholm</w:t>
            </w:r>
          </w:p>
        </w:tc>
      </w:tr>
      <w:tr>
        <w:trPr>
          <w:trHeight w:val="218"/>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Egholm</w:t>
            </w:r>
          </w:p>
        </w:tc>
      </w:tr>
      <w:tr>
        <w:trPr>
          <w:trHeight w:val="234"/>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I, Vikram Jog, the chief financial officer of Standard BioTools Inc. (the “Company”), certify for the purposes of 18 U.S.C. Section 1350, as adopted pursuant to Section 906 of the Sarbanes-Oxley Act of 2002, that, to the best of my knowledge,</w:t>
      </w:r>
    </w:p>
    <w:p>
      <w:pPr>
        <w:spacing w:after="0" w:line="108" w:lineRule="exact"/>
        <w:rPr>
          <w:sz w:val="20"/>
          <w:szCs w:val="20"/>
          <w:color w:val="auto"/>
        </w:rPr>
      </w:pPr>
    </w:p>
    <w:p>
      <w:pPr>
        <w:ind w:left="420" w:right="540" w:hanging="7"/>
        <w:spacing w:after="0" w:line="282" w:lineRule="auto"/>
        <w:tabs>
          <w:tab w:leader="none" w:pos="6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2022 (the “Report”), fully complies with the requirements of Section 13(a) or 15(d)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63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Vikram Jog</w:t>
            </w:r>
          </w:p>
        </w:tc>
      </w:tr>
      <w:tr>
        <w:trPr>
          <w:trHeight w:val="218"/>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Vikram Jog</w:t>
            </w:r>
          </w:p>
        </w:tc>
      </w:tr>
      <w:tr>
        <w:trPr>
          <w:trHeight w:val="234"/>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Roman"/>
      <w:start w:val="3"/>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5" Type="http://schemas.openxmlformats.org/officeDocument/2006/relationships/image" Target="media/image78.png"/><Relationship Id="rId85" Type="http://schemas.openxmlformats.org/officeDocument/2006/relationships/hyperlink" Target="http://www.sec.gov/Archives/edgar/data/1162194/000119312511078412/dex31.htm" TargetMode="External"/><Relationship Id="rId86" Type="http://schemas.openxmlformats.org/officeDocument/2006/relationships/hyperlink" Target="http://www.sec.gov/Archives/edgar/data/1162194/000119312522093794/d300506dex48.htm" TargetMode="External"/><Relationship Id="rId87" Type="http://schemas.openxmlformats.org/officeDocument/2006/relationships/hyperlink" Target="http://www.sec.gov/Archives/edgar/data/1162194/000119312522093794/d300506dex43.htm" TargetMode="External"/><Relationship Id="rId88" Type="http://schemas.openxmlformats.org/officeDocument/2006/relationships/hyperlink" Target="http://www.sec.gov/Archives/edgar/data/1162194/000119312516774501/d294669dex31.htm" TargetMode="External"/><Relationship Id="rId89" Type="http://schemas.openxmlformats.org/officeDocument/2006/relationships/hyperlink" Target="http://www.sec.gov/Archives/edgar/data/1162194/000114420417039703/v471897_ex3-1.htm" TargetMode="External"/><Relationship Id="rId90" Type="http://schemas.openxmlformats.org/officeDocument/2006/relationships/hyperlink" Target="http://www.sec.gov/Archives/edgar/data/1162194/000119312522096290/d314141dex36.htm" TargetMode="External"/><Relationship Id="rId91" Type="http://schemas.openxmlformats.org/officeDocument/2006/relationships/hyperlink" Target="http://www.sec.gov/Archives/edgar/data/1162194/000119312522096290/d314141dex37.htm" TargetMode="External"/><Relationship Id="rId92" Type="http://schemas.openxmlformats.org/officeDocument/2006/relationships/hyperlink" Target="http://www.sec.gov/Archives/edgar/data/1162194/000119312522093794/d300506dex49.htm" TargetMode="External"/><Relationship Id="rId93" Type="http://schemas.openxmlformats.org/officeDocument/2006/relationships/hyperlink" Target="http://www.sec.gov/Archives/edgar/data/1162194/000119312522093794/d300506dex991.htm" TargetMode="External"/><Relationship Id="rId94" Type="http://schemas.openxmlformats.org/officeDocument/2006/relationships/hyperlink" Target="http://www.sec.gov/Archives/edgar/data/1162194/000119312522093794/d300506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2022-08-09T18:09:28Z</dcterms:created>
  <dcterms:modified xsi:type="dcterms:W3CDTF">2022-08-09T18:09:28Z</dcterms:modified>
</cp:coreProperties>
</file>