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3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397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Caligan Partners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05/07/2021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FLUIDIGM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FLDM</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590 MADISON AVENUE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10022</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Arial" w:cs="Arial" w:eastAsia="Arial" w:hAnsi="Arial"/>
                <w:sz w:val="20"/>
                <w:szCs w:val="20"/>
                <w:color w:val="0000FF"/>
              </w:rPr>
              <w:t>Common Stock, $0.001 par value per share</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8,380,265</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Caligan Partners LP</w:t>
              </w:r>
            </w:hyperlink>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20"/>
                <w:szCs w:val="20"/>
                <w:color w:val="0000FF"/>
              </w:rPr>
              <w:t>590 MADISON AVENUE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3"/>
          </w:tcPr>
          <w:p>
            <w:pPr>
              <w:ind w:left="120"/>
              <w:spacing w:after="0"/>
              <w:rPr>
                <w:sz w:val="20"/>
                <w:szCs w:val="20"/>
                <w:color w:val="auto"/>
              </w:rPr>
            </w:pPr>
            <w:r>
              <w:rPr>
                <w:rFonts w:ascii="Arial" w:cs="Arial" w:eastAsia="Arial" w:hAnsi="Arial"/>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JOHNSON DAVID EDWARD</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20"/>
                <w:szCs w:val="20"/>
                <w:color w:val="0000FF"/>
              </w:rPr>
              <w:t>590 MADISON AVENUE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3"/>
          </w:tcPr>
          <w:p>
            <w:pPr>
              <w:ind w:left="120"/>
              <w:spacing w:after="0"/>
              <w:rPr>
                <w:sz w:val="20"/>
                <w:szCs w:val="20"/>
                <w:color w:val="auto"/>
              </w:rPr>
            </w:pPr>
            <w:r>
              <w:rPr>
                <w:rFonts w:ascii="Arial" w:cs="Arial" w:eastAsia="Arial" w:hAnsi="Arial"/>
                <w:sz w:val="20"/>
                <w:szCs w:val="20"/>
                <w:color w:val="0000FF"/>
              </w:rPr>
              <w:t>10022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10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Form 3 is filed by Caligan Partners LP ("Caligan") and David Johnson with respect to the securities held by an affiliated fund and managed account to which Caligan serves as investment manager. David Johnson is the Partner of Caligan and a Managing Member of Caligan Partners GP LLC, the general partner of Caligan.</w:t>
      </w:r>
    </w:p>
    <w:p>
      <w:pPr>
        <w:sectPr>
          <w:pgSz w:w="11900" w:h="16838" w:orient="portrait"/>
          <w:cols w:equalWidth="0" w:num="1">
            <w:col w:w="10940"/>
          </w:cols>
          <w:pgMar w:left="480" w:top="236" w:right="479" w:bottom="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6" w:right="479" w:bottom="0" w:gutter="0" w:footer="0" w:header="0"/>
          <w:type w:val="continuous"/>
        </w:sectPr>
      </w:pPr>
    </w:p>
    <w:bookmarkStart w:id="1" w:name="page2"/>
    <w:bookmarkEnd w:id="1"/>
    <w:p>
      <w:pPr>
        <w:ind w:right="220"/>
        <w:spacing w:after="0" w:line="269" w:lineRule="auto"/>
        <w:rPr>
          <w:sz w:val="20"/>
          <w:szCs w:val="20"/>
          <w:color w:val="auto"/>
        </w:rPr>
      </w:pPr>
      <w:r>
        <w:rPr>
          <w:rFonts w:ascii="Arial" w:cs="Arial" w:eastAsia="Arial" w:hAnsi="Arial"/>
          <w:sz w:val="14"/>
          <w:szCs w:val="14"/>
          <w:color w:val="008000"/>
        </w:rPr>
        <w:t>Each Reporting Person disclaims beneficial ownership in the securities reported on this Form 3 except to the extent of its or his pecuniary interest, if any, therein, and this report shall not be deemed to be an admission that such Reporting Person is the beneficial owner of such securities for purposes of Section 16 or for any other purpose.</w:t>
      </w:r>
    </w:p>
    <w:p>
      <w:pPr>
        <w:ind w:left="6540"/>
        <w:spacing w:after="0"/>
        <w:tabs>
          <w:tab w:leader="none" w:pos="8700" w:val="left"/>
        </w:tabs>
        <w:rPr>
          <w:sz w:val="20"/>
          <w:szCs w:val="20"/>
          <w:color w:val="auto"/>
        </w:rPr>
      </w:pPr>
      <w:r>
        <w:rPr>
          <w:rFonts w:ascii="Arial" w:cs="Arial" w:eastAsia="Arial" w:hAnsi="Arial"/>
          <w:sz w:val="20"/>
          <w:szCs w:val="20"/>
          <w:color w:val="0000FF"/>
        </w:rPr>
        <w:t>Caligan Partners LP, By:</w:t>
      </w:r>
      <w:r>
        <w:rPr>
          <w:sz w:val="20"/>
          <w:szCs w:val="20"/>
          <w:color w:val="auto"/>
        </w:rPr>
        <w:tab/>
      </w:r>
      <w:r>
        <w:rPr>
          <w:rFonts w:ascii="Arial" w:cs="Arial" w:eastAsia="Arial" w:hAnsi="Arial"/>
          <w:sz w:val="26"/>
          <w:szCs w:val="26"/>
          <w:color w:val="0000FF"/>
          <w:vertAlign w:val="subscript"/>
        </w:rPr>
        <w:t>05/10/2021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-20955</wp:posOffset>
            </wp:positionV>
            <wp:extent cx="12249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 David Johnson,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3074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307465"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David Edward Johnson  05/10/2021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0" Type="http://schemas.openxmlformats.org/officeDocument/2006/relationships/hyperlink" Target="http://www.sec.gov/cgi-bin/browse-edgar?action=getcompany&amp;CIK=0001727492" TargetMode="External"/><Relationship Id="rId11" Type="http://schemas.openxmlformats.org/officeDocument/2006/relationships/hyperlink" Target="http://www.sec.gov/cgi-bin/browse-edgar?action=getcompany&amp;CIK=0001162194" TargetMode="External"/><Relationship Id="rId12"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2021-05-10T15:54:08Z</dcterms:created>
  <dcterms:modified xsi:type="dcterms:W3CDTF">2021-05-10T15:54:08Z</dcterms:modified>
</cp:coreProperties>
</file>