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Mackay Sean</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05/28/2025</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&amp; Chief Business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23,919</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819,157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March 21, 2025, which grant was originally reported on Form 4 filed with the U.S. Securities and Exchange Commission on March 24, 2025.</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Sean Mackay by Tomone</w:t>
            </w:r>
          </w:p>
        </w:tc>
        <w:tc>
          <w:tcPr>
            <w:tcW w:w="12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05/30/2025</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Tanaka, Attorney-in-Fact</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501"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2025-05-30T16:53:15Z</dcterms:created>
  <dcterms:modified xsi:type="dcterms:W3CDTF">2025-05-30T16:53:15Z</dcterms:modified>
</cp:coreProperties>
</file>