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148590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August 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FLUIDIGM CORPORATION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300"/>
          </w:cols>
          <w:pgMar w:left="240" w:top="693" w:right="35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4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120" w:space="720"/>
            <w:col w:w="3360" w:space="720"/>
            <w:col w:w="2380"/>
          </w:cols>
          <w:pgMar w:left="240" w:top="693" w:right="359" w:bottom="1440" w:gutter="0" w:footer="0" w:header="0"/>
          <w:type w:val="continuous"/>
        </w:sectPr>
      </w:pP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7000 Shoreline Court, Suite 100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1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00"/>
          </w:cols>
          <w:pgMar w:left="240" w:top="693" w:right="359" w:bottom="1440" w:gutter="0" w:footer="0" w:header="0"/>
          <w:type w:val="continuous"/>
        </w:sectPr>
      </w:pPr>
    </w:p>
    <w:p>
      <w:pPr>
        <w:spacing w:after="0" w:line="24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776605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693"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On August 3, 2017, Fluidigm Corporation (the “Company”), entered into a Sales Agreement (the “Sales Agreement”) with Cowen and Company, LLC (“Cowen”) to sell shares of the Company’s common stock, par value $0.001 per share, having aggregate sales proceeds of up to $30 million, from time to time, through an “at the market” equity offering program under which Cowen will act as sales agent.</w:t>
      </w:r>
    </w:p>
    <w:p>
      <w:pPr>
        <w:spacing w:after="0" w:line="18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Under the Sales Agreement, the Company will set the parameters for the sale of shares, including the number of shares to be issued, the time period during which sales are requested to be made, limitation on the number of shares that may be sold in any one trading day and any minimum price below which sales may not be made. Subject to the terms and conditions of the Sales Agreement, Cowen may sell the shares by methods deemed to be an “at-the-market” offering as defined in Rule 415 promulgated under the Securities Act of 1933, as amended, including sales made (i) directly on The NASDAQ Global Select Market, (ii) on any other existing trading market for the common stock or (iii) to or through a market maker. Cowen will use commercially reasonable efforts in conducting such sales activities consistent with its normal trading and sales practices, applicable state and federal laws, rules and regulations and the rules of The NASDAQ Global Select Market The Sales Agreement may be terminated by the Company upon five days’ notice to Cowen for any reason or by Cowen upon five days’ notice to the Company for any reason or immediately under certain circumstances, including but not limited to the occurrence of a material adverse change in the Company. Under the terms of the Sales Agreement, the Company may also sell shares to Cowen acting as principal for Cowen’s own account at prices agreed upon at the time of sale.</w:t>
      </w:r>
    </w:p>
    <w:p>
      <w:pPr>
        <w:spacing w:after="0" w:line="17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Sales Agreement provides that Cowen will be entitled to compensation for its services that will not exceed, but may be lower than, 3.0% of the gross sales price per share of all shares sold through Cowen under the Sales Agreement. The Company has no obligation to sell any shares under the Sales Agreement, and may at any time suspend solicitation and offers under the Sales Agreement.</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shares will be issued pursuant to the Company’s effective shelf registration statement on Form S-3 (File No. 333-216542), as amended. The Company filed a prospectus supplement (the “Prospectus Supplement”), dated August 3, 2017, with the Securities and Exchange Commission in connection with the offer and sale of the shares pursuant to the Sales Agreement.</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foregoing description of the Sales Agreement is not complete and is qualified in its entirety by reference to the full text of such agreement, a copy of which is filed herewith as Exhibit 1.1 to this Current Report on Form 8-K and is incorporated herein by reference.</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legal opinion of Wilson Sonsini Goodrich &amp; Rosati, Professional Corporation relating to the shares of common stock being offered is filed as Exhibit 5.1 to this Current Report on Form 8-K.</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This Current Report shall not constitute an offer to sell or the solicitation of an offer to buy the securities discussed herein, nor shall there be any sale of such securities in any state or jurisdiction in which such offer, solicitation or sale would be unlawful prior to registration or qualification under the securities laws of any such state or jurisdiction.</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4"/>
          </w:tcPr>
          <w:p>
            <w:pPr>
              <w:spacing w:after="0"/>
              <w:rPr>
                <w:sz w:val="20"/>
                <w:szCs w:val="20"/>
                <w:color w:val="auto"/>
              </w:rPr>
            </w:pPr>
            <w:r>
              <w:rPr>
                <w:rFonts w:ascii="Arial" w:cs="Arial" w:eastAsia="Arial" w:hAnsi="Arial"/>
                <w:sz w:val="18"/>
                <w:szCs w:val="18"/>
                <w:color w:val="auto"/>
              </w:rPr>
              <w:t>(d) Exhibits.</w:t>
            </w: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4"/>
                <w:szCs w:val="24"/>
                <w:color w:val="auto"/>
              </w:rPr>
            </w:pPr>
          </w:p>
        </w:tc>
        <w:tc>
          <w:tcPr>
            <w:tcW w:w="10040" w:type="dxa"/>
            <w:vAlign w:val="bottom"/>
            <w:tcBorders>
              <w:bottom w:val="single" w:sz="8" w:color="auto"/>
            </w:tcBorders>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240" w:type="dxa"/>
            <w:vAlign w:val="bottom"/>
          </w:tcPr>
          <w:p>
            <w:pPr>
              <w:spacing w:after="0" w:line="195" w:lineRule="exact"/>
              <w:rPr>
                <w:sz w:val="20"/>
                <w:szCs w:val="20"/>
                <w:color w:val="auto"/>
              </w:rPr>
            </w:pPr>
            <w:r>
              <w:rPr>
                <w:rFonts w:ascii="Arial" w:cs="Arial" w:eastAsia="Arial" w:hAnsi="Arial"/>
                <w:sz w:val="18"/>
                <w:szCs w:val="18"/>
                <w:color w:val="auto"/>
                <w:w w:val="87"/>
              </w:rPr>
              <w:t>1.1</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Pr>
          <w:p>
            <w:pPr>
              <w:spacing w:after="0" w:line="195" w:lineRule="exact"/>
              <w:rPr>
                <w:sz w:val="20"/>
                <w:szCs w:val="20"/>
                <w:color w:val="auto"/>
              </w:rPr>
            </w:pPr>
            <w:r>
              <w:rPr>
                <w:rFonts w:ascii="Arial" w:cs="Arial" w:eastAsia="Arial" w:hAnsi="Arial"/>
                <w:sz w:val="18"/>
                <w:szCs w:val="18"/>
                <w:color w:val="auto"/>
              </w:rPr>
              <w:t>Sales Agreement, dated as of August 3, 2017, between Fluidigm Corporation and Cowen and Company, LLC.</w:t>
            </w:r>
          </w:p>
        </w:tc>
      </w:tr>
      <w:tr>
        <w:trPr>
          <w:trHeight w:val="216"/>
        </w:trPr>
        <w:tc>
          <w:tcPr>
            <w:tcW w:w="260" w:type="dxa"/>
            <w:vAlign w:val="bottom"/>
            <w:gridSpan w:val="2"/>
          </w:tcPr>
          <w:p>
            <w:pPr>
              <w:spacing w:after="0"/>
              <w:rPr>
                <w:sz w:val="20"/>
                <w:szCs w:val="20"/>
                <w:color w:val="auto"/>
              </w:rPr>
            </w:pPr>
            <w:r>
              <w:rPr>
                <w:rFonts w:ascii="Arial" w:cs="Arial" w:eastAsia="Arial" w:hAnsi="Arial"/>
                <w:sz w:val="18"/>
                <w:szCs w:val="18"/>
                <w:color w:val="auto"/>
                <w:w w:val="95"/>
              </w:rPr>
              <w:t>5.1</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Opinion of Wilson Sonsini Goodrich &amp; Rosati, Professional Corporation.</w:t>
            </w:r>
          </w:p>
        </w:tc>
      </w:tr>
      <w:tr>
        <w:trPr>
          <w:trHeight w:val="230"/>
        </w:trPr>
        <w:tc>
          <w:tcPr>
            <w:tcW w:w="860" w:type="dxa"/>
            <w:vAlign w:val="bottom"/>
            <w:gridSpan w:val="3"/>
          </w:tcPr>
          <w:p>
            <w:pPr>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Consent of Wilson Sonsini Goodrich &amp; Rosati, Professional Corporation (included in Exhibit 5.1).</w:t>
            </w:r>
          </w:p>
        </w:tc>
      </w:tr>
      <w:tr>
        <w:trPr>
          <w:trHeight w:val="648"/>
        </w:trPr>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gridSpan w:val="2"/>
          </w:tcPr>
          <w:p>
            <w:pPr>
              <w:jc w:val="right"/>
              <w:ind w:right="551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6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FLUIDIGM CORPORATION</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August 3, 2017</w:t>
            </w:r>
          </w:p>
        </w:tc>
        <w:tc>
          <w:tcPr>
            <w:tcW w:w="7920" w:type="dxa"/>
            <w:vAlign w:val="bottom"/>
            <w:gridSpan w:val="2"/>
          </w:tcPr>
          <w:p>
            <w:pPr>
              <w:ind w:left="1920"/>
              <w:spacing w:after="0"/>
              <w:rPr>
                <w:sz w:val="20"/>
                <w:szCs w:val="20"/>
                <w:color w:val="auto"/>
              </w:rPr>
            </w:pPr>
            <w:r>
              <w:rPr>
                <w:rFonts w:ascii="Arial" w:cs="Arial" w:eastAsia="Arial" w:hAnsi="Arial"/>
                <w:sz w:val="18"/>
                <w:szCs w:val="18"/>
                <w:color w:val="auto"/>
              </w:rPr>
              <w:t>By: /s/ Nicholas Khadder</w:t>
            </w: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Nicholas Khadder</w:t>
            </w: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Senior Vice President, Legal Affairs, General Counsel, and Secretary</w:t>
            </w:r>
          </w:p>
        </w:tc>
      </w:tr>
      <w:tr>
        <w:trPr>
          <w:trHeight w:val="675"/>
        </w:trPr>
        <w:tc>
          <w:tcPr>
            <w:tcW w:w="35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20" w:type="dxa"/>
            <w:vAlign w:val="bottom"/>
          </w:tcPr>
          <w:p>
            <w:pPr>
              <w:spacing w:after="0"/>
              <w:rPr>
                <w:sz w:val="24"/>
                <w:szCs w:val="24"/>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4"/>
                <w:szCs w:val="24"/>
                <w:color w:val="auto"/>
              </w:rPr>
            </w:pPr>
          </w:p>
        </w:tc>
        <w:tc>
          <w:tcPr>
            <w:tcW w:w="10040" w:type="dxa"/>
            <w:vAlign w:val="bottom"/>
            <w:tcBorders>
              <w:bottom w:val="single" w:sz="8" w:color="auto"/>
            </w:tcBorders>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1140" w:type="dxa"/>
            <w:vAlign w:val="bottom"/>
          </w:tcPr>
          <w:p>
            <w:pPr>
              <w:spacing w:after="0" w:line="195"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6"/>
                <w:szCs w:val="16"/>
                <w:color w:val="auto"/>
              </w:rPr>
            </w:pPr>
          </w:p>
        </w:tc>
        <w:tc>
          <w:tcPr>
            <w:tcW w:w="10040" w:type="dxa"/>
            <w:vAlign w:val="bottom"/>
          </w:tcPr>
          <w:p>
            <w:pPr>
              <w:spacing w:after="0" w:line="195" w:lineRule="exact"/>
              <w:rPr>
                <w:sz w:val="20"/>
                <w:szCs w:val="20"/>
                <w:color w:val="auto"/>
              </w:rPr>
            </w:pPr>
            <w:r>
              <w:rPr>
                <w:rFonts w:ascii="Arial" w:cs="Arial" w:eastAsia="Arial" w:hAnsi="Arial"/>
                <w:sz w:val="18"/>
                <w:szCs w:val="18"/>
                <w:color w:val="auto"/>
              </w:rPr>
              <w:t>Sales Agreement, dated as of August 3, 2017, between Fluidigm Corporation and Cowen and Company, LLC.</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Opinion of Wilson Sonsini Goodrich &amp; Rosati, Professional Corporation.</w:t>
            </w: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Consent of Wilson Sonsini Goodrich &amp; Rosati, Professional Corporation (included in Exhibit 5.1).</w:t>
            </w:r>
          </w:p>
        </w:tc>
      </w:tr>
      <w:tr>
        <w:trPr>
          <w:trHeight w:val="675"/>
        </w:trPr>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$30.0 MILLION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SALES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August </w:t>
      </w:r>
      <w:r>
        <w:rPr>
          <w:rFonts w:ascii="Arial" w:cs="Arial" w:eastAsia="Arial" w:hAnsi="Arial"/>
          <w:sz w:val="18"/>
          <w:szCs w:val="18"/>
          <w:b w:val="1"/>
          <w:bCs w:val="1"/>
          <w:color w:val="auto"/>
        </w:rPr>
        <w:t>3</w:t>
      </w:r>
      <w:r>
        <w:rPr>
          <w:rFonts w:ascii="Arial" w:cs="Arial" w:eastAsia="Arial" w:hAnsi="Arial"/>
          <w:sz w:val="18"/>
          <w:szCs w:val="18"/>
          <w:color w:val="auto"/>
        </w:rPr>
        <w:t>,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Fluidigm Corporation,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confirms its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with Cowen and Company, LLC (“</w:t>
      </w:r>
      <w:r>
        <w:rPr>
          <w:rFonts w:ascii="Arial" w:cs="Arial" w:eastAsia="Arial" w:hAnsi="Arial"/>
          <w:sz w:val="18"/>
          <w:szCs w:val="18"/>
          <w:b w:val="1"/>
          <w:bCs w:val="1"/>
          <w:u w:val="single" w:color="auto"/>
          <w:color w:val="auto"/>
        </w:rPr>
        <w:t>Cowen</w:t>
      </w:r>
      <w:r>
        <w:rPr>
          <w:rFonts w:ascii="Arial" w:cs="Arial" w:eastAsia="Arial" w:hAnsi="Arial"/>
          <w:sz w:val="18"/>
          <w:szCs w:val="18"/>
          <w:color w:val="auto"/>
        </w:rPr>
        <w:t>”), as follows:</w:t>
      </w:r>
    </w:p>
    <w:p>
      <w:pPr>
        <w:spacing w:after="0" w:line="166" w:lineRule="exact"/>
        <w:rPr>
          <w:sz w:val="20"/>
          <w:szCs w:val="20"/>
          <w:color w:val="auto"/>
        </w:rPr>
      </w:pPr>
    </w:p>
    <w:p>
      <w:pPr>
        <w:jc w:val="both"/>
        <w:ind w:firstLine="656"/>
        <w:spacing w:after="0" w:line="290" w:lineRule="auto"/>
        <w:tabs>
          <w:tab w:leader="none" w:pos="1449"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Issuance and Sale of Shares</w:t>
      </w:r>
      <w:r>
        <w:rPr>
          <w:rFonts w:ascii="Arial" w:cs="Arial" w:eastAsia="Arial" w:hAnsi="Arial"/>
          <w:sz w:val="16"/>
          <w:szCs w:val="16"/>
          <w:color w:val="auto"/>
        </w:rPr>
        <w:t>. The Company agrees that, from time to time during the term of this Agreement, on the terms and subject to the conditions set forth herein, it may issue and sell through Cowen, acting as agent and/or principal, shares of the Company’s common stock, par value $0.001 per share (the “</w:t>
      </w:r>
      <w:r>
        <w:rPr>
          <w:rFonts w:ascii="Arial" w:cs="Arial" w:eastAsia="Arial" w:hAnsi="Arial"/>
          <w:sz w:val="16"/>
          <w:szCs w:val="16"/>
          <w:b w:val="1"/>
          <w:bCs w:val="1"/>
          <w:u w:val="single" w:color="auto"/>
          <w:color w:val="auto"/>
        </w:rPr>
        <w:t>Common Stock</w:t>
      </w:r>
      <w:r>
        <w:rPr>
          <w:rFonts w:ascii="Arial" w:cs="Arial" w:eastAsia="Arial" w:hAnsi="Arial"/>
          <w:sz w:val="16"/>
          <w:szCs w:val="16"/>
          <w:color w:val="auto"/>
        </w:rPr>
        <w:t>”), having an aggregate offering price of up to $30.0 million (the “</w:t>
      </w:r>
      <w:r>
        <w:rPr>
          <w:rFonts w:ascii="Arial" w:cs="Arial" w:eastAsia="Arial" w:hAnsi="Arial"/>
          <w:sz w:val="16"/>
          <w:szCs w:val="16"/>
          <w:b w:val="1"/>
          <w:bCs w:val="1"/>
          <w:u w:val="single" w:color="auto"/>
          <w:color w:val="auto"/>
        </w:rPr>
        <w:t>Placement Shares</w:t>
      </w:r>
      <w:r>
        <w:rPr>
          <w:rFonts w:ascii="Arial" w:cs="Arial" w:eastAsia="Arial" w:hAnsi="Arial"/>
          <w:sz w:val="16"/>
          <w:szCs w:val="16"/>
          <w:color w:val="auto"/>
        </w:rPr>
        <w:t xml:space="preserve">”). Notwithstanding anything to the contrary contained herein, the parties hereto agree that compliance with the limitation set forth in 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on the number of shares of Common Stock issued and sold under this Agreement shall be the sole responsibility of the Company, and Cowen shall have no obligation in connection with such compliance. The issuance and sale of Common Stock through Cowen will be effected pursuant to the Registration Statement (as defined below) filed by the Company and declared effective by the Securities and Exchange Commission (the “</w:t>
      </w:r>
      <w:r>
        <w:rPr>
          <w:rFonts w:ascii="Arial" w:cs="Arial" w:eastAsia="Arial" w:hAnsi="Arial"/>
          <w:sz w:val="16"/>
          <w:szCs w:val="16"/>
          <w:b w:val="1"/>
          <w:bCs w:val="1"/>
          <w:u w:val="single" w:color="auto"/>
          <w:color w:val="auto"/>
        </w:rPr>
        <w:t>Commission</w:t>
      </w:r>
      <w:r>
        <w:rPr>
          <w:rFonts w:ascii="Arial" w:cs="Arial" w:eastAsia="Arial" w:hAnsi="Arial"/>
          <w:sz w:val="16"/>
          <w:szCs w:val="16"/>
          <w:color w:val="auto"/>
        </w:rPr>
        <w:t>”), although nothing in this Agreement shall be construed as requiring the Company to use the Registration Statement (as defined below) to issue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both"/>
        <w:ind w:firstLine="1297"/>
        <w:spacing w:after="0" w:line="284" w:lineRule="auto"/>
        <w:rPr>
          <w:sz w:val="20"/>
          <w:szCs w:val="20"/>
          <w:color w:val="auto"/>
        </w:rPr>
      </w:pPr>
      <w:r>
        <w:rPr>
          <w:rFonts w:ascii="Arial" w:cs="Arial" w:eastAsia="Arial" w:hAnsi="Arial"/>
          <w:sz w:val="16"/>
          <w:szCs w:val="16"/>
          <w:color w:val="auto"/>
        </w:rPr>
        <w:t>The Company has filed, in accordance with the provisions of the Securities Act of 1933, as amended, and the rules and regulations thereunder (collectively, the “</w:t>
      </w:r>
      <w:r>
        <w:rPr>
          <w:rFonts w:ascii="Arial" w:cs="Arial" w:eastAsia="Arial" w:hAnsi="Arial"/>
          <w:sz w:val="16"/>
          <w:szCs w:val="16"/>
          <w:b w:val="1"/>
          <w:bCs w:val="1"/>
          <w:u w:val="single" w:color="auto"/>
          <w:color w:val="auto"/>
        </w:rPr>
        <w:t>Securities Act</w:t>
      </w:r>
      <w:r>
        <w:rPr>
          <w:rFonts w:ascii="Arial" w:cs="Arial" w:eastAsia="Arial" w:hAnsi="Arial"/>
          <w:sz w:val="16"/>
          <w:szCs w:val="16"/>
          <w:color w:val="auto"/>
        </w:rPr>
        <w:t>”), with the Commission a registration statement on Form S-3, as amended, (File No. 333-216542), including a base prospectus,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The Company has prepared a prospectus supplement specifically relating to the Placement Shares (the “</w:t>
      </w:r>
      <w:r>
        <w:rPr>
          <w:rFonts w:ascii="Arial" w:cs="Arial" w:eastAsia="Arial" w:hAnsi="Arial"/>
          <w:sz w:val="16"/>
          <w:szCs w:val="16"/>
          <w:b w:val="1"/>
          <w:bCs w:val="1"/>
          <w:u w:val="single" w:color="auto"/>
          <w:color w:val="auto"/>
        </w:rPr>
        <w:t>Prospectus Supplement</w:t>
      </w:r>
      <w:r>
        <w:rPr>
          <w:rFonts w:ascii="Arial" w:cs="Arial" w:eastAsia="Arial" w:hAnsi="Arial"/>
          <w:sz w:val="16"/>
          <w:szCs w:val="16"/>
          <w:color w:val="auto"/>
        </w:rPr>
        <w:t>”) to the base prospectus included as part of such registration statement. The Company has furnished to Cowen, for use by Cowen, copies of the base prospectus included as part of such registration statement, as supplemented by the Prospectus Supplement relating to the Placement Shares. Except where the context otherwise requires, such registration statement, as amended when it became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 Act, is herein called the “</w:t>
      </w:r>
      <w:r>
        <w:rPr>
          <w:rFonts w:ascii="Arial" w:cs="Arial" w:eastAsia="Arial" w:hAnsi="Arial"/>
          <w:sz w:val="16"/>
          <w:szCs w:val="16"/>
          <w:b w:val="1"/>
          <w:bCs w:val="1"/>
          <w:u w:val="single" w:color="auto"/>
          <w:color w:val="auto"/>
        </w:rPr>
        <w:t>Registration Statement</w:t>
      </w:r>
      <w:r>
        <w:rPr>
          <w:rFonts w:ascii="Arial" w:cs="Arial" w:eastAsia="Arial" w:hAnsi="Arial"/>
          <w:sz w:val="16"/>
          <w:szCs w:val="16"/>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“issuer free writing prospectus,” as defined in Rule 433 of the Securities Act regulations (“</w:t>
      </w:r>
      <w:r>
        <w:rPr>
          <w:rFonts w:ascii="Arial" w:cs="Arial" w:eastAsia="Arial" w:hAnsi="Arial"/>
          <w:sz w:val="16"/>
          <w:szCs w:val="16"/>
          <w:b w:val="1"/>
          <w:bCs w:val="1"/>
          <w:u w:val="single" w:color="auto"/>
          <w:color w:val="auto"/>
        </w:rPr>
        <w:t>Rule 433</w:t>
      </w:r>
      <w:r>
        <w:rPr>
          <w:rFonts w:ascii="Arial" w:cs="Arial" w:eastAsia="Arial" w:hAnsi="Arial"/>
          <w:sz w:val="16"/>
          <w:szCs w:val="16"/>
          <w:color w:val="auto"/>
        </w:rPr>
        <w:t>”), relating to the Placement Shares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Arial" w:cs="Arial" w:eastAsia="Arial" w:hAnsi="Arial"/>
          <w:sz w:val="16"/>
          <w:szCs w:val="16"/>
          <w:b w:val="1"/>
          <w:bCs w:val="1"/>
          <w:u w:val="single" w:color="auto"/>
          <w:color w:val="auto"/>
        </w:rPr>
        <w:t>Prospectus</w:t>
      </w:r>
      <w:r>
        <w:rPr>
          <w:rFonts w:ascii="Arial" w:cs="Arial" w:eastAsia="Arial" w:hAnsi="Arial"/>
          <w:sz w:val="16"/>
          <w:szCs w:val="16"/>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or any successor thereto (collectively, “</w:t>
      </w:r>
      <w:r>
        <w:rPr>
          <w:rFonts w:ascii="Arial" w:cs="Arial" w:eastAsia="Arial" w:hAnsi="Arial"/>
          <w:sz w:val="16"/>
          <w:szCs w:val="16"/>
          <w:b w:val="1"/>
          <w:bCs w:val="1"/>
          <w:u w:val="single" w:color="auto"/>
          <w:color w:val="auto"/>
        </w:rPr>
        <w:t>EDGAR</w:t>
      </w:r>
      <w:r>
        <w:rPr>
          <w:rFonts w:ascii="Arial" w:cs="Arial" w:eastAsia="Arial" w:hAnsi="Arial"/>
          <w:sz w:val="16"/>
          <w:szCs w:val="16"/>
          <w:color w:val="auto"/>
        </w:rPr>
        <w:t>”).</w:t>
      </w:r>
    </w:p>
    <w:p>
      <w:pPr>
        <w:spacing w:after="0" w:line="394" w:lineRule="exact"/>
        <w:rPr>
          <w:sz w:val="20"/>
          <w:szCs w:val="20"/>
          <w:color w:val="auto"/>
        </w:rPr>
      </w:pPr>
    </w:p>
    <w:p>
      <w:pPr>
        <w:jc w:val="both"/>
        <w:ind w:firstLine="656"/>
        <w:spacing w:after="0" w:line="285" w:lineRule="auto"/>
        <w:tabs>
          <w:tab w:leader="none" w:pos="1472"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Placements</w:t>
      </w:r>
      <w:r>
        <w:rPr>
          <w:rFonts w:ascii="Arial" w:cs="Arial" w:eastAsia="Arial" w:hAnsi="Arial"/>
          <w:sz w:val="16"/>
          <w:szCs w:val="16"/>
          <w:color w:val="auto"/>
        </w:rPr>
        <w:t>. Each time that the Company wishes to issue and sell the Placement Shares hereunder (each, a “</w:t>
      </w:r>
      <w:r>
        <w:rPr>
          <w:rFonts w:ascii="Arial" w:cs="Arial" w:eastAsia="Arial" w:hAnsi="Arial"/>
          <w:sz w:val="16"/>
          <w:szCs w:val="16"/>
          <w:b w:val="1"/>
          <w:bCs w:val="1"/>
          <w:u w:val="single" w:color="auto"/>
          <w:color w:val="auto"/>
        </w:rPr>
        <w:t>Placement</w:t>
      </w:r>
      <w:r>
        <w:rPr>
          <w:rFonts w:ascii="Arial" w:cs="Arial" w:eastAsia="Arial" w:hAnsi="Arial"/>
          <w:sz w:val="16"/>
          <w:szCs w:val="16"/>
          <w:color w:val="auto"/>
        </w:rPr>
        <w:t>”), it will notify Cowen by email notice (or other method mutually agreed to in writing by the parties) (a “</w:t>
      </w:r>
      <w:r>
        <w:rPr>
          <w:rFonts w:ascii="Arial" w:cs="Arial" w:eastAsia="Arial" w:hAnsi="Arial"/>
          <w:sz w:val="16"/>
          <w:szCs w:val="16"/>
          <w:b w:val="1"/>
          <w:bCs w:val="1"/>
          <w:u w:val="single" w:color="auto"/>
          <w:color w:val="auto"/>
        </w:rPr>
        <w:t>Placement Notice</w:t>
      </w:r>
      <w:r>
        <w:rPr>
          <w:rFonts w:ascii="Arial" w:cs="Arial" w:eastAsia="Arial" w:hAnsi="Arial"/>
          <w:sz w:val="16"/>
          <w:szCs w:val="16"/>
          <w:color w:val="auto"/>
        </w:rPr>
        <w:t xml:space="preserve">”) containing the parameters in accordance with which it desires the Placement Shares to be sold, which shall at a minimum include the number of Placement Shares to be issued, the time period during which sales are requested to be made, any limitation on the number of Placement Shares that may be sold in any one Trading Day (as defined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and any minimum price below which sales may not be made, a form of which containing such minimum sales parameters necessary is attached hereto as </w:t>
      </w:r>
      <w:r>
        <w:rPr>
          <w:rFonts w:ascii="Arial" w:cs="Arial" w:eastAsia="Arial" w:hAnsi="Arial"/>
          <w:sz w:val="16"/>
          <w:szCs w:val="16"/>
          <w:b w:val="1"/>
          <w:bCs w:val="1"/>
          <w:u w:val="single" w:color="auto"/>
          <w:color w:val="auto"/>
        </w:rPr>
        <w:t>Schedule 1</w:t>
      </w:r>
      <w:r>
        <w:rPr>
          <w:rFonts w:ascii="Arial" w:cs="Arial" w:eastAsia="Arial" w:hAnsi="Arial"/>
          <w:sz w:val="16"/>
          <w:szCs w:val="16"/>
          <w:color w:val="auto"/>
        </w:rPr>
        <w:t>. The Placement Notice shall originate from any of the individuals from the Company set forth on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2</w:t>
      </w:r>
      <w:r>
        <w:rPr>
          <w:rFonts w:ascii="Arial" w:cs="Arial" w:eastAsia="Arial" w:hAnsi="Arial"/>
          <w:sz w:val="16"/>
          <w:szCs w:val="16"/>
          <w:b w:val="1"/>
          <w:bCs w:val="1"/>
          <w:color w:val="auto"/>
        </w:rPr>
        <w:t xml:space="preserve"> </w:t>
      </w:r>
      <w:r>
        <w:rPr>
          <w:rFonts w:ascii="Arial" w:cs="Arial" w:eastAsia="Arial" w:hAnsi="Arial"/>
          <w:sz w:val="16"/>
          <w:szCs w:val="16"/>
          <w:color w:val="auto"/>
        </w:rPr>
        <w:t>(with a copy to each of the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individuals from the Company listed on such schedule), and shall be addressed to each of the individuals from Cowen set forth on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as such </w:t>
      </w:r>
      <w:r>
        <w:rPr>
          <w:rFonts w:ascii="Arial" w:cs="Arial" w:eastAsia="Arial" w:hAnsi="Arial"/>
          <w:sz w:val="16"/>
          <w:szCs w:val="16"/>
          <w:b w:val="1"/>
          <w:bCs w:val="1"/>
          <w:u w:val="single" w:color="auto"/>
          <w:color w:val="auto"/>
        </w:rPr>
        <w:t>Schedule 2</w:t>
      </w:r>
      <w:r>
        <w:rPr>
          <w:rFonts w:ascii="Arial" w:cs="Arial" w:eastAsia="Arial" w:hAnsi="Arial"/>
          <w:sz w:val="16"/>
          <w:szCs w:val="16"/>
          <w:b w:val="1"/>
          <w:bCs w:val="1"/>
          <w:color w:val="auto"/>
        </w:rPr>
        <w:t xml:space="preserve"> </w:t>
      </w:r>
      <w:r>
        <w:rPr>
          <w:rFonts w:ascii="Arial" w:cs="Arial" w:eastAsia="Arial" w:hAnsi="Arial"/>
          <w:sz w:val="16"/>
          <w:szCs w:val="16"/>
          <w:color w:val="auto"/>
        </w:rPr>
        <w:t>may be amended from time to time. The Placement Notice shall be effective upon receipt by Cowen unless and until (i)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notice requirements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Cowen declines to accept the terms contained therein for any reason, in its sole discretion, (ii) the entire amount of the Placement Shares thereunder have been sold, (iii) in accordance with the notice requirements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the Company suspends or terminates the Placement Notice for any reason, in its sole discretion, (iv) the Company issues a subsequent Placement Notice with parameters superseding those in the earlier dated Placement Notice for any reason, or (v) this Agreement has been terminated under the provisions of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The amount of any discount, commission or other compensation to be paid by the Company to Cowen in connection with the sale of the Placement Shares shall be calculated in accordance with the terms set forth in </w:t>
      </w:r>
      <w:r>
        <w:rPr>
          <w:rFonts w:ascii="Arial" w:cs="Arial" w:eastAsia="Arial" w:hAnsi="Arial"/>
          <w:sz w:val="16"/>
          <w:szCs w:val="16"/>
          <w:b w:val="1"/>
          <w:bCs w:val="1"/>
          <w:u w:val="single" w:color="auto"/>
          <w:color w:val="auto"/>
        </w:rPr>
        <w:t>Schedule 3</w:t>
      </w:r>
      <w:r>
        <w:rPr>
          <w:rFonts w:ascii="Arial" w:cs="Arial" w:eastAsia="Arial" w:hAnsi="Arial"/>
          <w:sz w:val="16"/>
          <w:szCs w:val="16"/>
          <w:color w:val="auto"/>
        </w:rPr>
        <w:t>. It is expressly acknowledged and agreed that neither the Company nor Cowen will have any obligation whatsoever with respect to a Placement or any Placement Shares unless and until the Company delivers a Placement Notice to Cowen and Cowen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ind w:left="-20" w:firstLine="656"/>
        <w:spacing w:after="0" w:line="285" w:lineRule="auto"/>
        <w:tabs>
          <w:tab w:leader="none" w:pos="1438"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Sale of Placement Shares by Cowen</w:t>
      </w:r>
      <w:r>
        <w:rPr>
          <w:rFonts w:ascii="Arial" w:cs="Arial" w:eastAsia="Arial" w:hAnsi="Arial"/>
          <w:sz w:val="16"/>
          <w:szCs w:val="16"/>
          <w:color w:val="auto"/>
        </w:rPr>
        <w:t>. Subject to the terms and conditions herein set forth, upon the Company’s issuance of a Placement Notice, and unless the sale of the Placement Shares described therein has been declined, suspended, or otherwise terminated in accordance with the terms of this Agreement, Cowen, for the period specified in the Placement Notice, will use its commercially reasonable efforts consistent with its normal trading and sales practices and applicable state and federal laws, rules and regulations and the rules of The Nasdaq Stock Market, Inc. (“</w:t>
      </w:r>
      <w:r>
        <w:rPr>
          <w:rFonts w:ascii="Arial" w:cs="Arial" w:eastAsia="Arial" w:hAnsi="Arial"/>
          <w:sz w:val="16"/>
          <w:szCs w:val="16"/>
          <w:b w:val="1"/>
          <w:bCs w:val="1"/>
          <w:u w:val="single" w:color="auto"/>
          <w:color w:val="auto"/>
        </w:rPr>
        <w:t>Nasdaq</w:t>
      </w:r>
      <w:r>
        <w:rPr>
          <w:rFonts w:ascii="Arial" w:cs="Arial" w:eastAsia="Arial" w:hAnsi="Arial"/>
          <w:sz w:val="16"/>
          <w:szCs w:val="16"/>
          <w:color w:val="auto"/>
        </w:rPr>
        <w:t xml:space="preserve">”) to sell such Placement Shares up to the amount specified in such Placement Notice, and otherwise in accordance with the terms of such Placement Notice. Cowen will provide written confirmation to the Company (including by email correspondence to each of the individuals of the Company set forth on Schedule 2,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 such day, the volume-weighted average price of the Placement Shares sold, and the Net Proceeds (as defined below) payable to the Company. Cowen may sell Placement Shares by any method permitted by law deemed to be an “at the market” offering as defined in Rule 415(a)(4) of the Securities Act, including without limitation sales made through Nasdaq, on any other existing trading market for the Common Stock or to or through a market maker, if expressly authorized by the Company in a Placement Notice. Cowen may also sell Placement Shares by any other method permitted by law, including but not limited to negotiated transactions. Notwithstanding the provisions of </w:t>
      </w:r>
      <w:r>
        <w:rPr>
          <w:rFonts w:ascii="Arial" w:cs="Arial" w:eastAsia="Arial" w:hAnsi="Arial"/>
          <w:sz w:val="16"/>
          <w:szCs w:val="16"/>
          <w:u w:val="single" w:color="auto"/>
          <w:color w:val="auto"/>
        </w:rPr>
        <w:t>Section 6(qq)</w:t>
      </w:r>
      <w:r>
        <w:rPr>
          <w:rFonts w:ascii="Arial" w:cs="Arial" w:eastAsia="Arial" w:hAnsi="Arial"/>
          <w:sz w:val="16"/>
          <w:szCs w:val="16"/>
          <w:color w:val="auto"/>
        </w:rPr>
        <w:t xml:space="preserve">, Cowen shall not purchase Placement Shares for its own account as principal unless expressly authorized to do so by the Company in a Placement Notice. The Company acknowledges and agrees that (i) there can be no assurance that Cowen will be successful in selling Placement Shares, and (ii) Cowen will incur no liability or obligation to the Company or any other person or entity if it does not sell Placement Shares for any reason other than a failure by Cowen to use its commercially reasonable efforts consistent with its normal trading and sales practices to sell such Placement Shares as required under this </w:t>
      </w:r>
      <w:r>
        <w:rPr>
          <w:rFonts w:ascii="Arial" w:cs="Arial" w:eastAsia="Arial" w:hAnsi="Arial"/>
          <w:sz w:val="16"/>
          <w:szCs w:val="16"/>
          <w:u w:val="single" w:color="auto"/>
          <w:color w:val="auto"/>
        </w:rPr>
        <w:t>Section 3</w:t>
      </w:r>
      <w:r>
        <w:rPr>
          <w:rFonts w:ascii="Arial" w:cs="Arial" w:eastAsia="Arial" w:hAnsi="Arial"/>
          <w:sz w:val="16"/>
          <w:szCs w:val="16"/>
          <w:color w:val="auto"/>
        </w:rPr>
        <w:t>. For the purposes hereof, “</w:t>
      </w:r>
      <w:r>
        <w:rPr>
          <w:rFonts w:ascii="Arial" w:cs="Arial" w:eastAsia="Arial" w:hAnsi="Arial"/>
          <w:sz w:val="16"/>
          <w:szCs w:val="16"/>
          <w:b w:val="1"/>
          <w:bCs w:val="1"/>
          <w:u w:val="single" w:color="auto"/>
          <w:color w:val="auto"/>
        </w:rPr>
        <w:t>Trading Day</w:t>
      </w:r>
      <w:r>
        <w:rPr>
          <w:rFonts w:ascii="Arial" w:cs="Arial" w:eastAsia="Arial" w:hAnsi="Arial"/>
          <w:sz w:val="16"/>
          <w:szCs w:val="16"/>
          <w:color w:val="auto"/>
        </w:rPr>
        <w:t>” means any day on which the Company’s Common Stock is purchased and sold on the principal market on which the Common Stock is listed or quoted.</w:t>
      </w:r>
    </w:p>
    <w:p>
      <w:pPr>
        <w:spacing w:after="0" w:line="172" w:lineRule="exact"/>
        <w:rPr>
          <w:rFonts w:ascii="Arial" w:cs="Arial" w:eastAsia="Arial" w:hAnsi="Arial"/>
          <w:sz w:val="16"/>
          <w:szCs w:val="16"/>
          <w:color w:val="auto"/>
        </w:rPr>
      </w:pPr>
    </w:p>
    <w:p>
      <w:pPr>
        <w:ind w:left="1320" w:hanging="684"/>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Suspension of Sales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firstLine="645"/>
        <w:spacing w:after="0" w:line="272" w:lineRule="auto"/>
        <w:tabs>
          <w:tab w:leader="none" w:pos="2080" w:val="left"/>
        </w:tabs>
        <w:numPr>
          <w:ilvl w:val="1"/>
          <w:numId w:val="4"/>
        </w:numPr>
        <w:rPr>
          <w:rFonts w:ascii="Arial" w:cs="Arial" w:eastAsia="Arial" w:hAnsi="Arial"/>
          <w:sz w:val="17"/>
          <w:szCs w:val="17"/>
          <w:color w:val="auto"/>
        </w:rPr>
      </w:pPr>
      <w:r>
        <w:rPr>
          <w:rFonts w:ascii="Arial" w:cs="Arial" w:eastAsia="Arial" w:hAnsi="Arial"/>
          <w:sz w:val="17"/>
          <w:szCs w:val="17"/>
          <w:color w:val="auto"/>
        </w:rPr>
        <w:t xml:space="preserve">The Company or Cowen may, upon notice to the other party in writing (including by email correspondence to each of the individuals of the other party set forth on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 xml:space="preserve">), suspend any sale of Placement Shares;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such suspension shall not affect or impair either party’s obligations with respect to any Placement Shares sold hereunder prior to the receipt of such notice. Each of the parties agrees that no such notice under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shall be effective against the other unless it is made to one of the individuals named on </w:t>
      </w:r>
      <w:r>
        <w:rPr>
          <w:rFonts w:ascii="Arial" w:cs="Arial" w:eastAsia="Arial" w:hAnsi="Arial"/>
          <w:sz w:val="17"/>
          <w:szCs w:val="17"/>
          <w:b w:val="1"/>
          <w:bCs w:val="1"/>
          <w:u w:val="single" w:color="auto"/>
          <w:color w:val="auto"/>
        </w:rPr>
        <w:t>Schedule 2</w:t>
      </w:r>
      <w:r>
        <w:rPr>
          <w:rFonts w:ascii="Arial" w:cs="Arial" w:eastAsia="Arial" w:hAnsi="Arial"/>
          <w:sz w:val="17"/>
          <w:szCs w:val="17"/>
          <w:b w:val="1"/>
          <w:bCs w:val="1"/>
          <w:color w:val="auto"/>
        </w:rPr>
        <w:t xml:space="preserve"> </w:t>
      </w:r>
      <w:r>
        <w:rPr>
          <w:rFonts w:ascii="Arial" w:cs="Arial" w:eastAsia="Arial" w:hAnsi="Arial"/>
          <w:sz w:val="17"/>
          <w:szCs w:val="17"/>
          <w:color w:val="auto"/>
        </w:rPr>
        <w:t>hereto, as such schedule may be amended in writing from time to time.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7" w:name="page8"/>
    <w:bookmarkEnd w:id="7"/>
    <w:p>
      <w:pPr>
        <w:jc w:val="both"/>
        <w:ind w:left="4" w:firstLine="645"/>
        <w:spacing w:after="0" w:line="264" w:lineRule="auto"/>
        <w:tabs>
          <w:tab w:leader="none" w:pos="1357" w:val="left"/>
        </w:tabs>
        <w:numPr>
          <w:ilvl w:val="1"/>
          <w:numId w:val="5"/>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during any period in which the Company is in possession of material non-public information, the Company and Cowen agree that (i) no sale of Placement Shares will take place, (ii) the Company shall not request the sale of any Placement Shares, and (iii) Cowen shall not be obligated to sell or offer to sell any Placement Shares.</w:t>
      </w:r>
    </w:p>
    <w:p>
      <w:pPr>
        <w:spacing w:after="0" w:line="181" w:lineRule="exact"/>
        <w:rPr>
          <w:rFonts w:ascii="Arial" w:cs="Arial" w:eastAsia="Arial" w:hAnsi="Arial"/>
          <w:sz w:val="18"/>
          <w:szCs w:val="18"/>
          <w:color w:val="auto"/>
        </w:rPr>
      </w:pPr>
    </w:p>
    <w:p>
      <w:pPr>
        <w:jc w:val="both"/>
        <w:ind w:left="4" w:firstLine="645"/>
        <w:spacing w:after="0" w:line="264" w:lineRule="auto"/>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If either Cowen or the Company has reason to believe that the exemptive provisions set forth in Rule 101(c)(1) of Regulation M under the Exchange Act are not satisfied with respect to the Common Stock, it shall promptly notify the other party, and Cowen may, at its sole discretion, suspend sales of the Placement Shares under this Agreement.</w:t>
      </w:r>
    </w:p>
    <w:p>
      <w:pPr>
        <w:spacing w:after="0" w:line="181" w:lineRule="exact"/>
        <w:rPr>
          <w:rFonts w:ascii="Arial" w:cs="Arial" w:eastAsia="Arial" w:hAnsi="Arial"/>
          <w:sz w:val="18"/>
          <w:szCs w:val="18"/>
          <w:color w:val="auto"/>
        </w:rPr>
      </w:pPr>
    </w:p>
    <w:p>
      <w:pPr>
        <w:jc w:val="both"/>
        <w:ind w:left="4" w:firstLine="645"/>
        <w:spacing w:after="0" w:line="312" w:lineRule="auto"/>
        <w:tabs>
          <w:tab w:leader="none" w:pos="1314"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Registration Statement was declared effective on May 2, 2017. Notwithstanding any other provision of this Agreement, during any period in which the Registration Statement is no longer effective under the Securities Act, the Company shall promptly notify Cowen, the Company shall not request the sale of any Placement Shares, and Cowen shall not be obligated to sell or offer to sell any Placement Shares.</w:t>
      </w:r>
    </w:p>
    <w:p>
      <w:pPr>
        <w:spacing w:after="0" w:line="146" w:lineRule="exact"/>
        <w:rPr>
          <w:rFonts w:ascii="Arial" w:cs="Arial" w:eastAsia="Arial" w:hAnsi="Arial"/>
          <w:sz w:val="16"/>
          <w:szCs w:val="16"/>
          <w:color w:val="auto"/>
        </w:rPr>
      </w:pPr>
    </w:p>
    <w:p>
      <w:pPr>
        <w:ind w:left="684" w:hanging="684"/>
        <w:spacing w:after="0"/>
        <w:tabs>
          <w:tab w:leader="none" w:pos="68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91" w:lineRule="auto"/>
        <w:tabs>
          <w:tab w:leader="none" w:pos="1342"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Settlement of Placement Shares</w:t>
      </w:r>
      <w:r>
        <w:rPr>
          <w:rFonts w:ascii="Arial" w:cs="Arial" w:eastAsia="Arial" w:hAnsi="Arial"/>
          <w:sz w:val="16"/>
          <w:szCs w:val="16"/>
          <w:color w:val="auto"/>
        </w:rPr>
        <w:t>. Unless otherwise specified in the applicable Placement Notice, settlement for sales of Placement Shares will occur on the third (3rd) Trading Day (or such earlier day as is industry practice for regular-way trading) following the date on which such sales are made (each, a “</w:t>
      </w:r>
      <w:r>
        <w:rPr>
          <w:rFonts w:ascii="Arial" w:cs="Arial" w:eastAsia="Arial" w:hAnsi="Arial"/>
          <w:sz w:val="16"/>
          <w:szCs w:val="16"/>
          <w:b w:val="1"/>
          <w:bCs w:val="1"/>
          <w:u w:val="single" w:color="auto"/>
          <w:color w:val="auto"/>
        </w:rPr>
        <w:t>Settlement Date</w:t>
      </w:r>
      <w:r>
        <w:rPr>
          <w:rFonts w:ascii="Arial" w:cs="Arial" w:eastAsia="Arial" w:hAnsi="Arial"/>
          <w:sz w:val="16"/>
          <w:szCs w:val="16"/>
          <w:color w:val="auto"/>
        </w:rPr>
        <w:t>” and the first such settlement date, the “</w:t>
      </w:r>
      <w:r>
        <w:rPr>
          <w:rFonts w:ascii="Arial" w:cs="Arial" w:eastAsia="Arial" w:hAnsi="Arial"/>
          <w:sz w:val="16"/>
          <w:szCs w:val="16"/>
          <w:b w:val="1"/>
          <w:bCs w:val="1"/>
          <w:u w:val="single" w:color="auto"/>
          <w:color w:val="auto"/>
        </w:rPr>
        <w:t>First Delivery Date</w:t>
      </w:r>
      <w:r>
        <w:rPr>
          <w:rFonts w:ascii="Arial" w:cs="Arial" w:eastAsia="Arial" w:hAnsi="Arial"/>
          <w:sz w:val="16"/>
          <w:szCs w:val="16"/>
          <w:color w:val="auto"/>
        </w:rPr>
        <w:t>”). The amount of proceeds to be delivered to the Company on a Settlement Date against receipt of the Placement Shares sold (the “</w:t>
      </w:r>
      <w:r>
        <w:rPr>
          <w:rFonts w:ascii="Arial" w:cs="Arial" w:eastAsia="Arial" w:hAnsi="Arial"/>
          <w:sz w:val="16"/>
          <w:szCs w:val="16"/>
          <w:b w:val="1"/>
          <w:bCs w:val="1"/>
          <w:u w:val="single" w:color="auto"/>
          <w:color w:val="auto"/>
        </w:rPr>
        <w:t>Net Proceeds</w:t>
      </w:r>
      <w:r>
        <w:rPr>
          <w:rFonts w:ascii="Arial" w:cs="Arial" w:eastAsia="Arial" w:hAnsi="Arial"/>
          <w:sz w:val="16"/>
          <w:szCs w:val="16"/>
          <w:color w:val="auto"/>
        </w:rPr>
        <w:t xml:space="preserve">”) will be equal to the aggregate sales price received by Cowen at which such Placement Shares were sold, after deduction for (i) Cowen’s commission, discount or other compensation for such sales payable by the Company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 (ii) any other amounts due and payable by the Company to Cowen hereunder pursuant to </w:t>
      </w:r>
      <w:r>
        <w:rPr>
          <w:rFonts w:ascii="Arial" w:cs="Arial" w:eastAsia="Arial" w:hAnsi="Arial"/>
          <w:sz w:val="16"/>
          <w:szCs w:val="16"/>
          <w:u w:val="single" w:color="auto"/>
          <w:color w:val="auto"/>
        </w:rPr>
        <w:t>Section 7(g)</w:t>
      </w:r>
      <w:r>
        <w:rPr>
          <w:rFonts w:ascii="Arial" w:cs="Arial" w:eastAsia="Arial" w:hAnsi="Arial"/>
          <w:sz w:val="16"/>
          <w:szCs w:val="16"/>
          <w:color w:val="auto"/>
        </w:rPr>
        <w:t xml:space="preserve"> hereof, and (iii) any transaction fees imposed by any governmental or self-regulatory organization in respect of such sales.</w:t>
      </w:r>
    </w:p>
    <w:p>
      <w:pPr>
        <w:spacing w:after="0" w:line="167" w:lineRule="exact"/>
        <w:rPr>
          <w:rFonts w:ascii="Arial" w:cs="Arial" w:eastAsia="Arial" w:hAnsi="Arial"/>
          <w:sz w:val="16"/>
          <w:szCs w:val="16"/>
          <w:color w:val="auto"/>
        </w:rPr>
      </w:pPr>
    </w:p>
    <w:p>
      <w:pPr>
        <w:jc w:val="both"/>
        <w:ind w:left="4" w:firstLine="645"/>
        <w:spacing w:after="0" w:line="288" w:lineRule="auto"/>
        <w:tabs>
          <w:tab w:leader="none" w:pos="1609"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Delivery of Placement Shares</w:t>
      </w:r>
      <w:r>
        <w:rPr>
          <w:rFonts w:ascii="Arial" w:cs="Arial" w:eastAsia="Arial" w:hAnsi="Arial"/>
          <w:sz w:val="16"/>
          <w:szCs w:val="16"/>
          <w:color w:val="auto"/>
        </w:rPr>
        <w:t>. On or before each Settlement Date, the Company will, or will cause its transfer agent to, electronically transfer the Placement Shares being sold by crediting Cowen’s or its designee’s account (provided Cowen shall have given the Company written notice of such designee prior to the Settlement Date) at The Depository Trust Company through its Deposit and Withdrawal at Custodian System (“</w:t>
      </w:r>
      <w:r>
        <w:rPr>
          <w:rFonts w:ascii="Arial" w:cs="Arial" w:eastAsia="Arial" w:hAnsi="Arial"/>
          <w:sz w:val="16"/>
          <w:szCs w:val="16"/>
          <w:b w:val="1"/>
          <w:bCs w:val="1"/>
          <w:u w:val="single" w:color="auto"/>
          <w:color w:val="auto"/>
        </w:rPr>
        <w:t>DWAC</w:t>
      </w:r>
      <w:r>
        <w:rPr>
          <w:rFonts w:ascii="Arial" w:cs="Arial" w:eastAsia="Arial" w:hAnsi="Arial"/>
          <w:sz w:val="16"/>
          <w:szCs w:val="16"/>
          <w:color w:val="auto"/>
        </w:rPr>
        <w:t xml:space="preserve">”) or by such other means of delivery as may be mutually agreed upon by the parties hereto which in all cases shall be freely tradeable, transferable, registered shares in good deliverable form. On each Settlement Date, Cowen will deliver the related Net Proceeds in same day funds to an account designated by the Company on, or prior to, the Settlement Date. The Company agrees that if the Company, or its transfer agent (if applicable), defaults in its obligation to deliver Placement Shares on a Settlement Date, the Company agrees that in addition to and in no way limiting the rights and obligations set forth in </w:t>
      </w:r>
      <w:r>
        <w:rPr>
          <w:rFonts w:ascii="Arial" w:cs="Arial" w:eastAsia="Arial" w:hAnsi="Arial"/>
          <w:sz w:val="16"/>
          <w:szCs w:val="16"/>
          <w:u w:val="single" w:color="auto"/>
          <w:color w:val="auto"/>
        </w:rPr>
        <w:t>Section 9(a)</w:t>
      </w:r>
      <w:r>
        <w:rPr>
          <w:rFonts w:ascii="Arial" w:cs="Arial" w:eastAsia="Arial" w:hAnsi="Arial"/>
          <w:sz w:val="16"/>
          <w:szCs w:val="16"/>
          <w:color w:val="auto"/>
        </w:rPr>
        <w:t xml:space="preserve"> hereto, it will (i) hold Cowen harmless against any loss, claim, damage, or expense (including reasonable legal fees and expenses), as incurred, arising out of or in connection with such default by the Company and (ii) pay to Cowen any commission, discount, or other compensation to which it would otherwise have been entitled absent such default.</w:t>
      </w:r>
    </w:p>
    <w:p>
      <w:pPr>
        <w:spacing w:after="0" w:line="38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8" w:name="page9"/>
    <w:bookmarkEnd w:id="8"/>
    <w:p>
      <w:pPr>
        <w:ind w:left="-20" w:firstLine="656"/>
        <w:spacing w:after="0" w:line="342" w:lineRule="auto"/>
        <w:tabs>
          <w:tab w:leader="none" w:pos="1506"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xml:space="preserve">. The Company represents and warrants to, and agrees with, Cowen that, unless such representation, warranty or agreement specifies otherwise, as of the date of this Agreement and as of each Applicable Time (as defined in </w:t>
      </w:r>
      <w:r>
        <w:rPr>
          <w:rFonts w:ascii="Arial" w:cs="Arial" w:eastAsia="Arial" w:hAnsi="Arial"/>
          <w:sz w:val="16"/>
          <w:szCs w:val="16"/>
          <w:u w:val="single" w:color="auto"/>
          <w:color w:val="auto"/>
        </w:rPr>
        <w:t>Section 20(a)</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jc w:val="both"/>
        <w:ind w:left="640" w:firstLine="645"/>
        <w:spacing w:after="0" w:line="254" w:lineRule="auto"/>
        <w:tabs>
          <w:tab w:leader="none" w:pos="1992"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Compliance with Registration Requirements</w:t>
      </w:r>
      <w:r>
        <w:rPr>
          <w:rFonts w:ascii="Arial" w:cs="Arial" w:eastAsia="Arial" w:hAnsi="Arial"/>
          <w:sz w:val="18"/>
          <w:szCs w:val="18"/>
          <w:color w:val="auto"/>
        </w:rPr>
        <w:t>. The Registration Statement has been declared effective by the Commission and any Rule 462(b) Registration Statement shall have become effective under the Securities Act prior to the issuance of any Placement Notice by the Company. The Company has complied to the Commission’s satisfaction with all requests of the Commission for additional or supplemental information in connection therewith, if any. No stop order suspending the effectiveness of the Registration Statement, or any post-effective amendment thereto, or the Rule 462(b) Registration Statement, if any, is in effect and no proceedings for such purpose have been instituted or are pending or, to the knowledge of the Company, contemplated or threatened by the Commission. The Company meets the requirements for use of Form S-3 under the Securities Act. The proposed sale of the Placement Shares hereunder meets the requirements of General Instruction I.B.1 of Form S-3.</w:t>
      </w:r>
    </w:p>
    <w:p>
      <w:pPr>
        <w:spacing w:after="0" w:line="192" w:lineRule="exact"/>
        <w:rPr>
          <w:rFonts w:ascii="Arial" w:cs="Arial" w:eastAsia="Arial" w:hAnsi="Arial"/>
          <w:sz w:val="18"/>
          <w:szCs w:val="18"/>
          <w:color w:val="auto"/>
        </w:rPr>
      </w:pPr>
    </w:p>
    <w:p>
      <w:pPr>
        <w:jc w:val="both"/>
        <w:ind w:left="640" w:firstLine="645"/>
        <w:spacing w:after="0" w:line="287" w:lineRule="auto"/>
        <w:tabs>
          <w:tab w:leader="none" w:pos="2232"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No Misstatement or Omission</w:t>
      </w:r>
      <w:r>
        <w:rPr>
          <w:rFonts w:ascii="Arial" w:cs="Arial" w:eastAsia="Arial" w:hAnsi="Arial"/>
          <w:sz w:val="16"/>
          <w:szCs w:val="16"/>
          <w:color w:val="auto"/>
        </w:rPr>
        <w:t>. The Prospectus when filed will comply or complied and, as amended or supplemented, if applicable, will comply in all material respects with the Securities Act. Each of the Registration Statement, any Rule 462(b) Registration Statement and any post-effective amendments or supplements thereto, at the time it became effective complied and, as of each of the Settlement Dates, if any, will comply in all material respects with the Securities Act and did not and, as of each Settlement Date, if any, will not contain any untrue statement of a material fact or omit to state a material fact required to be stated therein or necessary to make the statements therein not misleading. The Prospectus, as amended or supplemented, as of its date, did not and, as of each of the Settlement Dates, if any,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furnished to the Company in writing by Cowen expressly for use therein. There are no contracts or other documents required to be described in the Prospectus or to be filed as exhibits to the Registration Statement which have not been described or filed as required.</w:t>
      </w:r>
    </w:p>
    <w:p>
      <w:pPr>
        <w:spacing w:after="0" w:line="168" w:lineRule="exact"/>
        <w:rPr>
          <w:rFonts w:ascii="Arial" w:cs="Arial" w:eastAsia="Arial" w:hAnsi="Arial"/>
          <w:sz w:val="16"/>
          <w:szCs w:val="16"/>
          <w:color w:val="auto"/>
        </w:rPr>
      </w:pPr>
    </w:p>
    <w:p>
      <w:pPr>
        <w:jc w:val="both"/>
        <w:ind w:left="640" w:firstLine="645"/>
        <w:spacing w:after="0" w:line="312" w:lineRule="auto"/>
        <w:tabs>
          <w:tab w:leader="none" w:pos="2006"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Offering Materials Furnished to Cowen</w:t>
      </w:r>
      <w:r>
        <w:rPr>
          <w:rFonts w:ascii="Arial" w:cs="Arial" w:eastAsia="Arial" w:hAnsi="Arial"/>
          <w:sz w:val="16"/>
          <w:szCs w:val="16"/>
          <w:color w:val="auto"/>
        </w:rPr>
        <w:t>. The Company has delivered to Cowen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Cowen has reasonably requested.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9" w:name="page10"/>
    <w:bookmarkEnd w:id="9"/>
    <w:p>
      <w:pPr>
        <w:ind w:left="-540" w:firstLine="645"/>
        <w:spacing w:after="0" w:line="277" w:lineRule="auto"/>
        <w:tabs>
          <w:tab w:leader="none" w:pos="79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Not an Ineligible Issuer</w:t>
      </w:r>
      <w:r>
        <w:rPr>
          <w:rFonts w:ascii="Arial" w:cs="Arial" w:eastAsia="Arial" w:hAnsi="Arial"/>
          <w:sz w:val="18"/>
          <w:szCs w:val="18"/>
          <w:color w:val="auto"/>
        </w:rPr>
        <w:t>. The Company currently is not an “ineligible issuer,” as defined in Rule 405 of the rules and regulation of the Commission. The Company agrees to notify Cowen promptly upon the Company becoming an “ineligible issuer.”</w:t>
      </w:r>
    </w:p>
    <w:p>
      <w:pPr>
        <w:spacing w:after="0" w:line="170" w:lineRule="exact"/>
        <w:rPr>
          <w:rFonts w:ascii="Arial" w:cs="Arial" w:eastAsia="Arial" w:hAnsi="Arial"/>
          <w:sz w:val="18"/>
          <w:szCs w:val="18"/>
          <w:color w:val="auto"/>
        </w:rPr>
      </w:pPr>
    </w:p>
    <w:p>
      <w:pPr>
        <w:jc w:val="both"/>
        <w:ind w:left="-540" w:firstLine="645"/>
        <w:spacing w:after="0" w:line="259" w:lineRule="auto"/>
        <w:tabs>
          <w:tab w:leader="none" w:pos="104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Distribution of Offering Material By the Company</w:t>
      </w:r>
      <w:r>
        <w:rPr>
          <w:rFonts w:ascii="Arial" w:cs="Arial" w:eastAsia="Arial" w:hAnsi="Arial"/>
          <w:sz w:val="18"/>
          <w:szCs w:val="18"/>
          <w:color w:val="auto"/>
        </w:rPr>
        <w:t>. The Company has not distributed and will not distribute, prior to the completion of Cowen’s distribution of the Placement Shares, any offering material in connection with the offering and sale of the Placement Shares other than the Prospectus or the Registration Statement and other materials, if any, permitted under the Securities Act and approved by Cowen, other than documents incorporated by reference.</w:t>
      </w:r>
    </w:p>
    <w:p>
      <w:pPr>
        <w:spacing w:after="0" w:line="186" w:lineRule="exact"/>
        <w:rPr>
          <w:rFonts w:ascii="Arial" w:cs="Arial" w:eastAsia="Arial" w:hAnsi="Arial"/>
          <w:sz w:val="18"/>
          <w:szCs w:val="18"/>
          <w:color w:val="auto"/>
        </w:rPr>
      </w:pPr>
    </w:p>
    <w:p>
      <w:pPr>
        <w:jc w:val="both"/>
        <w:ind w:left="-540" w:firstLine="645"/>
        <w:spacing w:after="0" w:line="259" w:lineRule="auto"/>
        <w:tabs>
          <w:tab w:leader="none" w:pos="779"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The Sales Agreement</w:t>
      </w:r>
      <w:r>
        <w:rPr>
          <w:rFonts w:ascii="Arial" w:cs="Arial" w:eastAsia="Arial" w:hAnsi="Arial"/>
          <w:sz w:val="18"/>
          <w:szCs w:val="18"/>
          <w:color w:val="auto"/>
        </w:rPr>
        <w:t>. This Agreement has been duly authorized, executed and delivered by, and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w:t>
      </w:r>
    </w:p>
    <w:p>
      <w:pPr>
        <w:spacing w:after="0" w:line="186" w:lineRule="exact"/>
        <w:rPr>
          <w:rFonts w:ascii="Arial" w:cs="Arial" w:eastAsia="Arial" w:hAnsi="Arial"/>
          <w:sz w:val="18"/>
          <w:szCs w:val="18"/>
          <w:color w:val="auto"/>
        </w:rPr>
      </w:pPr>
    </w:p>
    <w:p>
      <w:pPr>
        <w:jc w:val="both"/>
        <w:ind w:left="-540" w:firstLine="645"/>
        <w:spacing w:after="0" w:line="264" w:lineRule="auto"/>
        <w:tabs>
          <w:tab w:leader="none" w:pos="82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Authorization of the Common Stock</w:t>
      </w:r>
      <w:r>
        <w:rPr>
          <w:rFonts w:ascii="Arial" w:cs="Arial" w:eastAsia="Arial" w:hAnsi="Arial"/>
          <w:sz w:val="18"/>
          <w:szCs w:val="18"/>
          <w:color w:val="auto"/>
        </w:rPr>
        <w:t>. The Placement Shares, when issued and delivered, will be duly authorized for issuance and sale pursuant to this Agreement and, when issued and delivered by the Company against payment therefor pursuant to this Agreement, will be duly authorized, validly issued, fully paid and nonassessable.</w:t>
      </w:r>
    </w:p>
    <w:p>
      <w:pPr>
        <w:spacing w:after="0" w:line="181" w:lineRule="exact"/>
        <w:rPr>
          <w:rFonts w:ascii="Arial" w:cs="Arial" w:eastAsia="Arial" w:hAnsi="Arial"/>
          <w:sz w:val="18"/>
          <w:szCs w:val="18"/>
          <w:color w:val="auto"/>
        </w:rPr>
      </w:pPr>
    </w:p>
    <w:p>
      <w:pPr>
        <w:ind w:left="760" w:hanging="655"/>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Approved for Listing</w:t>
      </w:r>
      <w:r>
        <w:rPr>
          <w:rFonts w:ascii="Arial" w:cs="Arial" w:eastAsia="Arial" w:hAnsi="Arial"/>
          <w:sz w:val="18"/>
          <w:szCs w:val="18"/>
          <w:color w:val="auto"/>
        </w:rPr>
        <w:t>. The Placement Shares have been approved for listing subject to notice of issuance on Nasdaq.</w:t>
      </w:r>
    </w:p>
    <w:p>
      <w:pPr>
        <w:spacing w:after="0" w:line="225" w:lineRule="exact"/>
        <w:rPr>
          <w:rFonts w:ascii="Arial" w:cs="Arial" w:eastAsia="Arial" w:hAnsi="Arial"/>
          <w:sz w:val="18"/>
          <w:szCs w:val="18"/>
          <w:color w:val="auto"/>
        </w:rPr>
      </w:pPr>
    </w:p>
    <w:p>
      <w:pPr>
        <w:jc w:val="both"/>
        <w:ind w:left="-540" w:firstLine="645"/>
        <w:spacing w:after="0" w:line="264" w:lineRule="auto"/>
        <w:tabs>
          <w:tab w:leader="none" w:pos="92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No Applicable Registration or Other Similar Rights</w:t>
      </w:r>
      <w:r>
        <w:rPr>
          <w:rFonts w:ascii="Arial" w:cs="Arial" w:eastAsia="Arial" w:hAnsi="Arial"/>
          <w:sz w:val="18"/>
          <w:szCs w:val="18"/>
          <w:color w:val="auto"/>
        </w:rPr>
        <w:t>. There are no persons with registration or other similar rights to have any equity or debt securities registered for sale under the Registration Statement or included in the offering contemplated by this Agreement, except for such rights as have been waived in accordance with their terms and all applicable laws.</w:t>
      </w:r>
    </w:p>
    <w:p>
      <w:pPr>
        <w:spacing w:after="0" w:line="181" w:lineRule="exact"/>
        <w:rPr>
          <w:rFonts w:ascii="Arial" w:cs="Arial" w:eastAsia="Arial" w:hAnsi="Arial"/>
          <w:sz w:val="18"/>
          <w:szCs w:val="18"/>
          <w:color w:val="auto"/>
        </w:rPr>
      </w:pPr>
    </w:p>
    <w:p>
      <w:pPr>
        <w:jc w:val="both"/>
        <w:ind w:left="-540" w:firstLine="645"/>
        <w:spacing w:after="0" w:line="271" w:lineRule="auto"/>
        <w:tabs>
          <w:tab w:leader="none" w:pos="881"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No Material Adverse Change</w:t>
      </w:r>
      <w:r>
        <w:rPr>
          <w:rFonts w:ascii="Arial" w:cs="Arial" w:eastAsia="Arial" w:hAnsi="Arial"/>
          <w:sz w:val="17"/>
          <w:szCs w:val="17"/>
          <w:color w:val="auto"/>
        </w:rPr>
        <w:t>. Since the respective dates as of which information is given in the Registration Statement and the Prospectus, as each may be amended or supplemented, there has not been any material adverse change or any development involving a prospective material adverse change in or affecting the earnings, business, management, properties, assets, rights, operations, or condition (financial or otherwise) of the Company and the Subsidiaries (as defined below) taken as a whole, whether or not occurring in the ordinary course of business, and there has not been any material transaction entered into or any material transaction that is probable of being entered into by the Company or the Subsidiaries, other than transactions in the ordinary course of business and changes and transactions described in the Registration Statement and the Prospectus, as each may be amended or supplemented. The Company and the Subsidiaries have no material contingent obligations which are not disclosed in the Registration Statement and the Prospectus.</w:t>
      </w:r>
    </w:p>
    <w:p>
      <w:pPr>
        <w:spacing w:after="0" w:line="39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0" w:name="page11"/>
    <w:bookmarkEnd w:id="10"/>
    <w:p>
      <w:pPr>
        <w:jc w:val="both"/>
        <w:ind w:left="-540" w:firstLine="645"/>
        <w:spacing w:after="0" w:line="259" w:lineRule="auto"/>
        <w:tabs>
          <w:tab w:leader="none" w:pos="998"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To the Company’s knowledge, PricewaterhouseCoopers LLP, who has expressed its opinion with respect to the financial statements (which term as used in this Agreement includes the related notes thereto) and supporting schedules filed with the Commission or incorporated by reference as a part of the Registration Statement and included in the Prospectus, is an independent registered public accounting firm as required by the Securities Act and the Exchange Act.</w:t>
      </w:r>
    </w:p>
    <w:p>
      <w:pPr>
        <w:spacing w:after="0" w:line="186" w:lineRule="exact"/>
        <w:rPr>
          <w:rFonts w:ascii="Arial" w:cs="Arial" w:eastAsia="Arial" w:hAnsi="Arial"/>
          <w:sz w:val="18"/>
          <w:szCs w:val="18"/>
          <w:color w:val="auto"/>
        </w:rPr>
      </w:pPr>
    </w:p>
    <w:p>
      <w:pPr>
        <w:jc w:val="both"/>
        <w:ind w:left="-540" w:firstLine="645"/>
        <w:spacing w:after="0" w:line="254"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Preparation of the Financial Statements</w:t>
      </w:r>
      <w:r>
        <w:rPr>
          <w:rFonts w:ascii="Arial" w:cs="Arial" w:eastAsia="Arial" w:hAnsi="Arial"/>
          <w:sz w:val="18"/>
          <w:szCs w:val="18"/>
          <w:color w:val="auto"/>
        </w:rPr>
        <w:t>. The financial statements filed with the Commission as a part of or incorporated by reference in the Registration Statement and included in the Prospectus present fairly in all material respects the consolidated financial position of the Company and its consolidated Subsidiaries as of and at the dates indicated and the results of their operations and cash flows for the periods specified. The supporting schedules included in or incorporated in the Registration Statement present fairly in accordance with U.S. generally accepted accounting principles (“</w:t>
      </w:r>
      <w:r>
        <w:rPr>
          <w:rFonts w:ascii="Arial" w:cs="Arial" w:eastAsia="Arial" w:hAnsi="Arial"/>
          <w:sz w:val="18"/>
          <w:szCs w:val="18"/>
          <w:b w:val="1"/>
          <w:bCs w:val="1"/>
          <w:u w:val="single" w:color="auto"/>
          <w:color w:val="auto"/>
        </w:rPr>
        <w:t>U.S. GAAP</w:t>
      </w:r>
      <w:r>
        <w:rPr>
          <w:rFonts w:ascii="Arial" w:cs="Arial" w:eastAsia="Arial" w:hAnsi="Arial"/>
          <w:sz w:val="18"/>
          <w:szCs w:val="18"/>
          <w:color w:val="auto"/>
        </w:rPr>
        <w:t>”) the information required to be stated therein. Such financial statements and supporting schedules have been prepared in conformity with U.S. GAAP applied on a consistent basis throughout the periods involved, except as may be expressly stated in the related notes thereto. No other financial statements or supporting schedules are required to be included in or incorporated in the Registration Statement.</w:t>
      </w:r>
    </w:p>
    <w:p>
      <w:pPr>
        <w:spacing w:after="0" w:line="192" w:lineRule="exact"/>
        <w:rPr>
          <w:rFonts w:ascii="Arial" w:cs="Arial" w:eastAsia="Arial" w:hAnsi="Arial"/>
          <w:sz w:val="18"/>
          <w:szCs w:val="18"/>
          <w:color w:val="auto"/>
        </w:rPr>
      </w:pPr>
    </w:p>
    <w:p>
      <w:pPr>
        <w:jc w:val="both"/>
        <w:ind w:left="-540" w:firstLine="645"/>
        <w:spacing w:after="0" w:line="264"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XBRL</w:t>
      </w:r>
      <w:r>
        <w:rPr>
          <w:rFonts w:ascii="Arial" w:cs="Arial" w:eastAsia="Arial" w:hAnsi="Arial"/>
          <w:sz w:val="18"/>
          <w:szCs w:val="18"/>
          <w:color w:val="auto"/>
        </w:rPr>
        <w:t>.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81" w:lineRule="exact"/>
        <w:rPr>
          <w:rFonts w:ascii="Arial" w:cs="Arial" w:eastAsia="Arial" w:hAnsi="Arial"/>
          <w:sz w:val="18"/>
          <w:szCs w:val="18"/>
          <w:color w:val="auto"/>
        </w:rPr>
      </w:pPr>
    </w:p>
    <w:p>
      <w:pPr>
        <w:jc w:val="both"/>
        <w:ind w:left="-540" w:firstLine="645"/>
        <w:spacing w:after="0" w:line="285" w:lineRule="auto"/>
        <w:tabs>
          <w:tab w:leader="none" w:pos="93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Incorporation and Good Standing of the Company and its Subsidiaries</w:t>
      </w:r>
      <w:r>
        <w:rPr>
          <w:rFonts w:ascii="Arial" w:cs="Arial" w:eastAsia="Arial" w:hAnsi="Arial"/>
          <w:sz w:val="16"/>
          <w:szCs w:val="16"/>
          <w:color w:val="auto"/>
        </w:rPr>
        <w:t>. The Company has been duly organized and is validly existing as a corporation in good standing under the laws of the State of Delaware, with corporate power and authority to own or lease its properties and conduct its business as described in the Registration Statement and the Prospectus. Each of the Subsidiaries of the Company listed in Exhibit 21.1 to Item 15 of the Annual Report on Form 10-K filed with the Commission on March 3, 2017 (collectively, the “</w:t>
      </w:r>
      <w:r>
        <w:rPr>
          <w:rFonts w:ascii="Arial" w:cs="Arial" w:eastAsia="Arial" w:hAnsi="Arial"/>
          <w:sz w:val="16"/>
          <w:szCs w:val="16"/>
          <w:b w:val="1"/>
          <w:bCs w:val="1"/>
          <w:u w:val="single" w:color="auto"/>
          <w:color w:val="auto"/>
        </w:rPr>
        <w:t>Subsidiaries</w:t>
      </w:r>
      <w:r>
        <w:rPr>
          <w:rFonts w:ascii="Arial" w:cs="Arial" w:eastAsia="Arial" w:hAnsi="Arial"/>
          <w:sz w:val="16"/>
          <w:szCs w:val="16"/>
          <w:color w:val="auto"/>
        </w:rPr>
        <w:t>”) has been duly organized and is validly existing as a corporation, limited liability company or similar entity in good standing (to the extent that the concept of “good standing” exists in a specified jurisdiction) under the laws of its jurisdiction of organization, with requisite power and authority to own or lease its properties and conduct its business as described in the Registration Statement and the Prospectus. The subsidiaries listed on Exhibit 21.1 of the Company’s Annual Report on Form 10-K for the year ended December 31, 2016, are the only significant subsidiaries of the Company as defined by Rule 1-02 of Regulation S-X. The Company and each of the Subsidiaries are duly qualified to transact business in all jurisdictions in which the conduct of their business requires such qualification, except where the failure to be so qualified would not either (i) have, individually or in the aggregate, a material adverse effect on the earnings, business, management, properties, assets, rights, operations, or condition (financial or otherwise) of the Company and the Subsidiaries, taken as a whole, or (ii) prevent the consummation of the transactions contemplated hereby (the occurrence of any such effect or any such prevention described in the foregoing clauses (i) and (ii) being referred to as a “</w:t>
      </w:r>
      <w:r>
        <w:rPr>
          <w:rFonts w:ascii="Arial" w:cs="Arial" w:eastAsia="Arial" w:hAnsi="Arial"/>
          <w:sz w:val="16"/>
          <w:szCs w:val="16"/>
          <w:b w:val="1"/>
          <w:bCs w:val="1"/>
          <w:u w:val="single" w:color="auto"/>
          <w:color w:val="auto"/>
        </w:rPr>
        <w:t>Material Adverse Effect</w:t>
      </w:r>
      <w:r>
        <w:rPr>
          <w:rFonts w:ascii="Arial" w:cs="Arial" w:eastAsia="Arial" w:hAnsi="Arial"/>
          <w:sz w:val="16"/>
          <w:szCs w:val="16"/>
          <w:color w:val="auto"/>
        </w:rPr>
        <w:t>”). The outstanding shares of capital stock of each of the Subsidiaries have been duly authorized and validly issued, are fully paid and non-assessable and are owned by the Company or another Subsidiary free and clear of all liens, encumbrances and equities and claims; and no options, warrants or other rights to purchase, agreements or other obligations to issue or other rights to convert any obligations into shares of capital stock or ownership interests in the Subsidiaries are outstanding.</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1" w:name="page12"/>
    <w:bookmarkEnd w:id="11"/>
    <w:p>
      <w:pPr>
        <w:jc w:val="both"/>
        <w:ind w:left="-540" w:firstLine="645"/>
        <w:spacing w:after="0" w:line="255" w:lineRule="auto"/>
        <w:tabs>
          <w:tab w:leader="none" w:pos="867"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Property</w:t>
      </w:r>
      <w:r>
        <w:rPr>
          <w:rFonts w:ascii="Arial" w:cs="Arial" w:eastAsia="Arial" w:hAnsi="Arial"/>
          <w:sz w:val="18"/>
          <w:szCs w:val="18"/>
          <w:color w:val="auto"/>
        </w:rPr>
        <w:t>. Neither the Company nor any of the Subsidiaries own any real property. The Company and the Subsidiaries have good title to all of the properties and assets reflected in the consolidated financial statements described herein or described in the Registration Statement and the Prospectus, subject to no lien, mortgage, pledge, charge or encumbrance of any kind except those reflected in such financial statements or described in the Registration Statement and the Prospectus or which are not material in amount. The Company and the Subsidiaries occupy their leased properties under valid and binding leases conforming in all material respects to the description thereof set forth in the Registration Statement and the Prospectus.</w:t>
      </w:r>
    </w:p>
    <w:p>
      <w:pPr>
        <w:spacing w:after="0" w:line="193" w:lineRule="exact"/>
        <w:rPr>
          <w:rFonts w:ascii="Arial" w:cs="Arial" w:eastAsia="Arial" w:hAnsi="Arial"/>
          <w:sz w:val="18"/>
          <w:szCs w:val="18"/>
          <w:color w:val="auto"/>
        </w:rPr>
      </w:pPr>
    </w:p>
    <w:p>
      <w:pPr>
        <w:jc w:val="both"/>
        <w:ind w:left="-540" w:firstLine="645"/>
        <w:spacing w:after="0" w:line="270" w:lineRule="auto"/>
        <w:tabs>
          <w:tab w:leader="none" w:pos="75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Capital Stock Matters</w:t>
      </w:r>
      <w:r>
        <w:rPr>
          <w:rFonts w:ascii="Arial" w:cs="Arial" w:eastAsia="Arial" w:hAnsi="Arial"/>
          <w:sz w:val="17"/>
          <w:szCs w:val="17"/>
          <w:color w:val="auto"/>
        </w:rPr>
        <w:t>. The Common Stock conforms in all material respects to the description thereof contained in the Prospectus. All of the issued and outstanding shares of Common Stock have been duly authorized and validly issued, are fully paid and nonassessable and have been issued in compliance with federal and state securities laws. None of the outstanding shares of Common Stock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accurately described in all material respects in the Prospectus. The description of the Company’s stock option, stock bonus and other stock plans or arrangements, and the options or other rights granted thereunder, set forth in the Prospectus accurately and fairly presents in all material respects the information required to be shown with respect to such plans, arrangements, options and rights.</w:t>
      </w:r>
    </w:p>
    <w:p>
      <w:pPr>
        <w:spacing w:after="0" w:line="181" w:lineRule="exact"/>
        <w:rPr>
          <w:rFonts w:ascii="Arial" w:cs="Arial" w:eastAsia="Arial" w:hAnsi="Arial"/>
          <w:sz w:val="17"/>
          <w:szCs w:val="17"/>
          <w:color w:val="auto"/>
        </w:rPr>
      </w:pPr>
    </w:p>
    <w:p>
      <w:pPr>
        <w:jc w:val="both"/>
        <w:ind w:left="-540" w:firstLine="645"/>
        <w:spacing w:after="0" w:line="287" w:lineRule="auto"/>
        <w:tabs>
          <w:tab w:leader="none" w:pos="863"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Non-Contravention of Existing Instruments</w:t>
      </w:r>
      <w:r>
        <w:rPr>
          <w:rFonts w:ascii="Arial" w:cs="Arial" w:eastAsia="Arial" w:hAnsi="Arial"/>
          <w:sz w:val="16"/>
          <w:szCs w:val="16"/>
          <w:color w:val="auto"/>
        </w:rPr>
        <w:t>. Neither the Company nor any of the Subsidiaries is or, with the giving of notice or lapse of time or both, would currently be (i) in violation of its certificate or articles of incorporation, by-laws, certificate of formation, limited liability company agreement, partnership agreement or other organizational documents, as applicable, or (ii) in violation of or in default under any agreement, lease, contract, indenture or other instrument or obligation to which it is a party or by which it, or any of its properties, is bound, other than as disclosed in the Registration Statement and the Prospectus, including documents incorporated by reference therein, and, solely with respect to this clause (ii), would not, individually or in the aggregate, have a Material Adverse Effect. The execution and delivery of this Agreement and the consummation of the transactions contemplated hereby and by the Prospectus do not and will not conflict with or result in a breach of any of the terms or provisions of, or constitute a default under, any indenture, mortgage, deed of trust or other agreement or instrument to which the Company or any Subsidiary is a party or by which the Company or any Subsidiary or any of their respective properties is bound, or of the certificate or articles of incorporation or by-laws of the Company or any law, order, rule or regulation judgment, order, writ or decree applicable to the Company or any Subsidiary of any court or of any government, regulatory body or administrative agency or other governmental body having jurisdiction.</w:t>
      </w:r>
    </w:p>
    <w:p>
      <w:pPr>
        <w:spacing w:after="0" w:line="38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2" w:name="page13"/>
    <w:bookmarkEnd w:id="12"/>
    <w:p>
      <w:pPr>
        <w:jc w:val="both"/>
        <w:ind w:left="-540" w:firstLine="645"/>
        <w:spacing w:after="0" w:line="264" w:lineRule="auto"/>
        <w:tabs>
          <w:tab w:leader="none" w:pos="85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Authorization</w:t>
      </w:r>
      <w:r>
        <w:rPr>
          <w:rFonts w:ascii="Arial" w:cs="Arial" w:eastAsia="Arial" w:hAnsi="Arial"/>
          <w:sz w:val="18"/>
          <w:szCs w:val="18"/>
          <w:color w:val="auto"/>
        </w:rPr>
        <w:t>. The execution and delivery of, and the performance by the Company of its obligations under, this Agreement has been duly and validly authorized by all necessary corporate action on the part of the Company, and this Agreement has been duly executed and delivered by the Company.</w:t>
      </w:r>
    </w:p>
    <w:p>
      <w:pPr>
        <w:spacing w:after="0" w:line="181" w:lineRule="exact"/>
        <w:rPr>
          <w:rFonts w:ascii="Arial" w:cs="Arial" w:eastAsia="Arial" w:hAnsi="Arial"/>
          <w:sz w:val="18"/>
          <w:szCs w:val="18"/>
          <w:color w:val="auto"/>
        </w:rPr>
      </w:pPr>
    </w:p>
    <w:p>
      <w:pPr>
        <w:jc w:val="both"/>
        <w:ind w:left="-540" w:firstLine="645"/>
        <w:spacing w:after="0" w:line="257" w:lineRule="auto"/>
        <w:tabs>
          <w:tab w:leader="none" w:pos="789"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 Each approval, consent, order, authorization, designation, declaration or filing by or with any regulatory, administrative or other governmental body necessary in connection with the execution and delivery by the Company of this Agreement and the consummation of the transactions contemplated hereby (except such additional steps as may be required by the Commission or Financial Industry Regulatory Authority, Inc. (“</w:t>
      </w:r>
      <w:r>
        <w:rPr>
          <w:rFonts w:ascii="Arial" w:cs="Arial" w:eastAsia="Arial" w:hAnsi="Arial"/>
          <w:sz w:val="18"/>
          <w:szCs w:val="18"/>
          <w:b w:val="1"/>
          <w:bCs w:val="1"/>
          <w:u w:val="single" w:color="auto"/>
          <w:color w:val="auto"/>
        </w:rPr>
        <w:t>FINRA</w:t>
      </w:r>
      <w:r>
        <w:rPr>
          <w:rFonts w:ascii="Arial" w:cs="Arial" w:eastAsia="Arial" w:hAnsi="Arial"/>
          <w:sz w:val="18"/>
          <w:szCs w:val="18"/>
          <w:color w:val="auto"/>
        </w:rPr>
        <w:t>”) or such additional steps as may be necessary to qualify the Placement Shares for public offering under state securities or Blue Sky laws) has been obtained or made and is in full force and effect.</w:t>
      </w:r>
    </w:p>
    <w:p>
      <w:pPr>
        <w:spacing w:after="0" w:line="188" w:lineRule="exact"/>
        <w:rPr>
          <w:rFonts w:ascii="Arial" w:cs="Arial" w:eastAsia="Arial" w:hAnsi="Arial"/>
          <w:sz w:val="18"/>
          <w:szCs w:val="18"/>
          <w:color w:val="auto"/>
        </w:rPr>
      </w:pPr>
    </w:p>
    <w:p>
      <w:pPr>
        <w:jc w:val="both"/>
        <w:ind w:left="-540" w:firstLine="645"/>
        <w:spacing w:after="0" w:line="312" w:lineRule="auto"/>
        <w:tabs>
          <w:tab w:leader="none" w:pos="841"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No Material Actions or Proceedings</w:t>
      </w:r>
      <w:r>
        <w:rPr>
          <w:rFonts w:ascii="Arial" w:cs="Arial" w:eastAsia="Arial" w:hAnsi="Arial"/>
          <w:sz w:val="16"/>
          <w:szCs w:val="16"/>
          <w:color w:val="auto"/>
        </w:rPr>
        <w:t>. There is no action, suit, claim or proceeding pending or, to the knowledge of the Company, threatened against the Company or any of the Subsidiaries before any court or administrative agency or otherwise which if determined adversely to the Company or any of the Subsidiaries would have a Material Adverse Effect, except as set forth in the Registration Statement and the Prospectus.</w:t>
      </w:r>
    </w:p>
    <w:p>
      <w:pPr>
        <w:spacing w:after="0" w:line="146" w:lineRule="exact"/>
        <w:rPr>
          <w:rFonts w:ascii="Arial" w:cs="Arial" w:eastAsia="Arial" w:hAnsi="Arial"/>
          <w:sz w:val="16"/>
          <w:szCs w:val="16"/>
          <w:color w:val="auto"/>
        </w:rPr>
      </w:pPr>
    </w:p>
    <w:p>
      <w:pPr>
        <w:jc w:val="both"/>
        <w:ind w:left="-540" w:firstLine="645"/>
        <w:spacing w:after="0" w:line="259" w:lineRule="auto"/>
        <w:tabs>
          <w:tab w:leader="none" w:pos="90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No Labor Disputes</w:t>
      </w:r>
      <w:r>
        <w:rPr>
          <w:rFonts w:ascii="Arial" w:cs="Arial" w:eastAsia="Arial" w:hAnsi="Arial"/>
          <w:sz w:val="18"/>
          <w:szCs w:val="18"/>
          <w:color w:val="auto"/>
        </w:rPr>
        <w:t>. No material labor dispute with the employees of the Company or any of the Subsidiaries exists, except as described in the Registration Statement and the Prospectus, or, to the knowledge of the Company, is imminent; and the Company is not aware of any existing, threatened or imminent labor disturbance by the employees of any of its principal suppliers, manufacturers or contractors that would not have a Material Adverse Effect.</w:t>
      </w:r>
    </w:p>
    <w:p>
      <w:pPr>
        <w:spacing w:after="0" w:line="186" w:lineRule="exact"/>
        <w:rPr>
          <w:rFonts w:ascii="Arial" w:cs="Arial" w:eastAsia="Arial" w:hAnsi="Arial"/>
          <w:sz w:val="18"/>
          <w:szCs w:val="18"/>
          <w:color w:val="auto"/>
        </w:rPr>
      </w:pPr>
    </w:p>
    <w:p>
      <w:pPr>
        <w:jc w:val="both"/>
        <w:ind w:left="-540" w:firstLine="645"/>
        <w:spacing w:after="0" w:line="293" w:lineRule="auto"/>
        <w:tabs>
          <w:tab w:leader="none" w:pos="917"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All Necessary Permits, etc</w:t>
      </w:r>
      <w:r>
        <w:rPr>
          <w:rFonts w:ascii="Arial" w:cs="Arial" w:eastAsia="Arial" w:hAnsi="Arial"/>
          <w:sz w:val="16"/>
          <w:szCs w:val="16"/>
          <w:color w:val="auto"/>
        </w:rPr>
        <w:t>. The Company and each of the Subsidiaries hold all licenses, certificates and permits (collectively, “</w:t>
      </w:r>
      <w:r>
        <w:rPr>
          <w:rFonts w:ascii="Arial" w:cs="Arial" w:eastAsia="Arial" w:hAnsi="Arial"/>
          <w:sz w:val="16"/>
          <w:szCs w:val="16"/>
          <w:b w:val="1"/>
          <w:bCs w:val="1"/>
          <w:u w:val="single" w:color="auto"/>
          <w:color w:val="auto"/>
        </w:rPr>
        <w:t>Governmental Licenses</w:t>
      </w:r>
      <w:r>
        <w:rPr>
          <w:rFonts w:ascii="Arial" w:cs="Arial" w:eastAsia="Arial" w:hAnsi="Arial"/>
          <w:sz w:val="16"/>
          <w:szCs w:val="16"/>
          <w:color w:val="auto"/>
        </w:rPr>
        <w:t>”) from governmental authorities which are necessary to the conduct of their respective businesses, except where the failure to hold such licenses, certificates and permits would not have a Material Adverse Effect. The Company and the Subsidiaries are in compliance with the terms and conditions of all Governmental Licenses, and all of the Governmental Licenses are valid and in full force and effect, except where the failure to be in such compliance would not have a Material Adverse Effect. Neither the Company nor any of the Subsidiaries has received any written or other notice of proceedings relating to the revocation or modification of any Governmental License.</w:t>
      </w:r>
    </w:p>
    <w:p>
      <w:pPr>
        <w:spacing w:after="0" w:line="3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3" w:name="page14"/>
    <w:bookmarkEnd w:id="13"/>
    <w:p>
      <w:pPr>
        <w:jc w:val="both"/>
        <w:ind w:left="-540" w:firstLine="645"/>
        <w:spacing w:after="0" w:line="271" w:lineRule="auto"/>
        <w:tabs>
          <w:tab w:leader="none" w:pos="79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Tax Law Compliance</w:t>
      </w:r>
      <w:r>
        <w:rPr>
          <w:rFonts w:ascii="Arial" w:cs="Arial" w:eastAsia="Arial" w:hAnsi="Arial"/>
          <w:sz w:val="17"/>
          <w:szCs w:val="17"/>
          <w:color w:val="auto"/>
        </w:rPr>
        <w:t>. The Company and the Subsidiaries have filed all federal, state, local and foreign tax returns (or timely filed applicable extensions therefor) which have been required to be filed and have paid all taxes indicated by such returns and all assessments received by them to the extent that such taxes have become due, except for such taxes as are being contested in good faith and for which an adequate reserve or accrual has been established in accordance with U.S. GAAP or which would not, individually or in the aggregate, have a Material Adverse Effect. The accruals and reserves on the books and records of the Company and the Subsidiaries in respect of tax liabilities for any taxable period are adequate to meet any assessments and related liabilities for any such period, and neither the Company has no knowledge of any actual or proposed additional material tax assessments for any such period. Since June 30, 2017, the Company and the Subsidiaries have not incurred any liability for taxes other than in the ordinary course of business.</w:t>
      </w:r>
    </w:p>
    <w:p>
      <w:pPr>
        <w:spacing w:after="0" w:line="178" w:lineRule="exact"/>
        <w:rPr>
          <w:rFonts w:ascii="Arial" w:cs="Arial" w:eastAsia="Arial" w:hAnsi="Arial"/>
          <w:sz w:val="17"/>
          <w:szCs w:val="17"/>
          <w:color w:val="auto"/>
        </w:rPr>
      </w:pPr>
    </w:p>
    <w:p>
      <w:pPr>
        <w:jc w:val="both"/>
        <w:ind w:left="-540" w:firstLine="645"/>
        <w:spacing w:after="0" w:line="259" w:lineRule="auto"/>
        <w:tabs>
          <w:tab w:leader="none" w:pos="102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Company Not an “Investment Company</w:t>
      </w:r>
      <w:r>
        <w:rPr>
          <w:rFonts w:ascii="Arial" w:cs="Arial" w:eastAsia="Arial" w:hAnsi="Arial"/>
          <w:sz w:val="18"/>
          <w:szCs w:val="18"/>
          <w:color w:val="auto"/>
        </w:rPr>
        <w:t>.” Neither the Company nor any Subsidiary is or, after receipt of payment for the Placement Shares contemplated hereunder and the application of the net proceeds thereof as described in the Prospectus, will be required to register as an “investment company” within the meaning of such term under the Investment Company Act of 1940, as amended (the “</w:t>
      </w:r>
      <w:r>
        <w:rPr>
          <w:rFonts w:ascii="Arial" w:cs="Arial" w:eastAsia="Arial" w:hAnsi="Arial"/>
          <w:sz w:val="18"/>
          <w:szCs w:val="18"/>
          <w:b w:val="1"/>
          <w:bCs w:val="1"/>
          <w:u w:val="single" w:color="auto"/>
          <w:color w:val="auto"/>
        </w:rPr>
        <w:t>1940 Act</w:t>
      </w:r>
      <w:r>
        <w:rPr>
          <w:rFonts w:ascii="Arial" w:cs="Arial" w:eastAsia="Arial" w:hAnsi="Arial"/>
          <w:sz w:val="18"/>
          <w:szCs w:val="18"/>
          <w:color w:val="auto"/>
        </w:rPr>
        <w:t>”), and the rules and regulations of the Commission thereunder.</w:t>
      </w:r>
    </w:p>
    <w:p>
      <w:pPr>
        <w:spacing w:after="0" w:line="186" w:lineRule="exact"/>
        <w:rPr>
          <w:rFonts w:ascii="Arial" w:cs="Arial" w:eastAsia="Arial" w:hAnsi="Arial"/>
          <w:sz w:val="18"/>
          <w:szCs w:val="18"/>
          <w:color w:val="auto"/>
        </w:rPr>
      </w:pPr>
    </w:p>
    <w:p>
      <w:pPr>
        <w:jc w:val="both"/>
        <w:ind w:left="-540" w:firstLine="645"/>
        <w:spacing w:after="0" w:line="255" w:lineRule="auto"/>
        <w:tabs>
          <w:tab w:leader="none" w:pos="764"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each of the Subsidiaries carry, or are covered by, insurance in such amounts and covering such risks as is adequate for the conduct of their respective businesses and the value of their respective properties and as is customary for companies engaged in similar businesses. The Company has no reason to believe that it or any Subsidiary will not be able (i) to renew its existing insurance coverage as and when such policies expire except where the failure to obtain such a renewal would not have a Material Adverse Effect or (ii) to obtain comparable coverage from similar institutions as may be necessary or appropriate to conduct its business as now conducted and at a cost that would not have a Material Adverse Effect.</w:t>
      </w:r>
    </w:p>
    <w:p>
      <w:pPr>
        <w:spacing w:after="0" w:line="193" w:lineRule="exact"/>
        <w:rPr>
          <w:rFonts w:ascii="Arial" w:cs="Arial" w:eastAsia="Arial" w:hAnsi="Arial"/>
          <w:sz w:val="18"/>
          <w:szCs w:val="18"/>
          <w:color w:val="auto"/>
        </w:rPr>
      </w:pPr>
    </w:p>
    <w:p>
      <w:pPr>
        <w:jc w:val="both"/>
        <w:ind w:left="-540" w:firstLine="645"/>
        <w:spacing w:after="0" w:line="257" w:lineRule="auto"/>
        <w:tabs>
          <w:tab w:leader="none" w:pos="81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No Price Stabilization or Manipulation</w:t>
      </w:r>
      <w:r>
        <w:rPr>
          <w:rFonts w:ascii="Arial" w:cs="Arial" w:eastAsia="Arial" w:hAnsi="Arial"/>
          <w:sz w:val="18"/>
          <w:szCs w:val="18"/>
          <w:color w:val="auto"/>
        </w:rPr>
        <w:t>. Neither the Company, nor to the Company’s knowledge, any of its affiliates, has taken or may take, directly or indirectly, any action designed to cause or result in, or which has constituted or which might reasonably be expected to constitute, the stabilization or manipulation of the price of any security of the Company to facilitate the sale or resale of the Placement Shares. The Company acknowledges that Cowen may engage in passive market making transactions in the Common Stock on Nasdaq in accordance with Regulation M under the Exchange Act.</w:t>
      </w:r>
    </w:p>
    <w:p>
      <w:pPr>
        <w:spacing w:after="0" w:line="188" w:lineRule="exact"/>
        <w:rPr>
          <w:sz w:val="20"/>
          <w:szCs w:val="20"/>
          <w:color w:val="auto"/>
        </w:rPr>
      </w:pPr>
    </w:p>
    <w:p>
      <w:pPr>
        <w:ind w:left="-540" w:right="20" w:firstLine="645"/>
        <w:spacing w:after="0" w:line="277" w:lineRule="auto"/>
        <w:tabs>
          <w:tab w:leader="none" w:pos="100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There are no relationships or related-party transactions involving the Company or any of the Subsidiaries or any other person required to be described in the Prospectus which have not been described as required.</w:t>
      </w:r>
    </w:p>
    <w:p>
      <w:pPr>
        <w:spacing w:after="0" w:line="170" w:lineRule="exact"/>
        <w:rPr>
          <w:rFonts w:ascii="Arial" w:cs="Arial" w:eastAsia="Arial" w:hAnsi="Arial"/>
          <w:sz w:val="18"/>
          <w:szCs w:val="18"/>
          <w:color w:val="auto"/>
        </w:rPr>
      </w:pPr>
    </w:p>
    <w:p>
      <w:pPr>
        <w:jc w:val="both"/>
        <w:ind w:left="-540" w:firstLine="645"/>
        <w:spacing w:after="0" w:line="276" w:lineRule="auto"/>
        <w:tabs>
          <w:tab w:leader="none" w:pos="777"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Exchange Act Compliance</w:t>
      </w:r>
      <w:r>
        <w:rPr>
          <w:rFonts w:ascii="Arial" w:cs="Arial" w:eastAsia="Arial" w:hAnsi="Arial"/>
          <w:sz w:val="17"/>
          <w:szCs w:val="17"/>
          <w:color w:val="auto"/>
        </w:rPr>
        <w:t>. The documents incorporated or deemed to be incorporated by reference in the Prospectus, at the time they were or hereafter are filed with the Commission, complied and will comply in all material respects with the requirements of the Exchange Act, and, when read together with the other information in the Prospectus, at the Settlement Dates,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38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4" w:name="page15"/>
    <w:bookmarkEnd w:id="14"/>
    <w:p>
      <w:pPr>
        <w:jc w:val="both"/>
        <w:ind w:left="-540" w:firstLine="645"/>
        <w:spacing w:after="0" w:line="264" w:lineRule="auto"/>
        <w:tabs>
          <w:tab w:leader="none" w:pos="80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Sarbanes-Oxley Act</w:t>
      </w:r>
      <w:r>
        <w:rPr>
          <w:rFonts w:ascii="Arial" w:cs="Arial" w:eastAsia="Arial" w:hAnsi="Arial"/>
          <w:sz w:val="18"/>
          <w:szCs w:val="18"/>
          <w:color w:val="auto"/>
        </w:rPr>
        <w:t>. The Company is in compliance in all material respects with all applicable provisions of the Sarbanes-Oxley Act of 2002, as amended, and all rules and regulations promulgated thereunder or supplementing the provisions thereof (the “</w:t>
      </w:r>
      <w:r>
        <w:rPr>
          <w:rFonts w:ascii="Arial" w:cs="Arial" w:eastAsia="Arial" w:hAnsi="Arial"/>
          <w:sz w:val="18"/>
          <w:szCs w:val="18"/>
          <w:b w:val="1"/>
          <w:bCs w:val="1"/>
          <w:u w:val="single" w:color="auto"/>
          <w:color w:val="auto"/>
        </w:rPr>
        <w:t>Sarbanes-Oxley Act</w:t>
      </w:r>
      <w:r>
        <w:rPr>
          <w:rFonts w:ascii="Arial" w:cs="Arial" w:eastAsia="Arial" w:hAnsi="Arial"/>
          <w:sz w:val="18"/>
          <w:szCs w:val="18"/>
          <w:color w:val="auto"/>
        </w:rPr>
        <w:t>”) that are in effect.</w:t>
      </w:r>
    </w:p>
    <w:p>
      <w:pPr>
        <w:spacing w:after="0" w:line="181" w:lineRule="exact"/>
        <w:rPr>
          <w:rFonts w:ascii="Arial" w:cs="Arial" w:eastAsia="Arial" w:hAnsi="Arial"/>
          <w:sz w:val="18"/>
          <w:szCs w:val="18"/>
          <w:color w:val="auto"/>
        </w:rPr>
      </w:pPr>
    </w:p>
    <w:p>
      <w:pPr>
        <w:jc w:val="both"/>
        <w:ind w:left="-540" w:firstLine="645"/>
        <w:spacing w:after="0" w:line="291" w:lineRule="auto"/>
        <w:tabs>
          <w:tab w:leader="none" w:pos="723"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No Unlawful Contributions or Other Payments</w:t>
      </w:r>
      <w:r>
        <w:rPr>
          <w:rFonts w:ascii="Arial" w:cs="Arial" w:eastAsia="Arial" w:hAnsi="Arial"/>
          <w:sz w:val="16"/>
          <w:szCs w:val="16"/>
          <w:color w:val="auto"/>
        </w:rPr>
        <w:t>. Neither the Company nor any of its Subsidiaries nor, to the Company’s knowledge, any director, officer, employee, agent, controlled affiliate or other person acting on behalf of the Company or any Subsidiary has (i) used any corporate funds for any unlawful contribution, gift, entertainment or other unlawful expense relating to political activity; (ii) made any direct or indirect unlawful payment to any foreign or domestic government officials or employees, political parties or campaigns, political party officials, or candidates for political office from corporate funds; (iii) violated or is in violation of any provision of the U.S. Foreign Corrupt Practices Act of 1977, as amended, or any applicable anti-corruption laws, rules, or regulations of any other jurisdiction in which the Company or any subsidiary conducts business; or (iv) made any other unlawful bribe, rebate, payoff, influence payment, kickback or other unlawful payment to any person.</w:t>
      </w:r>
    </w:p>
    <w:p>
      <w:pPr>
        <w:spacing w:after="0" w:line="167" w:lineRule="exact"/>
        <w:rPr>
          <w:rFonts w:ascii="Arial" w:cs="Arial" w:eastAsia="Arial" w:hAnsi="Arial"/>
          <w:sz w:val="16"/>
          <w:szCs w:val="16"/>
          <w:color w:val="auto"/>
        </w:rPr>
      </w:pPr>
    </w:p>
    <w:p>
      <w:pPr>
        <w:jc w:val="both"/>
        <w:ind w:left="-540" w:firstLine="645"/>
        <w:spacing w:after="0" w:line="271" w:lineRule="auto"/>
        <w:tabs>
          <w:tab w:leader="none" w:pos="748"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Compliance with Money Laundering Laws</w:t>
      </w:r>
      <w:r>
        <w:rPr>
          <w:rFonts w:ascii="Arial" w:cs="Arial" w:eastAsia="Arial" w:hAnsi="Arial"/>
          <w:sz w:val="17"/>
          <w:szCs w:val="17"/>
          <w:color w:val="auto"/>
        </w:rPr>
        <w:t>. The operations of the Company and its Subsidiaries are and have been conducted at all times in compliance with all applicable financial recordkeeping and reporting requirements, including those of the U.S.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u w:val="single" w:color="auto"/>
          <w:color w:val="auto"/>
        </w:rPr>
        <w:t>Anti-Money Laundering Laws</w:t>
      </w:r>
      <w:r>
        <w:rPr>
          <w:rFonts w:ascii="Arial" w:cs="Arial" w:eastAsia="Arial" w:hAnsi="Arial"/>
          <w:sz w:val="17"/>
          <w:szCs w:val="17"/>
          <w:color w:val="auto"/>
        </w:rPr>
        <w:t>”), and no action, suit or proceeding by or before any court or governmental agency, authority, body or any arbitrator involving the Company or any of its Subsidiaries with respect to Anti-Money Laundering Laws is pending, or to the knowledge of the Company, threatened in writing.</w:t>
      </w:r>
    </w:p>
    <w:p>
      <w:pPr>
        <w:spacing w:after="0" w:line="178" w:lineRule="exact"/>
        <w:rPr>
          <w:rFonts w:ascii="Arial" w:cs="Arial" w:eastAsia="Arial" w:hAnsi="Arial"/>
          <w:sz w:val="17"/>
          <w:szCs w:val="17"/>
          <w:color w:val="auto"/>
        </w:rPr>
      </w:pPr>
    </w:p>
    <w:p>
      <w:pPr>
        <w:ind w:left="740" w:hanging="635"/>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Compliance with OFAC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00" w:firstLine="653"/>
        <w:spacing w:after="0" w:line="272" w:lineRule="auto"/>
        <w:tabs>
          <w:tab w:leader="none" w:pos="1508" w:val="left"/>
        </w:tabs>
        <w:numPr>
          <w:ilvl w:val="1"/>
          <w:numId w:val="14"/>
        </w:numPr>
        <w:rPr>
          <w:rFonts w:ascii="Arial" w:cs="Arial" w:eastAsia="Arial" w:hAnsi="Arial"/>
          <w:sz w:val="17"/>
          <w:szCs w:val="17"/>
          <w:color w:val="auto"/>
        </w:rPr>
      </w:pPr>
      <w:r>
        <w:rPr>
          <w:rFonts w:ascii="Arial" w:cs="Arial" w:eastAsia="Arial" w:hAnsi="Arial"/>
          <w:sz w:val="17"/>
          <w:szCs w:val="17"/>
          <w:color w:val="auto"/>
        </w:rPr>
        <w:t>Neither the Company nor any of its Subsidiaries, nor any director, officer or employee thereof acting on behalf of the Company, nor to the Company’s knowledge, any agent, controlled affiliate, representative, or other person acting on behalf of the Company or any of its Subsidiaries, is an individual or entity (“</w:t>
      </w:r>
      <w:r>
        <w:rPr>
          <w:rFonts w:ascii="Arial" w:cs="Arial" w:eastAsia="Arial" w:hAnsi="Arial"/>
          <w:sz w:val="17"/>
          <w:szCs w:val="17"/>
          <w:b w:val="1"/>
          <w:bCs w:val="1"/>
          <w:u w:val="single" w:color="auto"/>
          <w:color w:val="auto"/>
        </w:rPr>
        <w:t>Person</w:t>
      </w:r>
      <w:r>
        <w:rPr>
          <w:rFonts w:ascii="Arial" w:cs="Arial" w:eastAsia="Arial" w:hAnsi="Arial"/>
          <w:sz w:val="17"/>
          <w:szCs w:val="17"/>
          <w:color w:val="auto"/>
        </w:rPr>
        <w:t>”) that is, or is owned or controlled by a Person that is: (A) the subject of any sanctions administered or enforced by the U.S. Department of Treasury’s Office of Foreign Assets Control (“</w:t>
      </w:r>
      <w:r>
        <w:rPr>
          <w:rFonts w:ascii="Arial" w:cs="Arial" w:eastAsia="Arial" w:hAnsi="Arial"/>
          <w:sz w:val="17"/>
          <w:szCs w:val="17"/>
          <w:b w:val="1"/>
          <w:bCs w:val="1"/>
          <w:u w:val="single" w:color="auto"/>
          <w:color w:val="auto"/>
        </w:rPr>
        <w:t>OFAC</w:t>
      </w:r>
      <w:r>
        <w:rPr>
          <w:rFonts w:ascii="Arial" w:cs="Arial" w:eastAsia="Arial" w:hAnsi="Arial"/>
          <w:sz w:val="17"/>
          <w:szCs w:val="17"/>
          <w:color w:val="auto"/>
        </w:rPr>
        <w:t>”), the United Nations Security Council (“</w:t>
      </w:r>
      <w:r>
        <w:rPr>
          <w:rFonts w:ascii="Arial" w:cs="Arial" w:eastAsia="Arial" w:hAnsi="Arial"/>
          <w:sz w:val="17"/>
          <w:szCs w:val="17"/>
          <w:b w:val="1"/>
          <w:bCs w:val="1"/>
          <w:u w:val="single" w:color="auto"/>
          <w:color w:val="auto"/>
        </w:rPr>
        <w:t>UNSC</w:t>
      </w:r>
      <w:r>
        <w:rPr>
          <w:rFonts w:ascii="Arial" w:cs="Arial" w:eastAsia="Arial" w:hAnsi="Arial"/>
          <w:sz w:val="17"/>
          <w:szCs w:val="17"/>
          <w:color w:val="auto"/>
        </w:rPr>
        <w:t>”), the European Union (“</w:t>
      </w:r>
      <w:r>
        <w:rPr>
          <w:rFonts w:ascii="Arial" w:cs="Arial" w:eastAsia="Arial" w:hAnsi="Arial"/>
          <w:sz w:val="17"/>
          <w:szCs w:val="17"/>
          <w:b w:val="1"/>
          <w:bCs w:val="1"/>
          <w:u w:val="single" w:color="auto"/>
          <w:color w:val="auto"/>
        </w:rPr>
        <w:t>EU</w:t>
      </w:r>
      <w:r>
        <w:rPr>
          <w:rFonts w:ascii="Arial" w:cs="Arial" w:eastAsia="Arial" w:hAnsi="Arial"/>
          <w:sz w:val="17"/>
          <w:szCs w:val="17"/>
          <w:color w:val="auto"/>
        </w:rPr>
        <w:t>”), Her Majesty’s Treasury (“</w:t>
      </w:r>
      <w:r>
        <w:rPr>
          <w:rFonts w:ascii="Arial" w:cs="Arial" w:eastAsia="Arial" w:hAnsi="Arial"/>
          <w:sz w:val="17"/>
          <w:szCs w:val="17"/>
          <w:b w:val="1"/>
          <w:bCs w:val="1"/>
          <w:u w:val="single" w:color="auto"/>
          <w:color w:val="auto"/>
        </w:rPr>
        <w:t>HMT</w:t>
      </w:r>
      <w:r>
        <w:rPr>
          <w:rFonts w:ascii="Arial" w:cs="Arial" w:eastAsia="Arial" w:hAnsi="Arial"/>
          <w:sz w:val="17"/>
          <w:szCs w:val="17"/>
          <w:color w:val="auto"/>
        </w:rPr>
        <w:t>”), or other relevant sanctions authority (collectively, “</w:t>
      </w:r>
      <w:r>
        <w:rPr>
          <w:rFonts w:ascii="Arial" w:cs="Arial" w:eastAsia="Arial" w:hAnsi="Arial"/>
          <w:sz w:val="17"/>
          <w:szCs w:val="17"/>
          <w:b w:val="1"/>
          <w:bCs w:val="1"/>
          <w:u w:val="single" w:color="auto"/>
          <w:color w:val="auto"/>
        </w:rPr>
        <w:t>Sanctions</w:t>
      </w:r>
      <w:r>
        <w:rPr>
          <w:rFonts w:ascii="Arial" w:cs="Arial" w:eastAsia="Arial" w:hAnsi="Arial"/>
          <w:sz w:val="17"/>
          <w:szCs w:val="17"/>
          <w:color w:val="auto"/>
        </w:rPr>
        <w:t>”), nor (B) located, organized, or resident in a country or territory that is the subject of a U.S. government embargo (including, without limitation, Cuba, Iran, North Korea, Sudan, Syria and the Crimea).</w:t>
      </w:r>
    </w:p>
    <w:p>
      <w:pPr>
        <w:spacing w:after="0" w:line="39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5" w:name="page16"/>
    <w:bookmarkEnd w:id="15"/>
    <w:p>
      <w:pPr>
        <w:jc w:val="both"/>
        <w:ind w:left="644" w:firstLine="653"/>
        <w:spacing w:after="0" w:line="257" w:lineRule="auto"/>
        <w:tabs>
          <w:tab w:leader="none" w:pos="2056" w:val="left"/>
        </w:tabs>
        <w:numPr>
          <w:ilvl w:val="2"/>
          <w:numId w:val="15"/>
        </w:numPr>
        <w:rPr>
          <w:rFonts w:ascii="Arial" w:cs="Arial" w:eastAsia="Arial" w:hAnsi="Arial"/>
          <w:sz w:val="18"/>
          <w:szCs w:val="18"/>
          <w:color w:val="auto"/>
        </w:rPr>
      </w:pPr>
      <w:r>
        <w:rPr>
          <w:rFonts w:ascii="Arial" w:cs="Arial" w:eastAsia="Arial" w:hAnsi="Arial"/>
          <w:sz w:val="18"/>
          <w:szCs w:val="18"/>
          <w:color w:val="auto"/>
        </w:rPr>
        <w:t xml:space="preserve">The Company will not, directly or indirectly, use the Net Proceeds (as defined in </w:t>
      </w:r>
      <w:r>
        <w:rPr>
          <w:rFonts w:ascii="Arial" w:cs="Arial" w:eastAsia="Arial" w:hAnsi="Arial"/>
          <w:sz w:val="18"/>
          <w:szCs w:val="18"/>
          <w:u w:val="single" w:color="auto"/>
          <w:color w:val="auto"/>
        </w:rPr>
        <w:t>Section 5(a)</w:t>
      </w:r>
      <w:r>
        <w:rPr>
          <w:rFonts w:ascii="Arial" w:cs="Arial" w:eastAsia="Arial" w:hAnsi="Arial"/>
          <w:sz w:val="18"/>
          <w:szCs w:val="18"/>
          <w:color w:val="auto"/>
        </w:rPr>
        <w:t>), or lend, contribute or otherwise make available such Net Proceeds to any subsidiary, joint venture partner or other Person: (A) to fund or facilitate any activities or business of or with any Person that, at the time of such funding or facilitation, is the subject of Sanctions, or in any country or territory that, at the time of such funding or facilitation, is the subject of a U.S. government embargo; or (B) in any other manner that will result in a violation of Sanctions by any Person (including Cowen)</w:t>
      </w:r>
    </w:p>
    <w:p>
      <w:pPr>
        <w:spacing w:after="0" w:line="188" w:lineRule="exact"/>
        <w:rPr>
          <w:rFonts w:ascii="Arial" w:cs="Arial" w:eastAsia="Arial" w:hAnsi="Arial"/>
          <w:sz w:val="18"/>
          <w:szCs w:val="18"/>
          <w:color w:val="auto"/>
        </w:rPr>
      </w:pPr>
    </w:p>
    <w:p>
      <w:pPr>
        <w:jc w:val="both"/>
        <w:ind w:left="644" w:firstLine="653"/>
        <w:spacing w:after="0" w:line="259" w:lineRule="auto"/>
        <w:tabs>
          <w:tab w:leader="none" w:pos="2046" w:val="left"/>
        </w:tabs>
        <w:numPr>
          <w:ilvl w:val="2"/>
          <w:numId w:val="15"/>
        </w:numPr>
        <w:rPr>
          <w:rFonts w:ascii="Arial" w:cs="Arial" w:eastAsia="Arial" w:hAnsi="Arial"/>
          <w:sz w:val="18"/>
          <w:szCs w:val="18"/>
          <w:color w:val="auto"/>
        </w:rPr>
      </w:pPr>
      <w:r>
        <w:rPr>
          <w:rFonts w:ascii="Arial" w:cs="Arial" w:eastAsia="Arial" w:hAnsi="Arial"/>
          <w:sz w:val="18"/>
          <w:szCs w:val="18"/>
          <w:color w:val="auto"/>
        </w:rPr>
        <w:t>For the past five (5) years, the Company and its Subsidiaries have not knowingly engaged in, are not now knowingly engaged in, and will not engage in, any direct or indirect dealings or transactions with any Person that at the time of the dealing or transaction is or was the subject of Sanctions or any country or territory that, at the time of the dealing or transaction is or was the subject of a U.S. government embargo.</w:t>
      </w:r>
    </w:p>
    <w:p>
      <w:pPr>
        <w:spacing w:after="0" w:line="186" w:lineRule="exact"/>
        <w:rPr>
          <w:rFonts w:ascii="Arial" w:cs="Arial" w:eastAsia="Arial" w:hAnsi="Arial"/>
          <w:sz w:val="18"/>
          <w:szCs w:val="18"/>
          <w:color w:val="auto"/>
        </w:rPr>
      </w:pPr>
    </w:p>
    <w:p>
      <w:pPr>
        <w:ind w:left="4" w:firstLine="645"/>
        <w:spacing w:after="0" w:line="342" w:lineRule="auto"/>
        <w:tabs>
          <w:tab w:leader="none" w:pos="1434"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Unlawful Contributions</w:t>
      </w:r>
      <w:r>
        <w:rPr>
          <w:rFonts w:ascii="Arial" w:cs="Arial" w:eastAsia="Arial" w:hAnsi="Arial"/>
          <w:sz w:val="16"/>
          <w:szCs w:val="16"/>
          <w:color w:val="auto"/>
        </w:rPr>
        <w:t>. Neither the Company nor any of the Subsidiaries has made any contribution or other payment to any official of, or candidate for, any federal, state or foreign office in violation of any law which violation is required to be disclosed in the Prospectus.</w:t>
      </w:r>
    </w:p>
    <w:p>
      <w:pPr>
        <w:spacing w:after="0" w:line="123" w:lineRule="exact"/>
        <w:rPr>
          <w:rFonts w:ascii="Arial" w:cs="Arial" w:eastAsia="Arial" w:hAnsi="Arial"/>
          <w:sz w:val="16"/>
          <w:szCs w:val="16"/>
          <w:color w:val="auto"/>
        </w:rPr>
      </w:pPr>
    </w:p>
    <w:p>
      <w:pPr>
        <w:jc w:val="both"/>
        <w:ind w:left="4" w:firstLine="645"/>
        <w:spacing w:after="0" w:line="288" w:lineRule="auto"/>
        <w:tabs>
          <w:tab w:leader="none" w:pos="1326"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Company’s Accounting System</w:t>
      </w:r>
      <w:r>
        <w:rPr>
          <w:rFonts w:ascii="Arial" w:cs="Arial" w:eastAsia="Arial" w:hAnsi="Arial"/>
          <w:sz w:val="16"/>
          <w:szCs w:val="16"/>
          <w:color w:val="auto"/>
        </w:rPr>
        <w:t>. The Company and the Subsidiaries maintain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U.S. GAAP and to maintain accountability for assets;</w:t>
      </w:r>
    </w:p>
    <w:p>
      <w:pPr>
        <w:jc w:val="both"/>
        <w:ind w:left="4" w:hanging="4"/>
        <w:spacing w:after="0" w:line="253" w:lineRule="auto"/>
        <w:tabs>
          <w:tab w:leader="none" w:pos="3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access to assets is permitted only in accordance with management’s general or specific authorization; and (iv) the recorded accountability for assets is compared with existing assets at reasonable intervals and appropriate action is taken with respect to any differences. Except as disclosed in the Prospectus, neither the Company nor any of the Subsidiaries is aware of (A) any material weakness in its internal control over financial reporting or (B) change in internal control over financial reporting that has materially affected, or is reasonably likely to materially affect, the Company’s internal control over financial reporting.</w:t>
      </w:r>
    </w:p>
    <w:p>
      <w:pPr>
        <w:spacing w:after="0" w:line="191" w:lineRule="exact"/>
        <w:rPr>
          <w:rFonts w:ascii="Arial" w:cs="Arial" w:eastAsia="Arial" w:hAnsi="Arial"/>
          <w:sz w:val="18"/>
          <w:szCs w:val="18"/>
          <w:color w:val="auto"/>
        </w:rPr>
      </w:pPr>
    </w:p>
    <w:p>
      <w:pPr>
        <w:jc w:val="both"/>
        <w:ind w:left="4" w:firstLine="645"/>
        <w:spacing w:after="0" w:line="255" w:lineRule="auto"/>
        <w:tabs>
          <w:tab w:leader="none" w:pos="1407"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Disclosure Controls</w:t>
      </w:r>
      <w:r>
        <w:rPr>
          <w:rFonts w:ascii="Arial" w:cs="Arial" w:eastAsia="Arial" w:hAnsi="Arial"/>
          <w:sz w:val="18"/>
          <w:szCs w:val="18"/>
          <w:color w:val="auto"/>
        </w:rPr>
        <w:t>. The Company has established and maintains “disclosure controls and procedures” (as defined in Rules 13a-14(c) and 15d-14(c) under the Exchange Act); the Company’s “disclosure controls and procedures” are reasonably designed to ensure that all information (both financial and non-financial) required to be disclosed by the Company in the reports that it files or submits under the Exchange Act is recorded, processed, summarized and reported within the time periods specified in the rules and regulations of the Exchange Act, and that all such information is accumulated and communicated to the Company’s management as appropriate to allow timely decisions regarding required disclosure and to make the certifications of the Chief Executive Officer and Chief Financial Officer of the Company required under the Exchange Act with respect to such reports.</w:t>
      </w:r>
    </w:p>
    <w:p>
      <w:pPr>
        <w:spacing w:after="0" w:line="200" w:lineRule="exact"/>
        <w:rPr>
          <w:sz w:val="20"/>
          <w:szCs w:val="20"/>
          <w:color w:val="auto"/>
        </w:rPr>
      </w:pPr>
    </w:p>
    <w:p>
      <w:pPr>
        <w:spacing w:after="0" w:line="205"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6" w:name="page17"/>
    <w:bookmarkEnd w:id="16"/>
    <w:p>
      <w:pPr>
        <w:jc w:val="both"/>
        <w:ind w:left="-540" w:firstLine="645"/>
        <w:spacing w:after="0" w:line="272" w:lineRule="auto"/>
        <w:tabs>
          <w:tab w:leader="none" w:pos="981"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Compliance with Environmental Laws</w:t>
      </w:r>
      <w:r>
        <w:rPr>
          <w:rFonts w:ascii="Arial" w:cs="Arial" w:eastAsia="Arial" w:hAnsi="Arial"/>
          <w:sz w:val="17"/>
          <w:szCs w:val="17"/>
          <w:color w:val="auto"/>
        </w:rPr>
        <w:t>. Neither the Company nor any of the Subsidiaries is in violation of any statute,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7"/>
          <w:szCs w:val="17"/>
          <w:b w:val="1"/>
          <w:bCs w:val="1"/>
          <w:u w:val="single" w:color="auto"/>
          <w:color w:val="auto"/>
        </w:rPr>
        <w:t>environmental laws</w:t>
      </w:r>
      <w:r>
        <w:rPr>
          <w:rFonts w:ascii="Arial" w:cs="Arial" w:eastAsia="Arial" w:hAnsi="Arial"/>
          <w:sz w:val="17"/>
          <w:szCs w:val="17"/>
          <w:color w:val="auto"/>
        </w:rPr>
        <w:t>”), owns or operates any real property that is, to the knowledge of the Company, contaminated with any substance that is subject to environmental laws, is liable for any off-site disposal or contamination pursuant to any environmental laws, or is subject to any claim relating to any environmental laws, which violation, contamination, liability or claim would, individually or in the aggregate, have a Material Adverse Effect; and the Company is not aware of any pending investigation which might lead to such a claim.</w:t>
      </w:r>
    </w:p>
    <w:p>
      <w:pPr>
        <w:spacing w:after="0" w:line="177" w:lineRule="exact"/>
        <w:rPr>
          <w:rFonts w:ascii="Arial" w:cs="Arial" w:eastAsia="Arial" w:hAnsi="Arial"/>
          <w:sz w:val="17"/>
          <w:szCs w:val="17"/>
          <w:color w:val="auto"/>
        </w:rPr>
      </w:pPr>
    </w:p>
    <w:p>
      <w:pPr>
        <w:jc w:val="both"/>
        <w:ind w:left="-540" w:firstLine="645"/>
        <w:spacing w:after="0" w:line="285" w:lineRule="auto"/>
        <w:tabs>
          <w:tab w:leader="none" w:pos="768"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Except as described in the Registration Statement and the Prospectus, the Company and the Subsidiaries each own, possess, have rights to, or can acquire on reasonable terms all material patents, patent rights, trademarks, trade names, service marks, service names, copyrights, license rights, know-how (including trade secrets and other unpatented and unpatentable proprietary or confidential information, systems or procedures) and other intellectual property rights (“</w:t>
      </w:r>
      <w:r>
        <w:rPr>
          <w:rFonts w:ascii="Arial" w:cs="Arial" w:eastAsia="Arial" w:hAnsi="Arial"/>
          <w:sz w:val="16"/>
          <w:szCs w:val="16"/>
          <w:b w:val="1"/>
          <w:bCs w:val="1"/>
          <w:u w:val="single" w:color="auto"/>
          <w:color w:val="auto"/>
        </w:rPr>
        <w:t>Intellectual Property</w:t>
      </w:r>
      <w:r>
        <w:rPr>
          <w:rFonts w:ascii="Arial" w:cs="Arial" w:eastAsia="Arial" w:hAnsi="Arial"/>
          <w:sz w:val="16"/>
          <w:szCs w:val="16"/>
          <w:color w:val="auto"/>
        </w:rPr>
        <w:t>”) necessary to carry on their respective business, except where the failure to own or possess or inability to acquire on reasonable terms any such Intellectual Property would not have a Material Adverse Effect. There are no outstanding options, licenses or agreements of any kind relating to the Intellectual Property of the Company that are required to be described in the Registration Statement and the Prospectus and that are not described in all material respects. None of the technology employed by the Company or any of the Subsidiaries has been obtained or is being used by the Company in violation of any contractual obligation binding on the Company, any of the Subsidiaries or, to the knowledge of the Company, any of the officers, directors or employees of the Company or any of the Subsidiaries, other than such violations as would not individually or in the aggregate if the subject of an unfavorable decision, ruling or finding, have a Material Adverse Effect. To the Company’s knowledge, neither the Company nor the Subsidiaries has infringed or violated the valid and enforceable Intellectual Property of any other person that would, individually or in the aggregate, have a Material Adverse Effect. Except as described in the Registration Statement, and the Prospectus, neither the Company nor any of the Subsidiaries has received any written or oral notice or communications alleging that the Company or any of the Subsidiaries has violated, infringed or conflicted with, or by conducting its business as set forth in the Registration Statement and the Prospectus, would violate, infringe or conflict with, any of the Intellectual Property of any other person or entity, other than such violations, infringements or conflicts which, individually or in the aggregate if the subject of an unfavorable decision, ruling or finding, would not have a Material Adverse Effect. The Company knows of no infringement by others of Intellectual Property owned by or licensed to the Company or any of the Subsidiaries, which would have a Material Adverse Effect.</w:t>
      </w:r>
    </w:p>
    <w:p>
      <w:pPr>
        <w:spacing w:after="0" w:line="38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7" w:name="page18"/>
    <w:bookmarkEnd w:id="17"/>
    <w:p>
      <w:pPr>
        <w:jc w:val="both"/>
        <w:ind w:left="-540" w:firstLine="645"/>
        <w:spacing w:after="0" w:line="284" w:lineRule="auto"/>
        <w:tabs>
          <w:tab w:leader="none" w:pos="805"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Health Care Laws</w:t>
      </w:r>
      <w:r>
        <w:rPr>
          <w:rFonts w:ascii="Arial" w:cs="Arial" w:eastAsia="Arial" w:hAnsi="Arial"/>
          <w:sz w:val="16"/>
          <w:szCs w:val="16"/>
          <w:color w:val="auto"/>
        </w:rPr>
        <w:t>. Except as described in the Registration Statement and the Prospectus, and except as would not, individually or in the aggregate, have a Material Adverse Effect: (i) neither the Company nor any of the Subsidiaries has received any unresolved FDA Form 483, notice of adverse filing, warning letter, untitled letter or other correspondence or notice from the U.S. Food and Drug Administration (“</w:t>
      </w:r>
      <w:r>
        <w:rPr>
          <w:rFonts w:ascii="Arial" w:cs="Arial" w:eastAsia="Arial" w:hAnsi="Arial"/>
          <w:sz w:val="16"/>
          <w:szCs w:val="16"/>
          <w:b w:val="1"/>
          <w:bCs w:val="1"/>
          <w:u w:val="single" w:color="auto"/>
          <w:color w:val="auto"/>
        </w:rPr>
        <w:t>FDA</w:t>
      </w:r>
      <w:r>
        <w:rPr>
          <w:rFonts w:ascii="Arial" w:cs="Arial" w:eastAsia="Arial" w:hAnsi="Arial"/>
          <w:sz w:val="16"/>
          <w:szCs w:val="16"/>
          <w:color w:val="auto"/>
        </w:rPr>
        <w:t>”), or any other court or arbitrator or federal, state, local or foreign governmental or regulatory authority, alleging or asserting noncompliance with the Federal Food, Drug and Cosmetic Act (21 U.S.C. § 301 et seq.) (the “</w:t>
      </w:r>
      <w:r>
        <w:rPr>
          <w:rFonts w:ascii="Arial" w:cs="Arial" w:eastAsia="Arial" w:hAnsi="Arial"/>
          <w:sz w:val="16"/>
          <w:szCs w:val="16"/>
          <w:b w:val="1"/>
          <w:bCs w:val="1"/>
          <w:u w:val="single" w:color="auto"/>
          <w:color w:val="auto"/>
        </w:rPr>
        <w:t>FFDCA</w:t>
      </w:r>
      <w:r>
        <w:rPr>
          <w:rFonts w:ascii="Arial" w:cs="Arial" w:eastAsia="Arial" w:hAnsi="Arial"/>
          <w:sz w:val="16"/>
          <w:szCs w:val="16"/>
          <w:color w:val="auto"/>
        </w:rPr>
        <w:t>”); (ii) the Company and each of the Subsidiaries is and has been in compliance with applicable health care laws, including without limitation, the FFDCA, the federal Anti-Kickback Statute (42 U.S.C. § 1320a-7b(b)), the civil False Claims Act (31 U.S.C. §§ 3729 et seq.), the administrative False Claims Law (42 U.S.C. § 1320a-7b(a)), the Anti-Inducement Law (42 U.S.C. § 1320a-7a(a)(5)), the Health Insurance Portability and Accountability Act of 1996 (42 U.S.C. § 1320d et seq.), the exclusion laws, Social Security Act § 1128 (42 U.S.C. § 1320a-7), Medicare (Title XVIII of the Social Security Act), Medicaid (Title XIX of the Social Security Act), and the Patient Protection and Affordable Care Act of 2010 (Public Law 111-148), as amended by the Health Care and Education Affordability Reconciliation Act of 2010 (Public Law 111-152), and the regulations promulgated pursuant to such laws, and comparable state laws, and all other local, state, federal, national, supranational and foreign laws, manual provisions, policies and administrative guidance relating to the regulation of the Company (collectively, “</w:t>
      </w:r>
      <w:r>
        <w:rPr>
          <w:rFonts w:ascii="Arial" w:cs="Arial" w:eastAsia="Arial" w:hAnsi="Arial"/>
          <w:sz w:val="16"/>
          <w:szCs w:val="16"/>
          <w:b w:val="1"/>
          <w:bCs w:val="1"/>
          <w:u w:val="single" w:color="auto"/>
          <w:color w:val="auto"/>
        </w:rPr>
        <w:t>Health Care Laws</w:t>
      </w:r>
      <w:r>
        <w:rPr>
          <w:rFonts w:ascii="Arial" w:cs="Arial" w:eastAsia="Arial" w:hAnsi="Arial"/>
          <w:sz w:val="16"/>
          <w:szCs w:val="16"/>
          <w:color w:val="auto"/>
        </w:rPr>
        <w:t>”); (iii) the Company and each of the Subsidiaries possesses all licenses, certificates, approvals, clearances, authorizations, permits and supplements or amendments thereto required by any such Health Care Laws and/or to carry on its businesses as now or proposed to be conducted (“</w:t>
      </w:r>
      <w:r>
        <w:rPr>
          <w:rFonts w:ascii="Arial" w:cs="Arial" w:eastAsia="Arial" w:hAnsi="Arial"/>
          <w:sz w:val="16"/>
          <w:szCs w:val="16"/>
          <w:b w:val="1"/>
          <w:bCs w:val="1"/>
          <w:u w:val="single" w:color="auto"/>
          <w:color w:val="auto"/>
        </w:rPr>
        <w:t>Authorizations</w:t>
      </w:r>
      <w:r>
        <w:rPr>
          <w:rFonts w:ascii="Arial" w:cs="Arial" w:eastAsia="Arial" w:hAnsi="Arial"/>
          <w:sz w:val="16"/>
          <w:szCs w:val="16"/>
          <w:color w:val="auto"/>
        </w:rPr>
        <w:t>”) and such Authorizations are valid and in full force and effect and the Company is not in violation of any term of any such Authorizations; (iv) neither the Company nor any of the Subsidiaries has received notice of any ongoing claim, action, suit, proceeding, hearing, enforcement, investigation, arbitration or other action from any U.S. or non-U.S. federal, state, local or other governmental or regulatory authority, governmental or regulatory agency or body, court, arbitrator or self-regulatory organization (each, a “</w:t>
      </w:r>
      <w:r>
        <w:rPr>
          <w:rFonts w:ascii="Arial" w:cs="Arial" w:eastAsia="Arial" w:hAnsi="Arial"/>
          <w:sz w:val="16"/>
          <w:szCs w:val="16"/>
          <w:b w:val="1"/>
          <w:bCs w:val="1"/>
          <w:u w:val="single" w:color="auto"/>
          <w:color w:val="auto"/>
        </w:rPr>
        <w:t>Governmental Authority</w:t>
      </w:r>
      <w:r>
        <w:rPr>
          <w:rFonts w:ascii="Arial" w:cs="Arial" w:eastAsia="Arial" w:hAnsi="Arial"/>
          <w:sz w:val="16"/>
          <w:szCs w:val="16"/>
          <w:color w:val="auto"/>
        </w:rPr>
        <w:t>”) or third party alleging that any product operation or activity is in violation of any Health Care Laws or Authorizations or has any knowledge that any such Governmental Authority or third party is considering any such claim, litigation, arbitration, action, suit, investigation or proceeding; (v) neither the Company nor any of the Subsidiaries has received notice that any Governmental Authority has taken, is taking or intends to take action to limit, suspend, modify or revoke any Authorizations or has any knowledge that any such Governmental Authority is considering such action; (vi) the Company and each of the Subsidiaries has filed, obtained, maintained or submitted all reports, documents, forms, notices, applications, records, claims, submissions and supplements or amendments as required by any Health Care Laws or Authorizations and that all such reports, documents, forms, notices, applications, records, claims, submissions and supplements or amendments were complete, correct and not misleading on the date filed (or were corrected or supplemented by a subsequent submission); and (vii) neither the Company nor any of the Subsidiaries has, either voluntarily or involuntarily, initiated, conducted, or issued or caused to be initiated, conducted or issued, any recall, market withdrawal or replacement, safety alert, post sale warning, “dear doctor” letter, or other notice or action relating to the alleged lack of safety or efficacy of any product or any alleged product defect or violation and, to the Company’s knowledge, no third party has initiated or conducted any such notice or action.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8" w:name="page19"/>
    <w:bookmarkEnd w:id="18"/>
    <w:p>
      <w:pPr>
        <w:jc w:val="both"/>
        <w:ind w:left="-540" w:firstLine="645"/>
        <w:spacing w:after="0" w:line="257" w:lineRule="auto"/>
        <w:tabs>
          <w:tab w:leader="none" w:pos="90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The Company is subject to and in compliance in all material respects with the reporting requirements of Section 13 or Section 15(d) of the Exchange Act. The shares of Common Stock are registered pursuant to Section 12(b) of the Exchange Act and listed on Nasdaq,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w:t>
      </w:r>
    </w:p>
    <w:p>
      <w:pPr>
        <w:spacing w:after="0" w:line="188" w:lineRule="exact"/>
        <w:rPr>
          <w:rFonts w:ascii="Arial" w:cs="Arial" w:eastAsia="Arial" w:hAnsi="Arial"/>
          <w:sz w:val="18"/>
          <w:szCs w:val="18"/>
          <w:color w:val="auto"/>
        </w:rPr>
      </w:pPr>
    </w:p>
    <w:p>
      <w:pPr>
        <w:ind w:left="-540" w:firstLine="645"/>
        <w:spacing w:after="0" w:line="277" w:lineRule="auto"/>
        <w:tabs>
          <w:tab w:leader="none" w:pos="79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Except for Cowen, there is no broker, finder or other party that is entitled to receive from the Company any brokerage or finder’s fee or other fee or commission as a result of any transactions contemplated by this Agreement.</w:t>
      </w:r>
    </w:p>
    <w:p>
      <w:pPr>
        <w:spacing w:after="0" w:line="170" w:lineRule="exact"/>
        <w:rPr>
          <w:rFonts w:ascii="Arial" w:cs="Arial" w:eastAsia="Arial" w:hAnsi="Arial"/>
          <w:sz w:val="18"/>
          <w:szCs w:val="18"/>
          <w:color w:val="auto"/>
        </w:rPr>
      </w:pPr>
    </w:p>
    <w:p>
      <w:pPr>
        <w:jc w:val="both"/>
        <w:ind w:left="-540" w:firstLine="645"/>
        <w:spacing w:after="0" w:line="264" w:lineRule="auto"/>
        <w:tabs>
          <w:tab w:leader="none" w:pos="89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 Outstanding Loans or Other Indebtedness</w:t>
      </w:r>
      <w:r>
        <w:rPr>
          <w:rFonts w:ascii="Arial" w:cs="Arial" w:eastAsia="Arial" w:hAnsi="Arial"/>
          <w:sz w:val="18"/>
          <w:szCs w:val="18"/>
          <w:color w:val="auto"/>
        </w:rPr>
        <w:t>. Except as described in the Prospectus, there are no outstanding loans, advances (except normal advances for business expenses in the ordinary course of business) or guarantees or indebtedness by the Company to or for the benefit of any of the officers or directors of the Company or any of the members of any of them.</w:t>
      </w:r>
    </w:p>
    <w:p>
      <w:pPr>
        <w:spacing w:after="0" w:line="181" w:lineRule="exact"/>
        <w:rPr>
          <w:rFonts w:ascii="Arial" w:cs="Arial" w:eastAsia="Arial" w:hAnsi="Arial"/>
          <w:sz w:val="18"/>
          <w:szCs w:val="18"/>
          <w:color w:val="auto"/>
        </w:rPr>
      </w:pPr>
    </w:p>
    <w:p>
      <w:pPr>
        <w:ind w:left="-540" w:right="20" w:firstLine="645"/>
        <w:spacing w:after="0" w:line="277" w:lineRule="auto"/>
        <w:tabs>
          <w:tab w:leader="none" w:pos="89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 Reliance</w:t>
      </w:r>
      <w:r>
        <w:rPr>
          <w:rFonts w:ascii="Arial" w:cs="Arial" w:eastAsia="Arial" w:hAnsi="Arial"/>
          <w:sz w:val="18"/>
          <w:szCs w:val="18"/>
          <w:color w:val="auto"/>
        </w:rPr>
        <w:t>. The Company has not relied upon Cowen or legal counsel for Cowen for any legal, tax or accounting advice in connection with the offering and sale of the Placement Shares.</w:t>
      </w:r>
    </w:p>
    <w:p>
      <w:pPr>
        <w:spacing w:after="0" w:line="170" w:lineRule="exact"/>
        <w:rPr>
          <w:rFonts w:ascii="Arial" w:cs="Arial" w:eastAsia="Arial" w:hAnsi="Arial"/>
          <w:sz w:val="18"/>
          <w:szCs w:val="18"/>
          <w:color w:val="auto"/>
        </w:rPr>
      </w:pPr>
    </w:p>
    <w:p>
      <w:pPr>
        <w:jc w:val="both"/>
        <w:ind w:left="-540" w:firstLine="645"/>
        <w:spacing w:after="0" w:line="276" w:lineRule="auto"/>
        <w:tabs>
          <w:tab w:leader="none" w:pos="795"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Cowen Purchases</w:t>
      </w:r>
      <w:r>
        <w:rPr>
          <w:rFonts w:ascii="Arial" w:cs="Arial" w:eastAsia="Arial" w:hAnsi="Arial"/>
          <w:sz w:val="17"/>
          <w:szCs w:val="17"/>
          <w:color w:val="auto"/>
        </w:rPr>
        <w:t xml:space="preserve">. The Company acknowledges and agrees that Cowen has informed the Company that Cowen may, to the extent permitted under the Securities Act and the Exchange Act, purchase and sell shares of Common Stock for its own account while this Agreement is in effect;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 no such purchase or sales shall take place while a Placement Notice is in effect (except to the extent Cowen may engage in sales of Placement Shares purchased or deemed purchased from the Company as a “riskless principal” or in a similar capacity) and (ii) the Company shall not be deemed to have authorized or consented to any such purchases or sales by Cowen.</w:t>
      </w:r>
    </w:p>
    <w:p>
      <w:pPr>
        <w:spacing w:after="0" w:line="172" w:lineRule="exact"/>
        <w:rPr>
          <w:rFonts w:ascii="Arial" w:cs="Arial" w:eastAsia="Arial" w:hAnsi="Arial"/>
          <w:sz w:val="17"/>
          <w:szCs w:val="17"/>
          <w:color w:val="auto"/>
        </w:rPr>
      </w:pPr>
    </w:p>
    <w:p>
      <w:pPr>
        <w:jc w:val="both"/>
        <w:ind w:left="-540" w:firstLine="645"/>
        <w:spacing w:after="0" w:line="288" w:lineRule="auto"/>
        <w:tabs>
          <w:tab w:leader="none" w:pos="879"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Research</w:t>
      </w:r>
      <w:r>
        <w:rPr>
          <w:rFonts w:ascii="Arial" w:cs="Arial" w:eastAsia="Arial" w:hAnsi="Arial"/>
          <w:sz w:val="16"/>
          <w:szCs w:val="16"/>
          <w:color w:val="auto"/>
        </w:rPr>
        <w:t>. To the knowledge of the Company, the research, studies and tests conducted by or on behalf of the Company and the Subsidiaries have been and, if still pending, are being conducted with reasonable care and in accordance with experimental protocols, procedures and controls pursuant to all Health Care Laws and Authorizations; the descriptions of the results of such research, studies and tests contained in the Registration Statement and the Prospectus are accurate and complete and fairly present the data derived from such research, studies and tests; except to the extent disclosed in the Registration Statement and the Prospectus, the Company is not aware of any research, studies or tests, the results of which the Company believes reasonably call into question the research, study or test results described or referred to in the Registration Statement and the Prospectus when viewed in the context in which such results are described; and neither the Company nor any of the Subsidiaries has received any notices or correspondence from any Governmental Authority requiring the termination, suspension or material modification of any research, study or test conducted by or on behalf of the Company or the Subsidiaries, as applicable. To the knowledge of the Company, there have been no adverse episodes or complications resulting from any research, study or test conducted by or on behalf of the Company or the Subsidiaries.</w:t>
      </w:r>
    </w:p>
    <w:p>
      <w:pPr>
        <w:spacing w:after="0" w:line="38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9" w:name="page20"/>
    <w:bookmarkEnd w:id="19"/>
    <w:p>
      <w:pPr>
        <w:jc w:val="both"/>
        <w:ind w:left="660" w:firstLine="645"/>
        <w:spacing w:after="0" w:line="264" w:lineRule="auto"/>
        <w:tabs>
          <w:tab w:leader="none" w:pos="2014"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Data</w:t>
      </w:r>
      <w:r>
        <w:rPr>
          <w:rFonts w:ascii="Arial" w:cs="Arial" w:eastAsia="Arial" w:hAnsi="Arial"/>
          <w:sz w:val="18"/>
          <w:szCs w:val="18"/>
          <w:color w:val="auto"/>
        </w:rPr>
        <w:t>. The statistical, industry-related and market-related data included in the Registration Statement and the Prospectus are based on or derived from sources which the Company reasonably and in good faith believes are reliable and accurate, and such data agree with the sources from which they are derived.</w:t>
      </w:r>
    </w:p>
    <w:p>
      <w:pPr>
        <w:spacing w:after="0" w:line="181" w:lineRule="exact"/>
        <w:rPr>
          <w:rFonts w:ascii="Arial" w:cs="Arial" w:eastAsia="Arial" w:hAnsi="Arial"/>
          <w:sz w:val="18"/>
          <w:szCs w:val="18"/>
          <w:color w:val="auto"/>
        </w:rPr>
      </w:pPr>
    </w:p>
    <w:p>
      <w:pPr>
        <w:jc w:val="both"/>
        <w:ind w:left="660" w:firstLine="645"/>
        <w:spacing w:after="0" w:line="290" w:lineRule="auto"/>
        <w:tabs>
          <w:tab w:leader="none" w:pos="2005"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The Company and each Subsidiary is in compliance in all material respects with all presently applicable provisions of the Employee Retirement Income Security Act of 1974, as amended, including the regulations and published interpretations thereunder (“</w:t>
      </w:r>
      <w:r>
        <w:rPr>
          <w:rFonts w:ascii="Arial" w:cs="Arial" w:eastAsia="Arial" w:hAnsi="Arial"/>
          <w:sz w:val="16"/>
          <w:szCs w:val="16"/>
          <w:b w:val="1"/>
          <w:bCs w:val="1"/>
          <w:u w:val="single" w:color="auto"/>
          <w:color w:val="auto"/>
        </w:rPr>
        <w:t>ERISA</w:t>
      </w:r>
      <w:r>
        <w:rPr>
          <w:rFonts w:ascii="Arial" w:cs="Arial" w:eastAsia="Arial" w:hAnsi="Arial"/>
          <w:sz w:val="16"/>
          <w:szCs w:val="16"/>
          <w:color w:val="auto"/>
        </w:rPr>
        <w:t>”); no “reportable event” (as defined in ERISA) has occurred with respect to any “pension plan” (as defined in ERISA) for which the Company and each Subsidiary would have any liability; the Company and each Subsidiary has not incurred and does not expect to incur liability under (i) Title IV of ERISA with respect to termination of, or withdrawal from, any “pension plan” or (ii) Sections 412 or 4971 of the Internal Revenue Code of 1986, as amended, including the regulations and published interpretations thereunder (the “</w:t>
      </w:r>
      <w:r>
        <w:rPr>
          <w:rFonts w:ascii="Arial" w:cs="Arial" w:eastAsia="Arial" w:hAnsi="Arial"/>
          <w:sz w:val="16"/>
          <w:szCs w:val="16"/>
          <w:b w:val="1"/>
          <w:bCs w:val="1"/>
          <w:u w:val="single" w:color="auto"/>
          <w:color w:val="auto"/>
        </w:rPr>
        <w:t>Code</w:t>
      </w:r>
      <w:r>
        <w:rPr>
          <w:rFonts w:ascii="Arial" w:cs="Arial" w:eastAsia="Arial" w:hAnsi="Arial"/>
          <w:sz w:val="16"/>
          <w:szCs w:val="16"/>
          <w:color w:val="auto"/>
        </w:rPr>
        <w:t>”); and each “pension plan” for which the Company or any Subsidiary would have any liability that is intended to be qualified under Section 401(a) of the Code is so qualified in all material respects and nothing has occurred, whether by action or by failure to act, which would cause the loss of such qualification.</w:t>
      </w:r>
    </w:p>
    <w:p>
      <w:pPr>
        <w:spacing w:after="0" w:line="166" w:lineRule="exact"/>
        <w:rPr>
          <w:rFonts w:ascii="Arial" w:cs="Arial" w:eastAsia="Arial" w:hAnsi="Arial"/>
          <w:sz w:val="16"/>
          <w:szCs w:val="16"/>
          <w:color w:val="auto"/>
        </w:rPr>
      </w:pPr>
    </w:p>
    <w:p>
      <w:pPr>
        <w:jc w:val="both"/>
        <w:ind w:left="660" w:firstLine="645"/>
        <w:spacing w:after="0" w:line="259" w:lineRule="auto"/>
        <w:tabs>
          <w:tab w:leader="none" w:pos="2036"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Websites</w:t>
      </w:r>
      <w:r>
        <w:rPr>
          <w:rFonts w:ascii="Arial" w:cs="Arial" w:eastAsia="Arial" w:hAnsi="Arial"/>
          <w:sz w:val="18"/>
          <w:szCs w:val="18"/>
          <w:color w:val="auto"/>
        </w:rPr>
        <w:t>. None of the information on (or hyperlinked from) the Company’s websites at www.fluidigm.com,www.fluidigm.co.jp, www.fluidigm-china.com, or www. dvssciences.com includes or constitutes a “free writing prospectus” as defined in Rule 405 under the Securities Act and the Company does not maintain or support any websites other than www.fluidigm.com, www.fluidigm.co.jp, www.fluidigm-china.com, and www. dvssciences.com</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certificate signed by an officer of the Company and delivered to Cowen or to counsel for Cowen in connection with this Agreement shall be deemed to be a representation and warranty by the Company to Cowen as to the matters set forth therein.</w:t>
      </w:r>
    </w:p>
    <w:p>
      <w:pPr>
        <w:spacing w:after="0" w:line="170"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auto"/>
        </w:rPr>
        <w:t xml:space="preserve">The Company acknowledges that Cowen and, for purposes of the opinions to be delivered pursuant to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hereof, counsel to the Company and counsel to Cowen, will rely upon the accuracy and truthfulness of the foregoing representations and hereby consents to such reliance.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ind w:left="684" w:hanging="684"/>
        <w:spacing w:after="0"/>
        <w:tabs>
          <w:tab w:leader="none" w:pos="68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and agrees with Cowen that:</w:t>
      </w:r>
    </w:p>
    <w:p>
      <w:pPr>
        <w:spacing w:after="0" w:line="225" w:lineRule="exact"/>
        <w:rPr>
          <w:rFonts w:ascii="Arial" w:cs="Arial" w:eastAsia="Arial" w:hAnsi="Arial"/>
          <w:sz w:val="18"/>
          <w:szCs w:val="18"/>
          <w:color w:val="auto"/>
        </w:rPr>
      </w:pPr>
    </w:p>
    <w:p>
      <w:pPr>
        <w:jc w:val="both"/>
        <w:ind w:left="4" w:firstLine="645"/>
        <w:spacing w:after="0" w:line="285" w:lineRule="auto"/>
        <w:tabs>
          <w:tab w:leader="none" w:pos="1347"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Registration Statement Amendments</w:t>
      </w:r>
      <w:r>
        <w:rPr>
          <w:rFonts w:ascii="Arial" w:cs="Arial" w:eastAsia="Arial" w:hAnsi="Arial"/>
          <w:sz w:val="16"/>
          <w:szCs w:val="16"/>
          <w:color w:val="auto"/>
        </w:rPr>
        <w:t>. After the date of this Agreement and during any period in which a Prospectus relating to any Placement Shares is required to be delivered by Cowen under the Securities Act (including in circumstances where such requirement may be satisfied pursuant to Rule 172 under the Securities Act) (the “</w:t>
      </w:r>
      <w:r>
        <w:rPr>
          <w:rFonts w:ascii="Arial" w:cs="Arial" w:eastAsia="Arial" w:hAnsi="Arial"/>
          <w:sz w:val="16"/>
          <w:szCs w:val="16"/>
          <w:b w:val="1"/>
          <w:bCs w:val="1"/>
          <w:u w:val="single" w:color="auto"/>
          <w:color w:val="auto"/>
        </w:rPr>
        <w:t>Prospectus Delivery Period</w:t>
      </w:r>
      <w:r>
        <w:rPr>
          <w:rFonts w:ascii="Arial" w:cs="Arial" w:eastAsia="Arial" w:hAnsi="Arial"/>
          <w:sz w:val="16"/>
          <w:szCs w:val="16"/>
          <w:color w:val="auto"/>
        </w:rPr>
        <w:t>”), (i) the Company will notify Cowen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(insofar as it relates to the transactions contemplated hereby) or Prospectus or for additional information, (ii) the Company will prepare and file with the Commission, promptly upon Cowen’s reasonable request, any amendments or supplements to the Registration Statement or Prospectus that, in Cowen’s reasonable opinion, may be necessary or advisable in connection with the distribution of the Placement Shares by Cowen (provided, however, that the failure of Cowen to make such request shall not relieve the Company of any obligation or liability hereunder, or affect Cowen’s right to rely on the representations and warranties made by the Company in this Agreement), (iii) the Company will not file any amendment or supplement to the Registration Statement or Prospectus, other than documents incorporated by reference, relating to the Placement Shares or a security convertible into the Placement Shares unless a copy thereof has been submitted to Cowen within a reasonable period of time before the filing and Cowen has not reasonably objected thereto (provided, however, that the failure of Cowen to make such objection shall not relieve the Company of any obligation or liability hereunder, or affect Cowen’s right to rely on the representations and warranties made by the Company in this Agreement) and the Company will furnish to Cowen at the time of filing thereof a copy of any document that upon filing is deemed to be incorporated by reference into the Registration Statement or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and (v) prior to the termination of this Agreement, the Company will notify Cowen if at any time the Registration Statement shall no longer be effective other than as a result of the passage of time pursuant to Rule 415 under the Securities Act.</w:t>
      </w:r>
    </w:p>
    <w:p>
      <w:pPr>
        <w:spacing w:after="0" w:line="168" w:lineRule="exact"/>
        <w:rPr>
          <w:rFonts w:ascii="Arial" w:cs="Arial" w:eastAsia="Arial" w:hAnsi="Arial"/>
          <w:sz w:val="16"/>
          <w:szCs w:val="16"/>
          <w:color w:val="auto"/>
        </w:rPr>
      </w:pPr>
    </w:p>
    <w:p>
      <w:pPr>
        <w:jc w:val="both"/>
        <w:ind w:left="4" w:firstLine="645"/>
        <w:spacing w:after="0" w:line="257" w:lineRule="auto"/>
        <w:tabs>
          <w:tab w:leader="none" w:pos="1506"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Notice of Commission Stop Orders</w:t>
      </w:r>
      <w:r>
        <w:rPr>
          <w:rFonts w:ascii="Arial" w:cs="Arial" w:eastAsia="Arial" w:hAnsi="Arial"/>
          <w:sz w:val="18"/>
          <w:szCs w:val="18"/>
          <w:color w:val="auto"/>
        </w:rPr>
        <w:t>. The Company will advise Cowen,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spacing w:after="0" w:line="200" w:lineRule="exact"/>
        <w:rPr>
          <w:sz w:val="20"/>
          <w:szCs w:val="20"/>
          <w:color w:val="auto"/>
        </w:rPr>
      </w:pPr>
    </w:p>
    <w:p>
      <w:pPr>
        <w:spacing w:after="0" w:line="20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21" w:name="page22"/>
    <w:bookmarkEnd w:id="21"/>
    <w:p>
      <w:pPr>
        <w:jc w:val="both"/>
        <w:ind w:left="-540" w:firstLine="645"/>
        <w:spacing w:after="0" w:line="287" w:lineRule="auto"/>
        <w:tabs>
          <w:tab w:leader="none" w:pos="1114"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Delivery of Prospectus; Subsequent Changes</w:t>
      </w:r>
      <w:r>
        <w:rPr>
          <w:rFonts w:ascii="Arial" w:cs="Arial" w:eastAsia="Arial" w:hAnsi="Arial"/>
          <w:sz w:val="16"/>
          <w:szCs w:val="16"/>
          <w:color w:val="auto"/>
        </w:rPr>
        <w:t xml:space="preserve">. During the Prospectus Delivery Period, the Company will comply with all requirements imposed upon it by the Securities Act, as from time to time in force, and to file on or before their respective due dates (taking into account any extensions available under the Exchange Act) all reports and any definitive proxy or information statements required to be filed by the Company with the Commission pursuant to </w:t>
      </w:r>
      <w:r>
        <w:rPr>
          <w:rFonts w:ascii="Arial" w:cs="Arial" w:eastAsia="Arial" w:hAnsi="Arial"/>
          <w:sz w:val="16"/>
          <w:szCs w:val="16"/>
          <w:u w:val="single" w:color="auto"/>
          <w:color w:val="auto"/>
        </w:rPr>
        <w:t>Section 13(a)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13(c)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15(d)</w:t>
      </w:r>
      <w:r>
        <w:rPr>
          <w:rFonts w:ascii="Arial" w:cs="Arial" w:eastAsia="Arial" w:hAnsi="Arial"/>
          <w:sz w:val="16"/>
          <w:szCs w:val="16"/>
          <w:color w:val="auto"/>
        </w:rPr>
        <w:t xml:space="preserve">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(including by filing a document incorporated by reference therein under the Exchange Act) to comply with the Securities Act, the Company will promptly notify Cowen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may delay the filing of any amendment or supplement, if in the reasonable judgment of the Company, it is in the best interest of the Company.</w:t>
      </w:r>
    </w:p>
    <w:p>
      <w:pPr>
        <w:spacing w:after="0" w:line="172" w:lineRule="exact"/>
        <w:rPr>
          <w:rFonts w:ascii="Arial" w:cs="Arial" w:eastAsia="Arial" w:hAnsi="Arial"/>
          <w:sz w:val="16"/>
          <w:szCs w:val="16"/>
          <w:color w:val="auto"/>
        </w:rPr>
      </w:pPr>
    </w:p>
    <w:p>
      <w:pPr>
        <w:jc w:val="both"/>
        <w:ind w:left="-540" w:firstLine="645"/>
        <w:spacing w:after="0" w:line="257"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Listing of Placement Shares</w:t>
      </w:r>
      <w:r>
        <w:rPr>
          <w:rFonts w:ascii="Arial" w:cs="Arial" w:eastAsia="Arial" w:hAnsi="Arial"/>
          <w:sz w:val="18"/>
          <w:szCs w:val="18"/>
          <w:color w:val="auto"/>
        </w:rPr>
        <w:t xml:space="preserve">. During the Prospectus Delivery Period, the Company will use its commercially reasonable efforts to cause the Placement Shares to be listed on Nasdaq and to qualify the Placement Shares for sale under the securities laws of such jurisdictions as Cowen reasonably designates and to continue such qualifications in effect so long as required for the distribution of the Placement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the Company shall not be required in connection therewith to qualify as a foreign corporation or dealer in securities or file a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to service of process in any jurisdiction.</w:t>
      </w:r>
    </w:p>
    <w:p>
      <w:pPr>
        <w:spacing w:after="0" w:line="188" w:lineRule="exact"/>
        <w:rPr>
          <w:rFonts w:ascii="Arial" w:cs="Arial" w:eastAsia="Arial" w:hAnsi="Arial"/>
          <w:sz w:val="18"/>
          <w:szCs w:val="18"/>
          <w:color w:val="auto"/>
        </w:rPr>
      </w:pPr>
    </w:p>
    <w:p>
      <w:pPr>
        <w:jc w:val="both"/>
        <w:ind w:left="-540" w:firstLine="645"/>
        <w:spacing w:after="0" w:line="291" w:lineRule="auto"/>
        <w:tabs>
          <w:tab w:leader="none" w:pos="925"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Delivery of Registration Statement and Prospectus</w:t>
      </w:r>
      <w:r>
        <w:rPr>
          <w:rFonts w:ascii="Arial" w:cs="Arial" w:eastAsia="Arial" w:hAnsi="Arial"/>
          <w:sz w:val="16"/>
          <w:szCs w:val="16"/>
          <w:color w:val="auto"/>
        </w:rPr>
        <w:t xml:space="preserve">. The Company will furnish to Cowen and its counsel (at the expense of the Company) copies of the Registration Statement, the Prospectus (including all documents incorporated by reference therein) and all amendments and supplements to the Registration Statement or Prospectus that are filed with the Commission during the Prospectus Delivery Period (including all documents filed with the Commission during such period that are deemed to be incorporated by reference therein), in each case as soon as reasonably practicable and in such quantities as Cowen may from time to time reasonably request and, at Cowen’s request, will also furnish copies of the Prospectus to each exchange or market on which sales of the Placement Shares may be made;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not be required to furnish any document (other than the Prospectus) to Cowen to the extent such document is available on EDGAR.</w:t>
      </w:r>
    </w:p>
    <w:p>
      <w:pPr>
        <w:spacing w:after="0" w:line="167" w:lineRule="exact"/>
        <w:rPr>
          <w:rFonts w:ascii="Arial" w:cs="Arial" w:eastAsia="Arial" w:hAnsi="Arial"/>
          <w:sz w:val="16"/>
          <w:szCs w:val="16"/>
          <w:color w:val="auto"/>
        </w:rPr>
      </w:pPr>
    </w:p>
    <w:p>
      <w:pPr>
        <w:jc w:val="both"/>
        <w:ind w:left="-540" w:firstLine="645"/>
        <w:spacing w:after="0" w:line="264" w:lineRule="auto"/>
        <w:tabs>
          <w:tab w:leader="none" w:pos="923"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Earnings Statement</w:t>
      </w:r>
      <w:r>
        <w:rPr>
          <w:rFonts w:ascii="Arial" w:cs="Arial" w:eastAsia="Arial" w:hAnsi="Arial"/>
          <w:sz w:val="18"/>
          <w:szCs w:val="18"/>
          <w:color w:val="auto"/>
        </w:rPr>
        <w:t xml:space="preserve">. The Company will make generally available to its security holders as soon as practicable, but in any event not later than 15 months after the end of the Company’s current fiscal quarter, an earnings statement (which need not be audited) covering a 12-month period that satisfies the provisions of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and Rule 158 of the Securities Act.</w:t>
      </w:r>
    </w:p>
    <w:p>
      <w:pPr>
        <w:spacing w:after="0" w:line="39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2" w:name="page23"/>
    <w:bookmarkEnd w:id="22"/>
    <w:p>
      <w:pPr>
        <w:jc w:val="both"/>
        <w:ind w:left="4" w:firstLine="645"/>
        <w:spacing w:after="0" w:line="288" w:lineRule="auto"/>
        <w:tabs>
          <w:tab w:leader="none" w:pos="1654"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The Company, whether or not the transactions contemplated hereunder are consummated or this Agreement is terminated, in accordance with the provisions of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hereunder, will pay the following expenses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(iii) the qualification of the Placement Shares under securities laws in accordance with the provisions of </w:t>
      </w:r>
      <w:r>
        <w:rPr>
          <w:rFonts w:ascii="Arial" w:cs="Arial" w:eastAsia="Arial" w:hAnsi="Arial"/>
          <w:sz w:val="16"/>
          <w:szCs w:val="16"/>
          <w:u w:val="single" w:color="auto"/>
          <w:color w:val="auto"/>
        </w:rPr>
        <w:t>Section 7(d)</w:t>
      </w:r>
      <w:r>
        <w:rPr>
          <w:rFonts w:ascii="Arial" w:cs="Arial" w:eastAsia="Arial" w:hAnsi="Arial"/>
          <w:sz w:val="16"/>
          <w:szCs w:val="16"/>
          <w:color w:val="auto"/>
        </w:rPr>
        <w:t xml:space="preserve"> of this Agreement, including filing fees (provided, however, that any fees or disbursements of counsel for Cowen in connection therewith shall be paid by Cowen except as set forth in (vii) below), (iv) the printing and delivery to Cowen of copies of the Prospectus and any amendments or supplements thereto, and of this Agreement, (v) the fees and expenses incurred in connection with the listing or qualification of the Placement Shares for trading on Nasdaq, (vi) filing fees and expenses, if any, of the Commission and the FINRA Corporate Financing Department, and (vii) the Company shall reimburse Cowen for the reasonable fees and disbursements of Cowen’s counsel in an amount not to exceed $50,000.</w:t>
      </w:r>
    </w:p>
    <w:p>
      <w:pPr>
        <w:spacing w:after="0" w:line="169" w:lineRule="exact"/>
        <w:rPr>
          <w:rFonts w:ascii="Arial" w:cs="Arial" w:eastAsia="Arial" w:hAnsi="Arial"/>
          <w:sz w:val="16"/>
          <w:szCs w:val="16"/>
          <w:color w:val="auto"/>
        </w:rPr>
      </w:pPr>
    </w:p>
    <w:p>
      <w:pPr>
        <w:ind w:left="1344" w:hanging="695"/>
        <w:spacing w:after="0"/>
        <w:tabs>
          <w:tab w:leader="none" w:pos="1344"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Use of Proceeds</w:t>
      </w:r>
      <w:r>
        <w:rPr>
          <w:rFonts w:ascii="Arial" w:cs="Arial" w:eastAsia="Arial" w:hAnsi="Arial"/>
          <w:sz w:val="16"/>
          <w:szCs w:val="16"/>
          <w:color w:val="auto"/>
        </w:rPr>
        <w:t>. The Company will use the Net Proceeds as described in the Prospectus in the section entitled “Use of Proceeds.”</w:t>
      </w:r>
    </w:p>
    <w:p>
      <w:pPr>
        <w:spacing w:after="0" w:line="248" w:lineRule="exact"/>
        <w:rPr>
          <w:rFonts w:ascii="Arial" w:cs="Arial" w:eastAsia="Arial" w:hAnsi="Arial"/>
          <w:sz w:val="16"/>
          <w:szCs w:val="16"/>
          <w:color w:val="auto"/>
        </w:rPr>
      </w:pPr>
    </w:p>
    <w:p>
      <w:pPr>
        <w:jc w:val="both"/>
        <w:ind w:left="4" w:firstLine="645"/>
        <w:spacing w:after="0" w:line="286" w:lineRule="auto"/>
        <w:tabs>
          <w:tab w:leader="none" w:pos="1416"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Notice of Other Sales</w:t>
      </w:r>
      <w:r>
        <w:rPr>
          <w:rFonts w:ascii="Arial" w:cs="Arial" w:eastAsia="Arial" w:hAnsi="Arial"/>
          <w:sz w:val="16"/>
          <w:szCs w:val="16"/>
          <w:color w:val="auto"/>
        </w:rPr>
        <w:t xml:space="preserve">. During the pendency of any Placement Notice given hereunder, the Company shall provide Cowen notice as promptly as reasonably practicable before it offers to sell, 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Arial" w:cs="Arial" w:eastAsia="Arial" w:hAnsi="Arial"/>
          <w:sz w:val="16"/>
          <w:szCs w:val="16"/>
          <w:i w:val="1"/>
          <w:iCs w:val="1"/>
          <w:color w:val="auto"/>
        </w:rPr>
        <w:t>provided</w:t>
      </w:r>
      <w:r>
        <w:rPr>
          <w:rFonts w:ascii="Arial" w:cs="Arial" w:eastAsia="Arial" w:hAnsi="Arial"/>
          <w:sz w:val="16"/>
          <w:szCs w:val="16"/>
          <w:color w:val="auto"/>
        </w:rPr>
        <w:t>, that such notice shall not be required in connection with the</w:t>
      </w:r>
    </w:p>
    <w:p>
      <w:pPr>
        <w:spacing w:after="0" w:line="1" w:lineRule="exact"/>
        <w:rPr>
          <w:rFonts w:ascii="Arial" w:cs="Arial" w:eastAsia="Arial" w:hAnsi="Arial"/>
          <w:sz w:val="16"/>
          <w:szCs w:val="16"/>
          <w:color w:val="auto"/>
        </w:rPr>
      </w:pPr>
    </w:p>
    <w:p>
      <w:pPr>
        <w:jc w:val="both"/>
        <w:ind w:left="4" w:hanging="4"/>
        <w:spacing w:after="0" w:line="252" w:lineRule="auto"/>
        <w:tabs>
          <w:tab w:leader="none" w:pos="226"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issuance, grant or sale of Common Stock, options to purchase shares of Common Stock or Common Stock issuable upon the exercise of options or other equity awards pursuant to any stock option, stock bonus or other stock plan or arrangement described in the Prospectus, (ii) issuance of securities in connection with an acquisition, merger or sale or purchase of assets, (iii) issuance or sale of Common Stock pursuant to any dividend reinvestment plan that the Company may adopt from time to time provided the implementation of such is disclosed to Cowen in advance, or (iv) issuance of any shares of common stock issuable upon the exchange, conversion or redemption of securities or the exercise of warrants, options or other rights in effect or outstanding.</w:t>
      </w:r>
    </w:p>
    <w:p>
      <w:pPr>
        <w:spacing w:after="0" w:line="194" w:lineRule="exact"/>
        <w:rPr>
          <w:rFonts w:ascii="Arial" w:cs="Arial" w:eastAsia="Arial" w:hAnsi="Arial"/>
          <w:sz w:val="18"/>
          <w:szCs w:val="18"/>
          <w:color w:val="auto"/>
        </w:rPr>
      </w:pPr>
    </w:p>
    <w:p>
      <w:pPr>
        <w:jc w:val="both"/>
        <w:ind w:left="4" w:firstLine="645"/>
        <w:spacing w:after="0" w:line="259" w:lineRule="auto"/>
        <w:tabs>
          <w:tab w:leader="none" w:pos="1565"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Change of Circumstances</w:t>
      </w:r>
      <w:r>
        <w:rPr>
          <w:rFonts w:ascii="Arial" w:cs="Arial" w:eastAsia="Arial" w:hAnsi="Arial"/>
          <w:sz w:val="18"/>
          <w:szCs w:val="18"/>
          <w:color w:val="auto"/>
        </w:rPr>
        <w:t>. The Company will, at any time during a fiscal quarter in which the Company intends to tender a Placement Notice or sell Placement Shares, advise Cowen promptly after it shall have received notice or obtained knowledge thereof, of any information or fact that would alter or affect in any material respect any opinion, certificate, letter or other document provided to Cowen pursuant to this Agreement.</w:t>
      </w:r>
    </w:p>
    <w:p>
      <w:pPr>
        <w:spacing w:after="0" w:line="186" w:lineRule="exact"/>
        <w:rPr>
          <w:rFonts w:ascii="Arial" w:cs="Arial" w:eastAsia="Arial" w:hAnsi="Arial"/>
          <w:sz w:val="18"/>
          <w:szCs w:val="18"/>
          <w:color w:val="auto"/>
        </w:rPr>
      </w:pPr>
    </w:p>
    <w:p>
      <w:pPr>
        <w:jc w:val="both"/>
        <w:ind w:left="4" w:firstLine="645"/>
        <w:spacing w:after="0" w:line="259" w:lineRule="auto"/>
        <w:tabs>
          <w:tab w:leader="none" w:pos="1438"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Due Diligence Cooperation</w:t>
      </w:r>
      <w:r>
        <w:rPr>
          <w:rFonts w:ascii="Arial" w:cs="Arial" w:eastAsia="Arial" w:hAnsi="Arial"/>
          <w:sz w:val="18"/>
          <w:szCs w:val="18"/>
          <w:color w:val="auto"/>
        </w:rPr>
        <w:t>. During the term of this Agreement, the Company will cooperate with any reasonable due diligence review conducted by Cowen or its agents in connection with the transactions contemplated hereby, including, without limitation, providing information and making available documents and senior corporate officers, during regular business hours and at the Company’s principal offices, as Cowen may reasonably request.</w:t>
      </w:r>
    </w:p>
    <w:p>
      <w:pPr>
        <w:spacing w:after="0" w:line="200" w:lineRule="exact"/>
        <w:rPr>
          <w:sz w:val="20"/>
          <w:szCs w:val="20"/>
          <w:color w:val="auto"/>
        </w:rPr>
      </w:pPr>
    </w:p>
    <w:p>
      <w:pPr>
        <w:spacing w:after="0" w:line="203"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23" w:name="page24"/>
    <w:bookmarkEnd w:id="23"/>
    <w:p>
      <w:pPr>
        <w:jc w:val="both"/>
        <w:ind w:left="-540" w:firstLine="645"/>
        <w:spacing w:after="0" w:line="254" w:lineRule="auto"/>
        <w:tabs>
          <w:tab w:leader="none" w:pos="886"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Required Filings Relating to Placement of Placement Shares</w:t>
      </w:r>
      <w:r>
        <w:rPr>
          <w:rFonts w:ascii="Arial" w:cs="Arial" w:eastAsia="Arial" w:hAnsi="Arial"/>
          <w:sz w:val="18"/>
          <w:szCs w:val="18"/>
          <w:color w:val="auto"/>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Arial" w:cs="Arial" w:eastAsia="Arial" w:hAnsi="Arial"/>
          <w:sz w:val="18"/>
          <w:szCs w:val="18"/>
          <w:b w:val="1"/>
          <w:bCs w:val="1"/>
          <w:u w:val="single" w:color="auto"/>
          <w:color w:val="auto"/>
        </w:rPr>
        <w:t>Filing Date</w:t>
      </w:r>
      <w:r>
        <w:rPr>
          <w:rFonts w:ascii="Arial" w:cs="Arial" w:eastAsia="Arial" w:hAnsi="Arial"/>
          <w:sz w:val="18"/>
          <w:szCs w:val="18"/>
          <w:color w:val="auto"/>
        </w:rPr>
        <w:t xml:space="preserve">”), which prospectus supplement will set forth, to the extent required, within the relevant period, the amount of Placement Shares sold through Cowen, the Net Proceeds to the Company and the compensation payable by the Company to Cowen with respect to such Placement Shares (provided that the Company may satisfy its obligations under this </w:t>
      </w:r>
      <w:r>
        <w:rPr>
          <w:rFonts w:ascii="Arial" w:cs="Arial" w:eastAsia="Arial" w:hAnsi="Arial"/>
          <w:sz w:val="18"/>
          <w:szCs w:val="18"/>
          <w:u w:val="single" w:color="auto"/>
          <w:color w:val="auto"/>
        </w:rPr>
        <w:t>Section 7(l)(i)</w:t>
      </w:r>
      <w:r>
        <w:rPr>
          <w:rFonts w:ascii="Arial" w:cs="Arial" w:eastAsia="Arial" w:hAnsi="Arial"/>
          <w:sz w:val="18"/>
          <w:szCs w:val="18"/>
          <w:color w:val="auto"/>
        </w:rPr>
        <w:t xml:space="preserve"> by effecting a filing in accordance with the Exchange Act with respect to such information), and (ii) deliver such number of copies of each such prospectus supplement to each exchange or market on which such sales were effected as may be required by the rules or regulations of such exchange or market.</w:t>
      </w:r>
    </w:p>
    <w:p>
      <w:pPr>
        <w:spacing w:after="0" w:line="192" w:lineRule="exact"/>
        <w:rPr>
          <w:rFonts w:ascii="Arial" w:cs="Arial" w:eastAsia="Arial" w:hAnsi="Arial"/>
          <w:sz w:val="18"/>
          <w:szCs w:val="18"/>
          <w:color w:val="auto"/>
        </w:rPr>
      </w:pPr>
    </w:p>
    <w:p>
      <w:pPr>
        <w:jc w:val="both"/>
        <w:ind w:left="-540" w:firstLine="645"/>
        <w:spacing w:after="0" w:line="286" w:lineRule="auto"/>
        <w:tabs>
          <w:tab w:leader="none" w:pos="994"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Representation Dates; Certificate</w:t>
      </w:r>
      <w:r>
        <w:rPr>
          <w:rFonts w:ascii="Arial" w:cs="Arial" w:eastAsia="Arial" w:hAnsi="Arial"/>
          <w:sz w:val="16"/>
          <w:szCs w:val="16"/>
          <w:color w:val="auto"/>
        </w:rPr>
        <w:t xml:space="preserve">. On or prior to the First Delivery Date and each time the Company (i) files the Prospectus relating to the Placement Shares or amends or supplements the Registration Statement or the Prospectus relating to the Placement Shares (other than a prospectus supplement filed in accordance with </w:t>
      </w:r>
      <w:r>
        <w:rPr>
          <w:rFonts w:ascii="Arial" w:cs="Arial" w:eastAsia="Arial" w:hAnsi="Arial"/>
          <w:sz w:val="16"/>
          <w:szCs w:val="16"/>
          <w:u w:val="single" w:color="auto"/>
          <w:color w:val="auto"/>
        </w:rPr>
        <w:t>Section 7(l)</w:t>
      </w:r>
      <w:r>
        <w:rPr>
          <w:rFonts w:ascii="Arial" w:cs="Arial" w:eastAsia="Arial" w:hAnsi="Arial"/>
          <w:sz w:val="16"/>
          <w:szCs w:val="16"/>
          <w:color w:val="auto"/>
        </w:rPr>
        <w:t xml:space="preserve"> of this Agreement) by means of a post-effective amendment, sticker, or supplement but not by means of incorporation of document(s) by reference to the Registration Statement or the Prospectus relating to the Placement Shares; (ii) files an annual report on Form 10-K under the Exchange Act; (iii) files its quarterly reports on Form 10-Q under the Exchange Act; or (iv) files a current report on Form 8-K containing amended financial information (other than an earnings release) under the Exchange Act (each date of filing of one or more of the documents referred to in clauses (i) through (iv) shall be a “</w:t>
      </w:r>
      <w:r>
        <w:rPr>
          <w:rFonts w:ascii="Arial" w:cs="Arial" w:eastAsia="Arial" w:hAnsi="Arial"/>
          <w:sz w:val="16"/>
          <w:szCs w:val="16"/>
          <w:b w:val="1"/>
          <w:bCs w:val="1"/>
          <w:u w:val="single" w:color="auto"/>
          <w:color w:val="auto"/>
        </w:rPr>
        <w:t>Representation Date</w:t>
      </w:r>
      <w:r>
        <w:rPr>
          <w:rFonts w:ascii="Arial" w:cs="Arial" w:eastAsia="Arial" w:hAnsi="Arial"/>
          <w:sz w:val="16"/>
          <w:szCs w:val="16"/>
          <w:color w:val="auto"/>
        </w:rPr>
        <w:t xml:space="preserve">”); the Company shall furnish Cowen with a certificate, in the form attached hereto as </w:t>
      </w:r>
      <w:r>
        <w:rPr>
          <w:rFonts w:ascii="Arial" w:cs="Arial" w:eastAsia="Arial" w:hAnsi="Arial"/>
          <w:sz w:val="16"/>
          <w:szCs w:val="16"/>
          <w:b w:val="1"/>
          <w:bCs w:val="1"/>
          <w:u w:val="single" w:color="auto"/>
          <w:color w:val="auto"/>
        </w:rPr>
        <w:t>Exhibit 7(m)</w:t>
      </w:r>
      <w:r>
        <w:rPr>
          <w:rFonts w:ascii="Arial" w:cs="Arial" w:eastAsia="Arial" w:hAnsi="Arial"/>
          <w:sz w:val="16"/>
          <w:szCs w:val="16"/>
          <w:color w:val="auto"/>
        </w:rPr>
        <w:t xml:space="preserve"> within three Trading Days of any Representation Date. The requirement to provide a certificate under this </w:t>
      </w:r>
      <w:r>
        <w:rPr>
          <w:rFonts w:ascii="Arial" w:cs="Arial" w:eastAsia="Arial" w:hAnsi="Arial"/>
          <w:sz w:val="16"/>
          <w:szCs w:val="16"/>
          <w:u w:val="single" w:color="auto"/>
          <w:color w:val="auto"/>
        </w:rPr>
        <w:t>Section 7(m)</w:t>
      </w:r>
      <w:r>
        <w:rPr>
          <w:rFonts w:ascii="Arial" w:cs="Arial" w:eastAsia="Arial" w:hAnsi="Arial"/>
          <w:sz w:val="16"/>
          <w:szCs w:val="16"/>
          <w:color w:val="auto"/>
        </w:rPr>
        <w:t xml:space="preserve"> shall be automatically waived for any Representation Date occurring at a time at which no Placement Notice is pending, which waiver shall continue until the earlier to occur of the date the Company delivers a Placement Notice hereunder (which for such calendar quarter shall be considered a Representation Date) and the next occurring Representation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waiver shall not apply for any Representation Date on which the Company files its annual report on Form 10-K. Notwithstanding the foregoing, if the Company subsequently decides to sell Placement Shares following a Representation Date when the Company relied on such waiver and did not provide Cowen with a certificate under this </w:t>
      </w:r>
      <w:r>
        <w:rPr>
          <w:rFonts w:ascii="Arial" w:cs="Arial" w:eastAsia="Arial" w:hAnsi="Arial"/>
          <w:sz w:val="16"/>
          <w:szCs w:val="16"/>
          <w:u w:val="single" w:color="auto"/>
          <w:color w:val="auto"/>
        </w:rPr>
        <w:t>Section 7(m)</w:t>
      </w:r>
      <w:r>
        <w:rPr>
          <w:rFonts w:ascii="Arial" w:cs="Arial" w:eastAsia="Arial" w:hAnsi="Arial"/>
          <w:sz w:val="16"/>
          <w:szCs w:val="16"/>
          <w:color w:val="auto"/>
        </w:rPr>
        <w:t xml:space="preserve">, then before the Company delivers the Placement Notice or Cowen sells any Placement Shares, the Company shall provide Cowen with a certificate, in the form attached hereto as </w:t>
      </w:r>
      <w:r>
        <w:rPr>
          <w:rFonts w:ascii="Arial" w:cs="Arial" w:eastAsia="Arial" w:hAnsi="Arial"/>
          <w:sz w:val="16"/>
          <w:szCs w:val="16"/>
          <w:b w:val="1"/>
          <w:bCs w:val="1"/>
          <w:u w:val="single" w:color="auto"/>
          <w:color w:val="auto"/>
        </w:rPr>
        <w:t>Exhibit 7(m)</w:t>
      </w:r>
      <w:r>
        <w:rPr>
          <w:rFonts w:ascii="Arial" w:cs="Arial" w:eastAsia="Arial" w:hAnsi="Arial"/>
          <w:sz w:val="16"/>
          <w:szCs w:val="16"/>
          <w:color w:val="auto"/>
        </w:rPr>
        <w:t>, dated the date of the Placement Notice.</w:t>
      </w:r>
    </w:p>
    <w:p>
      <w:pPr>
        <w:spacing w:after="0" w:line="168" w:lineRule="exact"/>
        <w:rPr>
          <w:rFonts w:ascii="Arial" w:cs="Arial" w:eastAsia="Arial" w:hAnsi="Arial"/>
          <w:sz w:val="16"/>
          <w:szCs w:val="16"/>
          <w:color w:val="auto"/>
        </w:rPr>
      </w:pPr>
    </w:p>
    <w:p>
      <w:pPr>
        <w:jc w:val="both"/>
        <w:ind w:left="-540" w:firstLine="645"/>
        <w:spacing w:after="0" w:line="270" w:lineRule="auto"/>
        <w:tabs>
          <w:tab w:leader="none" w:pos="84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Legal Opinion</w:t>
      </w:r>
      <w:r>
        <w:rPr>
          <w:rFonts w:ascii="Arial" w:cs="Arial" w:eastAsia="Arial" w:hAnsi="Arial"/>
          <w:sz w:val="17"/>
          <w:szCs w:val="17"/>
          <w:color w:val="auto"/>
        </w:rPr>
        <w:t xml:space="preserve">. On or prior to the First Delivery Date and within three (3) Trading Days of each Representation Date with respect to which the Company is obligated to deliver a certificate in the form attached hereto as </w:t>
      </w:r>
      <w:r>
        <w:rPr>
          <w:rFonts w:ascii="Arial" w:cs="Arial" w:eastAsia="Arial" w:hAnsi="Arial"/>
          <w:sz w:val="17"/>
          <w:szCs w:val="17"/>
          <w:b w:val="1"/>
          <w:bCs w:val="1"/>
          <w:u w:val="single" w:color="auto"/>
          <w:color w:val="auto"/>
        </w:rPr>
        <w:t>Exhibit 7(m)</w:t>
      </w:r>
      <w:r>
        <w:rPr>
          <w:rFonts w:ascii="Arial" w:cs="Arial" w:eastAsia="Arial" w:hAnsi="Arial"/>
          <w:sz w:val="17"/>
          <w:szCs w:val="17"/>
          <w:color w:val="auto"/>
        </w:rPr>
        <w:t xml:space="preserve"> for which no waiver is applicable, the Company shall cause Wilson Sonsini Goodrich &amp; Rosati Professional Corporation (“</w:t>
      </w:r>
      <w:r>
        <w:rPr>
          <w:rFonts w:ascii="Arial" w:cs="Arial" w:eastAsia="Arial" w:hAnsi="Arial"/>
          <w:sz w:val="17"/>
          <w:szCs w:val="17"/>
          <w:b w:val="1"/>
          <w:bCs w:val="1"/>
          <w:u w:val="single" w:color="auto"/>
          <w:color w:val="auto"/>
        </w:rPr>
        <w:t>Company Counsel</w:t>
      </w:r>
      <w:r>
        <w:rPr>
          <w:rFonts w:ascii="Arial" w:cs="Arial" w:eastAsia="Arial" w:hAnsi="Arial"/>
          <w:sz w:val="17"/>
          <w:szCs w:val="17"/>
          <w:color w:val="auto"/>
        </w:rPr>
        <w:t xml:space="preserve">”), or other counsel satisfactory to Cowen, to furnish to Cowen (i) a written opinion and (ii) a written negative assurance statement, each in form and substance satisfactory to Cowen and its counsel, dated the date that the opinion is required to be delivered, modified, as necessary, to relate to the Registration Statement and the Prospectus as then amended or supplemented;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lieu of such opinion and negative assurance statement for subsequent Representation Dates, Company Counsel may furnish Cowen with a letter (a “</w:t>
      </w:r>
      <w:r>
        <w:rPr>
          <w:rFonts w:ascii="Arial" w:cs="Arial" w:eastAsia="Arial" w:hAnsi="Arial"/>
          <w:sz w:val="17"/>
          <w:szCs w:val="17"/>
          <w:b w:val="1"/>
          <w:bCs w:val="1"/>
          <w:u w:val="single" w:color="auto"/>
          <w:color w:val="auto"/>
        </w:rPr>
        <w:t>Reliance Letter</w:t>
      </w:r>
      <w:r>
        <w:rPr>
          <w:rFonts w:ascii="Arial" w:cs="Arial" w:eastAsia="Arial" w:hAnsi="Arial"/>
          <w:sz w:val="17"/>
          <w:szCs w:val="17"/>
          <w:color w:val="auto"/>
        </w:rPr>
        <w:t xml:space="preserve">”) to the effect that Cowen may rely on a prior opinion and a prior negative assurance statement delivered under this </w:t>
      </w:r>
      <w:r>
        <w:rPr>
          <w:rFonts w:ascii="Arial" w:cs="Arial" w:eastAsia="Arial" w:hAnsi="Arial"/>
          <w:sz w:val="17"/>
          <w:szCs w:val="17"/>
          <w:u w:val="single" w:color="auto"/>
          <w:color w:val="auto"/>
        </w:rPr>
        <w:t>Section 7(n)</w:t>
      </w:r>
      <w:r>
        <w:rPr>
          <w:rFonts w:ascii="Arial" w:cs="Arial" w:eastAsia="Arial" w:hAnsi="Arial"/>
          <w:sz w:val="17"/>
          <w:szCs w:val="17"/>
          <w:color w:val="auto"/>
        </w:rPr>
        <w:t xml:space="preserve"> to the same extent as if it were dated the date of such letter (except that statements in such prior opinion and prior negative assurance statement shall be deemed to relate to the Registration Statement and the Prospectus as amended or supplemented at such Representation Date).</w:t>
      </w:r>
    </w:p>
    <w:p>
      <w:pPr>
        <w:spacing w:after="0" w:line="39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4" w:name="page25"/>
    <w:bookmarkEnd w:id="24"/>
    <w:p>
      <w:pPr>
        <w:ind w:left="760" w:hanging="655"/>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Comfort Letter</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left="100" w:firstLine="653"/>
        <w:spacing w:after="0" w:line="255" w:lineRule="auto"/>
        <w:tabs>
          <w:tab w:leader="none" w:pos="1433" w:val="left"/>
        </w:tabs>
        <w:numPr>
          <w:ilvl w:val="1"/>
          <w:numId w:val="27"/>
        </w:numPr>
        <w:rPr>
          <w:rFonts w:ascii="Arial" w:cs="Arial" w:eastAsia="Arial" w:hAnsi="Arial"/>
          <w:sz w:val="18"/>
          <w:szCs w:val="18"/>
          <w:color w:val="auto"/>
        </w:rPr>
      </w:pPr>
      <w:r>
        <w:rPr>
          <w:rFonts w:ascii="Arial" w:cs="Arial" w:eastAsia="Arial" w:hAnsi="Arial"/>
          <w:sz w:val="18"/>
          <w:szCs w:val="18"/>
          <w:color w:val="auto"/>
        </w:rPr>
        <w:t>On or prior to the First Delivery Date, the Company shall cause Ernst &amp; Young LLP (the “</w:t>
      </w:r>
      <w:r>
        <w:rPr>
          <w:rFonts w:ascii="Arial" w:cs="Arial" w:eastAsia="Arial" w:hAnsi="Arial"/>
          <w:sz w:val="18"/>
          <w:szCs w:val="18"/>
          <w:b w:val="1"/>
          <w:bCs w:val="1"/>
          <w:u w:val="single" w:color="auto"/>
          <w:color w:val="auto"/>
        </w:rPr>
        <w:t>Former Auditor</w:t>
      </w:r>
      <w:r>
        <w:rPr>
          <w:rFonts w:ascii="Arial" w:cs="Arial" w:eastAsia="Arial" w:hAnsi="Arial"/>
          <w:sz w:val="18"/>
          <w:szCs w:val="18"/>
          <w:color w:val="auto"/>
        </w:rPr>
        <w:t>”) to furnish Cowen a letter (the “</w:t>
      </w:r>
      <w:r>
        <w:rPr>
          <w:rFonts w:ascii="Arial" w:cs="Arial" w:eastAsia="Arial" w:hAnsi="Arial"/>
          <w:sz w:val="18"/>
          <w:szCs w:val="18"/>
          <w:b w:val="1"/>
          <w:bCs w:val="1"/>
          <w:u w:val="single" w:color="auto"/>
          <w:color w:val="auto"/>
        </w:rPr>
        <w:t>EY Comfort Letter</w:t>
      </w:r>
      <w:r>
        <w:rPr>
          <w:rFonts w:ascii="Arial" w:cs="Arial" w:eastAsia="Arial" w:hAnsi="Arial"/>
          <w:sz w:val="18"/>
          <w:szCs w:val="18"/>
          <w:color w:val="auto"/>
        </w:rPr>
        <w:t>”), dated the date the EY Comfort Letter is delivered, in form and substance reasonably satisfactory to Cowen, (A) confirming that they are an independent registered public accounting firm within the meaning of the Securities Act and the PCAOB and (B) stating, as of such date, the conclusions and findings of such firm with respect to the financial information and other matters ordinarily covered by accountants’ “comfort letters” to Cowen in connection with registered public offerings. The Company shall not be required to cause the Former Auditor to update the EY Comfort Letter or provide additional comfort letters following the First Delivery Date.</w:t>
      </w:r>
    </w:p>
    <w:p>
      <w:pPr>
        <w:spacing w:after="0" w:line="193" w:lineRule="exact"/>
        <w:rPr>
          <w:rFonts w:ascii="Arial" w:cs="Arial" w:eastAsia="Arial" w:hAnsi="Arial"/>
          <w:sz w:val="18"/>
          <w:szCs w:val="18"/>
          <w:color w:val="auto"/>
        </w:rPr>
      </w:pPr>
    </w:p>
    <w:p>
      <w:pPr>
        <w:jc w:val="both"/>
        <w:ind w:left="100" w:firstLine="653"/>
        <w:spacing w:after="0" w:line="269" w:lineRule="auto"/>
        <w:tabs>
          <w:tab w:leader="none" w:pos="1490" w:val="left"/>
        </w:tabs>
        <w:numPr>
          <w:ilvl w:val="1"/>
          <w:numId w:val="27"/>
        </w:numPr>
        <w:rPr>
          <w:rFonts w:ascii="Arial" w:cs="Arial" w:eastAsia="Arial" w:hAnsi="Arial"/>
          <w:sz w:val="17"/>
          <w:szCs w:val="17"/>
          <w:color w:val="auto"/>
        </w:rPr>
      </w:pPr>
      <w:r>
        <w:rPr>
          <w:rFonts w:ascii="Arial" w:cs="Arial" w:eastAsia="Arial" w:hAnsi="Arial"/>
          <w:sz w:val="17"/>
          <w:szCs w:val="17"/>
          <w:color w:val="auto"/>
        </w:rPr>
        <w:t xml:space="preserve">On or prior to the First Delivery Date and, solely with respect to the Company’s current independent registered public accounting firm, within the later of (i) three Trading Days of each Representation Date with respect to which the Company is obligated to deliver a certificate in the form attached hereto as </w:t>
      </w:r>
      <w:r>
        <w:rPr>
          <w:rFonts w:ascii="Arial" w:cs="Arial" w:eastAsia="Arial" w:hAnsi="Arial"/>
          <w:sz w:val="17"/>
          <w:szCs w:val="17"/>
          <w:b w:val="1"/>
          <w:bCs w:val="1"/>
          <w:u w:val="single" w:color="auto"/>
          <w:color w:val="auto"/>
        </w:rPr>
        <w:t>Exhibit 7(m)</w:t>
      </w:r>
      <w:r>
        <w:rPr>
          <w:rFonts w:ascii="Arial" w:cs="Arial" w:eastAsia="Arial" w:hAnsi="Arial"/>
          <w:sz w:val="17"/>
          <w:szCs w:val="17"/>
          <w:color w:val="auto"/>
        </w:rPr>
        <w:t xml:space="preserve"> or (ii) the date a Placement Notice is first delivered by the Company following a Representation Date, the Company shall cause its current independent accountants to furnish Cowen a letter (the “</w:t>
      </w:r>
      <w:r>
        <w:rPr>
          <w:rFonts w:ascii="Arial" w:cs="Arial" w:eastAsia="Arial" w:hAnsi="Arial"/>
          <w:sz w:val="17"/>
          <w:szCs w:val="17"/>
          <w:b w:val="1"/>
          <w:bCs w:val="1"/>
          <w:u w:val="single" w:color="auto"/>
          <w:color w:val="auto"/>
        </w:rPr>
        <w:t>PWC</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Comfort Letter</w:t>
      </w:r>
      <w:r>
        <w:rPr>
          <w:rFonts w:ascii="Arial" w:cs="Arial" w:eastAsia="Arial" w:hAnsi="Arial"/>
          <w:sz w:val="17"/>
          <w:szCs w:val="17"/>
          <w:color w:val="auto"/>
        </w:rPr>
        <w:t>”), dated the date the PWC Comfort Letter is delivered, in form and substance reasonably satisfactory to Cowen, (A)</w:t>
      </w:r>
      <w:r>
        <w:rPr>
          <w:rFonts w:ascii="Arial" w:cs="Arial" w:eastAsia="Arial" w:hAnsi="Arial"/>
          <w:sz w:val="17"/>
          <w:szCs w:val="17"/>
          <w:b w:val="1"/>
          <w:bCs w:val="1"/>
          <w:color w:val="auto"/>
        </w:rPr>
        <w:t xml:space="preserve"> </w:t>
      </w:r>
      <w:r>
        <w:rPr>
          <w:rFonts w:ascii="Arial" w:cs="Arial" w:eastAsia="Arial" w:hAnsi="Arial"/>
          <w:sz w:val="17"/>
          <w:szCs w:val="17"/>
          <w:color w:val="auto"/>
        </w:rPr>
        <w:t>confirming that they are an independent registered public accounting firm within the meaning of the Securities Act and the PCAOB, (B) stating, as of such date, the conclusions and findings of such firm with respect to the financial information and other matters ordinarily covered by accountants’ “comfort letters” to Cowen in connection with registered public offerings (the first such letter, the “</w:t>
      </w:r>
      <w:r>
        <w:rPr>
          <w:rFonts w:ascii="Arial" w:cs="Arial" w:eastAsia="Arial" w:hAnsi="Arial"/>
          <w:sz w:val="17"/>
          <w:szCs w:val="17"/>
          <w:b w:val="1"/>
          <w:bCs w:val="1"/>
          <w:u w:val="single" w:color="auto"/>
          <w:color w:val="auto"/>
        </w:rPr>
        <w:t>Initial</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Comfort Letter</w:t>
      </w:r>
      <w:r>
        <w:rPr>
          <w:rFonts w:ascii="Arial" w:cs="Arial" w:eastAsia="Arial" w:hAnsi="Arial"/>
          <w:sz w:val="17"/>
          <w:szCs w:val="17"/>
          <w:color w:val="auto"/>
        </w:rPr>
        <w:t>”) and (C) updating the Initial Comfort Letter with any information that would have been included in the Initial Comfort</w:t>
      </w:r>
      <w:r>
        <w:rPr>
          <w:rFonts w:ascii="Arial" w:cs="Arial" w:eastAsia="Arial" w:hAnsi="Arial"/>
          <w:sz w:val="17"/>
          <w:szCs w:val="17"/>
          <w:b w:val="1"/>
          <w:bCs w:val="1"/>
          <w:color w:val="auto"/>
        </w:rPr>
        <w:t xml:space="preserve"> </w:t>
      </w:r>
      <w:r>
        <w:rPr>
          <w:rFonts w:ascii="Arial" w:cs="Arial" w:eastAsia="Arial" w:hAnsi="Arial"/>
          <w:sz w:val="17"/>
          <w:szCs w:val="17"/>
          <w:color w:val="auto"/>
        </w:rPr>
        <w:t>Letter had it been given on such date and modified as necessary to relate to the Registration Statement and the Prospectus, as amended and supplemented to the date of such letter.</w:t>
      </w:r>
    </w:p>
    <w:p>
      <w:pPr>
        <w:spacing w:after="0" w:line="182" w:lineRule="exact"/>
        <w:rPr>
          <w:rFonts w:ascii="Arial" w:cs="Arial" w:eastAsia="Arial" w:hAnsi="Arial"/>
          <w:sz w:val="17"/>
          <w:szCs w:val="17"/>
          <w:color w:val="auto"/>
        </w:rPr>
      </w:pPr>
    </w:p>
    <w:p>
      <w:pPr>
        <w:jc w:val="both"/>
        <w:ind w:left="-540" w:firstLine="645"/>
        <w:spacing w:after="0" w:line="276" w:lineRule="auto"/>
        <w:tabs>
          <w:tab w:leader="none" w:pos="768"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Market Activities</w:t>
      </w:r>
      <w:r>
        <w:rPr>
          <w:rFonts w:ascii="Arial" w:cs="Arial" w:eastAsia="Arial" w:hAnsi="Arial"/>
          <w:sz w:val="17"/>
          <w:szCs w:val="17"/>
          <w:color w:val="auto"/>
        </w:rPr>
        <w:t xml:space="preserve">. The Company will not, directly or indirectly, (i) take any action designed to cause or result in, or that constitutes or might reasonably be expected to constitute, the stabilization or manipulation of the price of any security of the Company to facilitate the sale or resale of the Common Stock or (ii) sell, bid for, or purchase the Common Stock to be issued and sold pursuant to this Agreement, or pay anyone any compensation for soliciting purchases of the Common Stock other than Cowen;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may bid for and purchase shares of its common stock in accordance with Rule 10b-18 under the Exchange Act.</w:t>
      </w:r>
    </w:p>
    <w:p>
      <w:pPr>
        <w:spacing w:after="0" w:line="38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5" w:name="page26"/>
    <w:bookmarkEnd w:id="25"/>
    <w:p>
      <w:pPr>
        <w:jc w:val="both"/>
        <w:ind w:left="640" w:firstLine="645"/>
        <w:spacing w:after="0" w:line="259" w:lineRule="auto"/>
        <w:tabs>
          <w:tab w:leader="none" w:pos="1989"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will conduct its affairs in such a manner so as to reasonably ensure that neither it nor its Subsidiaries will be or become, at any time prior to the termination of this Agreement, an “investment company,” as such term is defined in the Investment Company Act, assuming no change in the Commission’s current interpretation as to entities that are not considered an investment company.</w:t>
      </w:r>
    </w:p>
    <w:p>
      <w:pPr>
        <w:spacing w:after="0" w:line="186" w:lineRule="exact"/>
        <w:rPr>
          <w:rFonts w:ascii="Arial" w:cs="Arial" w:eastAsia="Arial" w:hAnsi="Arial"/>
          <w:sz w:val="18"/>
          <w:szCs w:val="18"/>
          <w:color w:val="auto"/>
        </w:rPr>
      </w:pPr>
    </w:p>
    <w:p>
      <w:pPr>
        <w:jc w:val="both"/>
        <w:ind w:left="640" w:firstLine="645"/>
        <w:spacing w:after="0" w:line="264" w:lineRule="auto"/>
        <w:tabs>
          <w:tab w:leader="none" w:pos="2233"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Securities Act and Exchange Act</w:t>
      </w:r>
      <w:r>
        <w:rPr>
          <w:rFonts w:ascii="Arial" w:cs="Arial" w:eastAsia="Arial" w:hAnsi="Arial"/>
          <w:sz w:val="18"/>
          <w:szCs w:val="18"/>
          <w:color w:val="auto"/>
        </w:rPr>
        <w:t>. The Company will use its reasonable efforts to comply in all material respects with the requirements imposed upon it by the Securities Act and the Exchange Act as from time to time in force, so far as necessary to permit the continuance of sales of, or dealings in, the Placement Shares as contemplated by the provisions hereof and the Prospectus.</w:t>
      </w:r>
    </w:p>
    <w:p>
      <w:pPr>
        <w:spacing w:after="0" w:line="181" w:lineRule="exact"/>
        <w:rPr>
          <w:rFonts w:ascii="Arial" w:cs="Arial" w:eastAsia="Arial" w:hAnsi="Arial"/>
          <w:sz w:val="18"/>
          <w:szCs w:val="18"/>
          <w:color w:val="auto"/>
        </w:rPr>
      </w:pPr>
    </w:p>
    <w:p>
      <w:pPr>
        <w:jc w:val="both"/>
        <w:ind w:left="640" w:firstLine="645"/>
        <w:spacing w:after="0" w:line="257" w:lineRule="auto"/>
        <w:tabs>
          <w:tab w:leader="none" w:pos="1942"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No Offer to Sell</w:t>
      </w:r>
      <w:r>
        <w:rPr>
          <w:rFonts w:ascii="Arial" w:cs="Arial" w:eastAsia="Arial" w:hAnsi="Arial"/>
          <w:sz w:val="18"/>
          <w:szCs w:val="18"/>
          <w:color w:val="auto"/>
        </w:rPr>
        <w:t>. Other than the Prospectus or a free writing prospectus (as defined in Rule 405 under the Securities Act) approved in advance by the Company and Cowen in its capacity as principal or agent hereunder, neither Cowen nor the Company (including its agents and representatives, other than Cowen in its capacity as such) will make, use, prepare, authorize, approve or refer to any written communication (as defined in Rule 405 under the Securities Act), required to be filed with the Commission, that constitutes an offer to sell or solicitation of an offer to buy Common Stock hereunder.</w:t>
      </w:r>
    </w:p>
    <w:p>
      <w:pPr>
        <w:spacing w:after="0" w:line="188" w:lineRule="exact"/>
        <w:rPr>
          <w:rFonts w:ascii="Arial" w:cs="Arial" w:eastAsia="Arial" w:hAnsi="Arial"/>
          <w:sz w:val="18"/>
          <w:szCs w:val="18"/>
          <w:color w:val="auto"/>
        </w:rPr>
      </w:pPr>
    </w:p>
    <w:p>
      <w:pPr>
        <w:jc w:val="both"/>
        <w:ind w:left="-20" w:firstLine="656"/>
        <w:spacing w:after="0" w:line="259" w:lineRule="auto"/>
        <w:tabs>
          <w:tab w:leader="none" w:pos="146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Conditions to Cowen’s Obligations</w:t>
      </w:r>
      <w:r>
        <w:rPr>
          <w:rFonts w:ascii="Arial" w:cs="Arial" w:eastAsia="Arial" w:hAnsi="Arial"/>
          <w:sz w:val="18"/>
          <w:szCs w:val="18"/>
          <w:color w:val="auto"/>
        </w:rPr>
        <w:t>. The obligations of Cowen hereunder with respect to a Placement will be subject to the continuing accuracy and completeness of the representations and warranties made by the Company herein, to the due performance by the Company of its obligations hereunder, to the completion by Cowen of a due diligence review satisfactory to Cowen in its reasonable judgment, and to the continuing satisfaction (or waiver by Cowen in its sole discretion) of the following additional conditions:</w:t>
      </w:r>
    </w:p>
    <w:p>
      <w:pPr>
        <w:spacing w:after="0" w:line="186" w:lineRule="exact"/>
        <w:rPr>
          <w:rFonts w:ascii="Arial" w:cs="Arial" w:eastAsia="Arial" w:hAnsi="Arial"/>
          <w:sz w:val="18"/>
          <w:szCs w:val="18"/>
          <w:color w:val="auto"/>
        </w:rPr>
      </w:pPr>
    </w:p>
    <w:p>
      <w:pPr>
        <w:ind w:left="640" w:firstLine="645"/>
        <w:spacing w:after="0" w:line="342" w:lineRule="auto"/>
        <w:tabs>
          <w:tab w:leader="none" w:pos="1965"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Registration Statement Effective</w:t>
      </w:r>
      <w:r>
        <w:rPr>
          <w:rFonts w:ascii="Arial" w:cs="Arial" w:eastAsia="Arial" w:hAnsi="Arial"/>
          <w:sz w:val="16"/>
          <w:szCs w:val="16"/>
          <w:color w:val="auto"/>
        </w:rPr>
        <w:t>. The Registration Statement shall be effective and shall be available for (i) all sales of Placement Shares issued pursuant to all prior Placement Notices and (ii) the sale of all Placement Shares contemplated to be issued by any Placement Notice.</w:t>
      </w:r>
    </w:p>
    <w:p>
      <w:pPr>
        <w:spacing w:after="0" w:line="123" w:lineRule="exact"/>
        <w:rPr>
          <w:rFonts w:ascii="Arial" w:cs="Arial" w:eastAsia="Arial" w:hAnsi="Arial"/>
          <w:sz w:val="16"/>
          <w:szCs w:val="16"/>
          <w:color w:val="auto"/>
        </w:rPr>
      </w:pPr>
    </w:p>
    <w:p>
      <w:pPr>
        <w:jc w:val="both"/>
        <w:ind w:left="640" w:firstLine="645"/>
        <w:spacing w:after="0" w:line="268" w:lineRule="auto"/>
        <w:tabs>
          <w:tab w:leader="none" w:pos="1962"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No Material Notices</w:t>
      </w:r>
      <w:r>
        <w:rPr>
          <w:rFonts w:ascii="Arial" w:cs="Arial" w:eastAsia="Arial" w:hAnsi="Arial"/>
          <w:sz w:val="17"/>
          <w:szCs w:val="17"/>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the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6" w:name="page27"/>
    <w:bookmarkEnd w:id="26"/>
    <w:p>
      <w:pPr>
        <w:jc w:val="both"/>
        <w:ind w:left="-540" w:firstLine="645"/>
        <w:spacing w:after="0" w:line="312" w:lineRule="auto"/>
        <w:tabs>
          <w:tab w:leader="none" w:pos="772"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No Misstatement or Material Omission</w:t>
      </w:r>
      <w:r>
        <w:rPr>
          <w:rFonts w:ascii="Arial" w:cs="Arial" w:eastAsia="Arial" w:hAnsi="Arial"/>
          <w:sz w:val="16"/>
          <w:szCs w:val="16"/>
          <w:color w:val="auto"/>
        </w:rPr>
        <w:t>. Cowen shall not have advised the Company that the Registration Statement or Prospectus, or any amendment or supplement thereto, contains an untrue statement of fact that in Cowen’s reasonable opinion is material, or omits to state a fact that in Cowen’s opinion is material and is required to be stated therein or is necessary to make the statements therein not misleading.</w:t>
      </w:r>
    </w:p>
    <w:p>
      <w:pPr>
        <w:spacing w:after="0" w:line="146" w:lineRule="exact"/>
        <w:rPr>
          <w:rFonts w:ascii="Arial" w:cs="Arial" w:eastAsia="Arial" w:hAnsi="Arial"/>
          <w:sz w:val="16"/>
          <w:szCs w:val="16"/>
          <w:color w:val="auto"/>
        </w:rPr>
      </w:pPr>
    </w:p>
    <w:p>
      <w:pPr>
        <w:jc w:val="both"/>
        <w:ind w:left="-540" w:firstLine="645"/>
        <w:spacing w:after="0" w:line="290" w:lineRule="auto"/>
        <w:tabs>
          <w:tab w:leader="none" w:pos="863"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Material Changes</w:t>
      </w:r>
      <w:r>
        <w:rPr>
          <w:rFonts w:ascii="Arial" w:cs="Arial" w:eastAsia="Arial" w:hAnsi="Arial"/>
          <w:sz w:val="16"/>
          <w:szCs w:val="16"/>
          <w:color w:val="auto"/>
        </w:rPr>
        <w:t>. Except as contemplated in the Prospectus, or disclosed in the Company’s reports filed with the Commission, there shall not have been any material adverse change, on a consolidated basis, in the authorized capital stock of the Company or any Material Adverse Effect or any development that could reasonably be expected to result in a Material Adverse Effect, or any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Cowen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66" w:lineRule="exact"/>
        <w:rPr>
          <w:rFonts w:ascii="Arial" w:cs="Arial" w:eastAsia="Arial" w:hAnsi="Arial"/>
          <w:sz w:val="16"/>
          <w:szCs w:val="16"/>
          <w:color w:val="auto"/>
        </w:rPr>
      </w:pPr>
    </w:p>
    <w:p>
      <w:pPr>
        <w:ind w:left="-540" w:firstLine="645"/>
        <w:spacing w:after="0" w:line="277" w:lineRule="auto"/>
        <w:tabs>
          <w:tab w:leader="none" w:pos="785"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Company Counsel Legal Opinion</w:t>
      </w:r>
      <w:r>
        <w:rPr>
          <w:rFonts w:ascii="Arial" w:cs="Arial" w:eastAsia="Arial" w:hAnsi="Arial"/>
          <w:sz w:val="18"/>
          <w:szCs w:val="18"/>
          <w:color w:val="auto"/>
        </w:rPr>
        <w:t xml:space="preserve">. Cowen shall have received the opinions of Company Counsel required to be delivered pursuant to </w:t>
      </w:r>
      <w:r>
        <w:rPr>
          <w:rFonts w:ascii="Arial" w:cs="Arial" w:eastAsia="Arial" w:hAnsi="Arial"/>
          <w:sz w:val="18"/>
          <w:szCs w:val="18"/>
          <w:u w:val="single" w:color="auto"/>
          <w:color w:val="auto"/>
        </w:rPr>
        <w:t>Section 7(n)</w:t>
      </w:r>
      <w:r>
        <w:rPr>
          <w:rFonts w:ascii="Arial" w:cs="Arial" w:eastAsia="Arial" w:hAnsi="Arial"/>
          <w:sz w:val="18"/>
          <w:szCs w:val="18"/>
          <w:color w:val="auto"/>
        </w:rPr>
        <w:t xml:space="preserve"> on or before the date on which such delivery of such opinion is required pursuant to </w:t>
      </w:r>
      <w:r>
        <w:rPr>
          <w:rFonts w:ascii="Arial" w:cs="Arial" w:eastAsia="Arial" w:hAnsi="Arial"/>
          <w:sz w:val="18"/>
          <w:szCs w:val="18"/>
          <w:u w:val="single" w:color="auto"/>
          <w:color w:val="auto"/>
        </w:rPr>
        <w:t>Section 7(n)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540" w:firstLine="645"/>
        <w:spacing w:after="0" w:line="259" w:lineRule="auto"/>
        <w:tabs>
          <w:tab w:leader="none" w:pos="85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Cowen Counsel Legal Opinion</w:t>
      </w:r>
      <w:r>
        <w:rPr>
          <w:rFonts w:ascii="Arial" w:cs="Arial" w:eastAsia="Arial" w:hAnsi="Arial"/>
          <w:sz w:val="18"/>
          <w:szCs w:val="18"/>
          <w:color w:val="auto"/>
        </w:rPr>
        <w:t xml:space="preserve">. Cowen shall have received from Nelson Mullins Riley &amp; Scarborough LLP, counsel for Cowen, such opinion or opinions, on or before the date on which the delivery of the Company Counsel legal opinion is required pursuant to </w:t>
      </w:r>
      <w:r>
        <w:rPr>
          <w:rFonts w:ascii="Arial" w:cs="Arial" w:eastAsia="Arial" w:hAnsi="Arial"/>
          <w:sz w:val="18"/>
          <w:szCs w:val="18"/>
          <w:u w:val="single" w:color="auto"/>
          <w:color w:val="auto"/>
        </w:rPr>
        <w:t>Section 7(n)</w:t>
      </w:r>
      <w:r>
        <w:rPr>
          <w:rFonts w:ascii="Arial" w:cs="Arial" w:eastAsia="Arial" w:hAnsi="Arial"/>
          <w:sz w:val="18"/>
          <w:szCs w:val="18"/>
          <w:color w:val="auto"/>
        </w:rPr>
        <w:t>, with respect to such matters as Cowen may reasonably require, and the Company shall have furnished to such counsel such documents as they request for enabling them to pass upon such matters.</w:t>
      </w:r>
    </w:p>
    <w:p>
      <w:pPr>
        <w:spacing w:after="0" w:line="186" w:lineRule="exact"/>
        <w:rPr>
          <w:rFonts w:ascii="Arial" w:cs="Arial" w:eastAsia="Arial" w:hAnsi="Arial"/>
          <w:sz w:val="18"/>
          <w:szCs w:val="18"/>
          <w:color w:val="auto"/>
        </w:rPr>
      </w:pPr>
    </w:p>
    <w:p>
      <w:pPr>
        <w:ind w:left="-540" w:firstLine="645"/>
        <w:spacing w:after="0" w:line="277" w:lineRule="auto"/>
        <w:tabs>
          <w:tab w:leader="none" w:pos="795"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Comfort Letters</w:t>
      </w:r>
      <w:r>
        <w:rPr>
          <w:rFonts w:ascii="Arial" w:cs="Arial" w:eastAsia="Arial" w:hAnsi="Arial"/>
          <w:sz w:val="18"/>
          <w:szCs w:val="18"/>
          <w:color w:val="auto"/>
        </w:rPr>
        <w:t xml:space="preserve">. Cowen shall have received the Comfort Letters required to be delivered pursuant to </w:t>
      </w:r>
      <w:r>
        <w:rPr>
          <w:rFonts w:ascii="Arial" w:cs="Arial" w:eastAsia="Arial" w:hAnsi="Arial"/>
          <w:sz w:val="18"/>
          <w:szCs w:val="18"/>
          <w:u w:val="single" w:color="auto"/>
          <w:color w:val="auto"/>
        </w:rPr>
        <w:t>Section 7(o)</w:t>
      </w:r>
      <w:r>
        <w:rPr>
          <w:rFonts w:ascii="Arial" w:cs="Arial" w:eastAsia="Arial" w:hAnsi="Arial"/>
          <w:sz w:val="18"/>
          <w:szCs w:val="18"/>
          <w:color w:val="auto"/>
        </w:rPr>
        <w:t xml:space="preserve"> on or before the date on which such delivery of such Comfort Letter is required pursuant to </w:t>
      </w:r>
      <w:r>
        <w:rPr>
          <w:rFonts w:ascii="Arial" w:cs="Arial" w:eastAsia="Arial" w:hAnsi="Arial"/>
          <w:sz w:val="18"/>
          <w:szCs w:val="18"/>
          <w:u w:val="single" w:color="auto"/>
          <w:color w:val="auto"/>
        </w:rPr>
        <w:t>Section 7(o)</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540" w:firstLine="645"/>
        <w:spacing w:after="0" w:line="277" w:lineRule="auto"/>
        <w:tabs>
          <w:tab w:leader="none" w:pos="768"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Representation Certificate</w:t>
      </w:r>
      <w:r>
        <w:rPr>
          <w:rFonts w:ascii="Arial" w:cs="Arial" w:eastAsia="Arial" w:hAnsi="Arial"/>
          <w:sz w:val="18"/>
          <w:szCs w:val="18"/>
          <w:color w:val="auto"/>
        </w:rPr>
        <w:t xml:space="preserve">. Cowen shall have received the certificate required to be delivered pursuant to </w:t>
      </w:r>
      <w:r>
        <w:rPr>
          <w:rFonts w:ascii="Arial" w:cs="Arial" w:eastAsia="Arial" w:hAnsi="Arial"/>
          <w:sz w:val="18"/>
          <w:szCs w:val="18"/>
          <w:u w:val="single" w:color="auto"/>
          <w:color w:val="auto"/>
        </w:rPr>
        <w:t>Section 7(m)</w:t>
      </w:r>
      <w:r>
        <w:rPr>
          <w:rFonts w:ascii="Arial" w:cs="Arial" w:eastAsia="Arial" w:hAnsi="Arial"/>
          <w:sz w:val="18"/>
          <w:szCs w:val="18"/>
          <w:color w:val="auto"/>
        </w:rPr>
        <w:t xml:space="preserve"> on or before the date on which delivery of such certificate is required pursuant to </w:t>
      </w:r>
      <w:r>
        <w:rPr>
          <w:rFonts w:ascii="Arial" w:cs="Arial" w:eastAsia="Arial" w:hAnsi="Arial"/>
          <w:sz w:val="18"/>
          <w:szCs w:val="18"/>
          <w:u w:val="single" w:color="auto"/>
          <w:color w:val="auto"/>
        </w:rPr>
        <w:t>Section 7(m)</w:t>
      </w:r>
      <w:r>
        <w:rPr>
          <w:rFonts w:ascii="Arial" w:cs="Arial" w:eastAsia="Arial" w:hAnsi="Arial"/>
          <w:sz w:val="18"/>
          <w:szCs w:val="18"/>
          <w:color w:val="auto"/>
        </w:rPr>
        <w:t>.</w:t>
      </w:r>
    </w:p>
    <w:p>
      <w:pPr>
        <w:spacing w:after="0" w:line="38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7" w:name="page28"/>
    <w:bookmarkEnd w:id="27"/>
    <w:p>
      <w:pPr>
        <w:ind w:left="4" w:firstLine="645"/>
        <w:spacing w:after="0" w:line="277" w:lineRule="auto"/>
        <w:tabs>
          <w:tab w:leader="none" w:pos="1452"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Secretary’s Certificate</w:t>
      </w:r>
      <w:r>
        <w:rPr>
          <w:rFonts w:ascii="Arial" w:cs="Arial" w:eastAsia="Arial" w:hAnsi="Arial"/>
          <w:sz w:val="18"/>
          <w:szCs w:val="18"/>
          <w:color w:val="auto"/>
        </w:rPr>
        <w:t>. On or prior to the First Delivery Date, Cowen shall have received a certificate, signed on behalf of the Company by its corporate Secretary, in form and substance satisfactory to Cowen and its counsel.</w:t>
      </w:r>
    </w:p>
    <w:p>
      <w:pPr>
        <w:spacing w:after="0" w:line="170" w:lineRule="exact"/>
        <w:rPr>
          <w:rFonts w:ascii="Arial" w:cs="Arial" w:eastAsia="Arial" w:hAnsi="Arial"/>
          <w:sz w:val="18"/>
          <w:szCs w:val="18"/>
          <w:color w:val="auto"/>
        </w:rPr>
      </w:pPr>
    </w:p>
    <w:p>
      <w:pPr>
        <w:ind w:left="1304" w:hanging="655"/>
        <w:spacing w:after="0"/>
        <w:tabs>
          <w:tab w:leader="none" w:pos="1304"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No Suspension</w:t>
      </w:r>
      <w:r>
        <w:rPr>
          <w:rFonts w:ascii="Arial" w:cs="Arial" w:eastAsia="Arial" w:hAnsi="Arial"/>
          <w:sz w:val="18"/>
          <w:szCs w:val="18"/>
          <w:color w:val="auto"/>
        </w:rPr>
        <w:t>. Trading in the Common Stock shall not have been suspended on Nasdaq.</w:t>
      </w:r>
    </w:p>
    <w:p>
      <w:pPr>
        <w:spacing w:after="0" w:line="225" w:lineRule="exact"/>
        <w:rPr>
          <w:rFonts w:ascii="Arial" w:cs="Arial" w:eastAsia="Arial" w:hAnsi="Arial"/>
          <w:sz w:val="18"/>
          <w:szCs w:val="18"/>
          <w:color w:val="auto"/>
        </w:rPr>
      </w:pPr>
    </w:p>
    <w:p>
      <w:pPr>
        <w:jc w:val="both"/>
        <w:ind w:left="4" w:firstLine="645"/>
        <w:spacing w:after="0" w:line="302" w:lineRule="auto"/>
        <w:tabs>
          <w:tab w:leader="none" w:pos="1393"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Other Materials</w:t>
      </w:r>
      <w:r>
        <w:rPr>
          <w:rFonts w:ascii="Arial" w:cs="Arial" w:eastAsia="Arial" w:hAnsi="Arial"/>
          <w:sz w:val="16"/>
          <w:szCs w:val="16"/>
          <w:color w:val="auto"/>
        </w:rPr>
        <w:t xml:space="preserve">. On each date on which the Company is required to deliver a certificate pursuant to </w:t>
      </w:r>
      <w:r>
        <w:rPr>
          <w:rFonts w:ascii="Arial" w:cs="Arial" w:eastAsia="Arial" w:hAnsi="Arial"/>
          <w:sz w:val="16"/>
          <w:szCs w:val="16"/>
          <w:u w:val="single" w:color="auto"/>
          <w:color w:val="auto"/>
        </w:rPr>
        <w:t>Section 7(m)</w:t>
      </w:r>
      <w:r>
        <w:rPr>
          <w:rFonts w:ascii="Arial" w:cs="Arial" w:eastAsia="Arial" w:hAnsi="Arial"/>
          <w:sz w:val="16"/>
          <w:szCs w:val="16"/>
          <w:color w:val="auto"/>
        </w:rPr>
        <w:t>, the Company shall have furnished to Cowen such appropriate further information, certificates and documents as Cowen may have reasonably requested. All such opinions, certificates, letters and other documents shall have been in compliance with the provisions hereof. The Company will furnish Cowen with such conformed copies of such opinions, certificates, letters and other documents as Cowen shall have reasonably requested.</w:t>
      </w:r>
    </w:p>
    <w:p>
      <w:pPr>
        <w:spacing w:after="0" w:line="154" w:lineRule="exact"/>
        <w:rPr>
          <w:rFonts w:ascii="Arial" w:cs="Arial" w:eastAsia="Arial" w:hAnsi="Arial"/>
          <w:sz w:val="16"/>
          <w:szCs w:val="16"/>
          <w:color w:val="auto"/>
        </w:rPr>
      </w:pPr>
    </w:p>
    <w:p>
      <w:pPr>
        <w:jc w:val="both"/>
        <w:ind w:left="4" w:firstLine="645"/>
        <w:spacing w:after="0" w:line="291" w:lineRule="auto"/>
        <w:tabs>
          <w:tab w:leader="none" w:pos="1438"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Securities Act Filings Made</w:t>
      </w:r>
      <w:r>
        <w:rPr>
          <w:rFonts w:ascii="Arial" w:cs="Arial" w:eastAsia="Arial" w:hAnsi="Arial"/>
          <w:sz w:val="16"/>
          <w:szCs w:val="16"/>
          <w:color w:val="auto"/>
        </w:rPr>
        <w:t>. All filings with the Commission required by Rule 424 under the Securities Act to have been filed prior to the issuance of any Placement Notice hereunder shall have been made within the applicable time period prescribed for such filing by Rule</w:t>
      </w:r>
    </w:p>
    <w:p>
      <w:pPr>
        <w:spacing w:after="0"/>
        <w:tabs>
          <w:tab w:leader="none" w:pos="0" w:val="left"/>
        </w:tabs>
        <w:numPr>
          <w:ilvl w:val="0"/>
          <w:numId w:val="32"/>
        </w:numPr>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jc w:val="both"/>
        <w:ind w:left="4" w:firstLine="645"/>
        <w:spacing w:after="0" w:line="264" w:lineRule="auto"/>
        <w:tabs>
          <w:tab w:leader="none" w:pos="1411"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Approval for Listing</w:t>
      </w:r>
      <w:r>
        <w:rPr>
          <w:rFonts w:ascii="Arial" w:cs="Arial" w:eastAsia="Arial" w:hAnsi="Arial"/>
          <w:sz w:val="18"/>
          <w:szCs w:val="18"/>
          <w:color w:val="auto"/>
        </w:rPr>
        <w:t>. The Placement Shares shall either have been (i) approved for listing on Nasdaq, subject only to notice of issuance or (ii) the Company shall have filed an application for listing of the Placement Shares on Nasdaq at, or prior to, the issuance of any Placement Notice.</w:t>
      </w:r>
    </w:p>
    <w:p>
      <w:pPr>
        <w:spacing w:after="0" w:line="181" w:lineRule="exact"/>
        <w:rPr>
          <w:rFonts w:ascii="Arial" w:cs="Arial" w:eastAsia="Arial" w:hAnsi="Arial"/>
          <w:sz w:val="18"/>
          <w:szCs w:val="18"/>
          <w:color w:val="auto"/>
        </w:rPr>
      </w:pPr>
    </w:p>
    <w:p>
      <w:pPr>
        <w:ind w:left="1344" w:hanging="695"/>
        <w:spacing w:after="0"/>
        <w:tabs>
          <w:tab w:leader="none" w:pos="1344"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No Termination Event</w:t>
      </w:r>
      <w:r>
        <w:rPr>
          <w:rFonts w:ascii="Arial" w:cs="Arial" w:eastAsia="Arial" w:hAnsi="Arial"/>
          <w:sz w:val="16"/>
          <w:szCs w:val="16"/>
          <w:color w:val="auto"/>
        </w:rPr>
        <w:t>. There shall not have occurred any event that would permit Cowen to terminate this Agreement pursuant to</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u w:val="single" w:color="auto"/>
          <w:color w:val="auto"/>
        </w:rPr>
        <w:t>Section 11(a)</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684" w:hanging="684"/>
        <w:spacing w:after="0"/>
        <w:tabs>
          <w:tab w:leader="none" w:pos="68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92" w:lineRule="auto"/>
        <w:tabs>
          <w:tab w:leader="none" w:pos="1599"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Company Indemnification</w:t>
      </w:r>
      <w:r>
        <w:rPr>
          <w:rFonts w:ascii="Arial" w:cs="Arial" w:eastAsia="Arial" w:hAnsi="Arial"/>
          <w:sz w:val="16"/>
          <w:szCs w:val="16"/>
          <w:color w:val="auto"/>
        </w:rPr>
        <w:t xml:space="preserve">. The Company agrees to indemnify and hold harmless Cowen, the directors, officers, partners, employees and agents of Cowen and each person, if any, who (i) controls Cowen within the meaning of Section 15 of the Securities Act or Section 20 of the Exchange Act, or (ii) is controlled by or is under common control with Cowen (a “Cowen Affiliate”) from and against any and all losses, claims, liabilities, expenses and damages (including, but not limited to, any and all reasonable investigative, legal and other expenses incurred in connection with, and any and all amounts paid in settlement (in accordance with </w:t>
      </w:r>
      <w:r>
        <w:rPr>
          <w:rFonts w:ascii="Arial" w:cs="Arial" w:eastAsia="Arial" w:hAnsi="Arial"/>
          <w:sz w:val="16"/>
          <w:szCs w:val="16"/>
          <w:u w:val="single" w:color="auto"/>
          <w:color w:val="auto"/>
        </w:rPr>
        <w:t>Section 9(c)</w:t>
      </w:r>
      <w:r>
        <w:rPr>
          <w:rFonts w:ascii="Arial" w:cs="Arial" w:eastAsia="Arial" w:hAnsi="Arial"/>
          <w:sz w:val="16"/>
          <w:szCs w:val="16"/>
          <w:color w:val="auto"/>
        </w:rPr>
        <w:t xml:space="preserve">) of, any action, suit or proceeding between any indemnified party and any third party, or any claim asserted), promptly upon demand for any legal fees or other expenses reasonably incurred by that indemnified party in connection therewith, to which Cowen,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any document incorporated by reference therein or in any free writing prospectus or, (y) the omission or alleged omission to state in any such document a material fact required to be stated in it or necessary to make the statements therein in light of (other than in the case of any Registration Statement)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indemnity agreement shall not apply to the extent that such loss, claim, liability, expense or damage arises from the sale of the Placement Shares pursuant to this Agreement and is caused directly or indirectly by an untrue statement or alleged untrue statement in or omission or alleged omission from the Registration Statement or the Prospectus, or any such amendment or supplement thereto made in reliance upon and in conformity with the Agent’s Information. This indemnity agreement will be in addition to any liability that the Company might otherwise have. “</w:t>
      </w:r>
      <w:r>
        <w:rPr>
          <w:rFonts w:ascii="Arial" w:cs="Arial" w:eastAsia="Arial" w:hAnsi="Arial"/>
          <w:sz w:val="16"/>
          <w:szCs w:val="16"/>
          <w:b w:val="1"/>
          <w:bCs w:val="1"/>
          <w:color w:val="auto"/>
        </w:rPr>
        <w:t>Agent’s Information</w:t>
      </w:r>
      <w:r>
        <w:rPr>
          <w:rFonts w:ascii="Arial" w:cs="Arial" w:eastAsia="Arial" w:hAnsi="Arial"/>
          <w:sz w:val="16"/>
          <w:szCs w:val="16"/>
          <w:color w:val="auto"/>
        </w:rPr>
        <w:t>” means solely the following information in the Prospectus: the fifth (5</w:t>
      </w:r>
      <w:r>
        <w:rPr>
          <w:rFonts w:ascii="Arial" w:cs="Arial" w:eastAsia="Arial" w:hAnsi="Arial"/>
          <w:sz w:val="26"/>
          <w:szCs w:val="26"/>
          <w:color w:val="auto"/>
          <w:vertAlign w:val="superscript"/>
        </w:rPr>
        <w:t>th</w:t>
      </w:r>
      <w:r>
        <w:rPr>
          <w:rFonts w:ascii="Arial" w:cs="Arial" w:eastAsia="Arial" w:hAnsi="Arial"/>
          <w:sz w:val="16"/>
          <w:szCs w:val="16"/>
          <w:color w:val="auto"/>
        </w:rPr>
        <w:t>) paragraph and the third (3</w:t>
      </w:r>
      <w:r>
        <w:rPr>
          <w:rFonts w:ascii="Arial" w:cs="Arial" w:eastAsia="Arial" w:hAnsi="Arial"/>
          <w:sz w:val="26"/>
          <w:szCs w:val="26"/>
          <w:color w:val="auto"/>
          <w:vertAlign w:val="superscript"/>
        </w:rPr>
        <w:t>rd</w:t>
      </w:r>
      <w:r>
        <w:rPr>
          <w:rFonts w:ascii="Arial" w:cs="Arial" w:eastAsia="Arial" w:hAnsi="Arial"/>
          <w:sz w:val="16"/>
          <w:szCs w:val="16"/>
          <w:color w:val="auto"/>
        </w:rPr>
        <w:t>) sentence of the eighth (8</w:t>
      </w:r>
      <w:r>
        <w:rPr>
          <w:rFonts w:ascii="Arial" w:cs="Arial" w:eastAsia="Arial" w:hAnsi="Arial"/>
          <w:sz w:val="26"/>
          <w:szCs w:val="26"/>
          <w:color w:val="auto"/>
          <w:vertAlign w:val="superscript"/>
        </w:rPr>
        <w:t>th</w:t>
      </w:r>
      <w:r>
        <w:rPr>
          <w:rFonts w:ascii="Arial" w:cs="Arial" w:eastAsia="Arial" w:hAnsi="Arial"/>
          <w:sz w:val="16"/>
          <w:szCs w:val="16"/>
          <w:color w:val="auto"/>
        </w:rPr>
        <w:t>) paragraph under the caption “Plan of Distribution.”</w:t>
      </w:r>
    </w:p>
    <w:p>
      <w:pPr>
        <w:spacing w:after="0" w:line="23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28" w:name="page29"/>
    <w:bookmarkEnd w:id="28"/>
    <w:p>
      <w:pPr>
        <w:jc w:val="both"/>
        <w:ind w:left="-540" w:firstLine="645"/>
        <w:spacing w:after="0" w:line="286" w:lineRule="auto"/>
        <w:tabs>
          <w:tab w:leader="none" w:pos="93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Cowen Indemnification</w:t>
      </w:r>
      <w:r>
        <w:rPr>
          <w:rFonts w:ascii="Arial" w:cs="Arial" w:eastAsia="Arial" w:hAnsi="Arial"/>
          <w:sz w:val="16"/>
          <w:szCs w:val="16"/>
          <w:color w:val="auto"/>
        </w:rPr>
        <w:t>. Cowen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 “</w:t>
      </w:r>
      <w:r>
        <w:rPr>
          <w:rFonts w:ascii="Arial" w:cs="Arial" w:eastAsia="Arial" w:hAnsi="Arial"/>
          <w:sz w:val="16"/>
          <w:szCs w:val="16"/>
          <w:b w:val="1"/>
          <w:bCs w:val="1"/>
          <w:u w:val="single" w:color="auto"/>
          <w:color w:val="auto"/>
        </w:rPr>
        <w:t>Company Affiliate</w:t>
      </w:r>
      <w:r>
        <w:rPr>
          <w:rFonts w:ascii="Arial" w:cs="Arial" w:eastAsia="Arial" w:hAnsi="Arial"/>
          <w:sz w:val="16"/>
          <w:szCs w:val="16"/>
          <w:color w:val="auto"/>
        </w:rPr>
        <w:t xml:space="preserve">”) from and against any and all losses, claims, liabilities, expenses and damages (including, but not limited to, any and all reasonable investigative, legal and other expenses incurred in connection with, and any and all amounts paid in settlement (in accordance with </w:t>
      </w:r>
      <w:r>
        <w:rPr>
          <w:rFonts w:ascii="Arial" w:cs="Arial" w:eastAsia="Arial" w:hAnsi="Arial"/>
          <w:sz w:val="16"/>
          <w:szCs w:val="16"/>
          <w:u w:val="single" w:color="auto"/>
          <w:color w:val="auto"/>
        </w:rPr>
        <w:t>Section 9(c)</w:t>
      </w:r>
      <w:r>
        <w:rPr>
          <w:rFonts w:ascii="Arial" w:cs="Arial" w:eastAsia="Arial" w:hAnsi="Arial"/>
          <w:sz w:val="16"/>
          <w:szCs w:val="16"/>
          <w:color w:val="auto"/>
        </w:rPr>
        <w:t>) of, any action, suit or proceeding between any indemnified party and any third party, or any claim asserted), promptly upon demand for any legal fees or other expenses reasonably incurred by that indemnified party in connection therewith, to which the Company,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any document incorporated by reference therein or in any free writing prospectus or (y) the omission or alleged omission to state in any such document a material fact required to be stated in it or necessary to make the statements therein in light of (other than in the case of any Registration Statement) the circumstances under which they were made not misleading, but in each case only to the extent that the untrue statement or omission, or alleged untrue statement or alleged omission, was made in reliance upon and in conformity with Agent’s Information. This indemnity agreement will be in addition to any liability that Cowen might otherwise have.</w:t>
      </w:r>
    </w:p>
    <w:p>
      <w:pPr>
        <w:spacing w:after="0" w:line="38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9" w:name="page30"/>
    <w:bookmarkEnd w:id="29"/>
    <w:p>
      <w:pPr>
        <w:jc w:val="both"/>
        <w:ind w:left="4" w:firstLine="645"/>
        <w:spacing w:after="0" w:line="286" w:lineRule="auto"/>
        <w:tabs>
          <w:tab w:leader="none" w:pos="1329"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xml:space="preserve">. Any party that proposes to assert the right to be indemnified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will, promptly after receipt of written notice of commencement of any action against such party in respect of which a claim is to be made against an indemnifying party or parties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notify each such indemnifying party in writing of the commencement of such action, enclosing a copy of all papers served, but the omission so to notify such indemnifying party will not relieve the indemnifying party from (i) any liability that it might have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and</w:t>
      </w:r>
    </w:p>
    <w:p>
      <w:pPr>
        <w:spacing w:after="0" w:line="1" w:lineRule="exact"/>
        <w:rPr>
          <w:rFonts w:ascii="Arial" w:cs="Arial" w:eastAsia="Arial" w:hAnsi="Arial"/>
          <w:sz w:val="16"/>
          <w:szCs w:val="16"/>
          <w:color w:val="auto"/>
        </w:rPr>
      </w:pPr>
    </w:p>
    <w:p>
      <w:pPr>
        <w:jc w:val="both"/>
        <w:ind w:left="4" w:hanging="4"/>
        <w:spacing w:after="0" w:line="283" w:lineRule="auto"/>
        <w:tabs>
          <w:tab w:leader="none" w:pos="293"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any liability that it may have to any indemnified party under the foregoing provision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except to the extent that it has been materially prejudiced by such failure;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the failure to notify an indemnifying party shall not relieve it from any liability which it may have to an indemnified party otherwise than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If any such action is brought against any indemnified party and it notifies the indemnifying party of its commencement, the indemnifying party will be entitled to participate in and, to the extent that it elects by delivering written notice to the indemnified party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of such action, the indemnifying party will not be liable to the indemnified party for any legal or other expenses except as provided below subsequently incurred by the indemnified party in connection with the defense. The indemnified party will have the right to employ its own counsel in any such action, but the fees, expenses and other charges of such counsel will be at the expense of such indemnified party unless (A) the employment of counsel by the indemnified party has been authorized in writing by the indemnifying party, (B) the indemnified party has reasonably concluded (based on advice of counsel) that there may be legal defenses available to it that are different from or in addition to those available to the indemnifying party, (C)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(D) the indemnifying party has not in fact employed counsel to assume the defense of such action within a reasonable time after receiving notice of the commencement of the action, in each of which cases, if such indemnified party notifies the indemnifying party in writing that it elects to employ separate counsel,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parties, which firm shall be designated in writing by the indemnified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(whether or not any indemnified party is a party thereto), unless such settlement, compromise or consent includes an unconditional release of each indemnified party from all liability arising out of such claim, action or proceeding.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0" w:name="page31"/>
    <w:bookmarkEnd w:id="30"/>
    <w:p>
      <w:pPr>
        <w:jc w:val="both"/>
        <w:ind w:left="-540" w:firstLine="645"/>
        <w:spacing w:after="0" w:line="283" w:lineRule="auto"/>
        <w:tabs>
          <w:tab w:leader="none" w:pos="795"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In order to provide for just and equitable contribution in circumstances in which the indemnification provided for in the foregoing paragraphs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is applicable in accordance with its terms but for any reason is held to be unavailable from the Company or Cowen, the Company and Cowen will contribute to the total losses, claims, liabilities, expenses and damages (including, but not limited to, any and all reasonable investigative, legal and other expenses incurred in connection with, and any and all amounts paid in settlement (in accordance with </w:t>
      </w:r>
      <w:r>
        <w:rPr>
          <w:rFonts w:ascii="Arial" w:cs="Arial" w:eastAsia="Arial" w:hAnsi="Arial"/>
          <w:sz w:val="16"/>
          <w:szCs w:val="16"/>
          <w:u w:val="single" w:color="auto"/>
          <w:color w:val="auto"/>
        </w:rPr>
        <w:t>Section 9(c)</w:t>
      </w:r>
      <w:r>
        <w:rPr>
          <w:rFonts w:ascii="Arial" w:cs="Arial" w:eastAsia="Arial" w:hAnsi="Arial"/>
          <w:sz w:val="16"/>
          <w:szCs w:val="16"/>
          <w:color w:val="auto"/>
        </w:rPr>
        <w:t xml:space="preserve">) of, any action, suit or proceeding or any claim asserted, but after deducting any contribution received by the Company from persons other than Cowen, such as persons who control the Company within the meaning of the Securities Act, officers of the Company who signed the Registration Statement and directors of the Company, who also may be liable for contribution) to which the Company and Cowen may be subject in such proportion as shall be appropriate to reflect the relative benefits received by the Company on the one hand and Cowen on the other from the sale of the Placement Shares. The relative benefits received by the Company on the one hand and Cowen on the other with respect to the sale of the Placement Shares shall be deemed to be in the same proportion as the total Net Proceeds from the sale of the Placement Shares (before deducting expenses) received by the Company bear to the total compensation received by Cowen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Cowen,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Cowen, the intent of the parties and their relative knowledge, access to information and opportunity to correct or prevent such statement or omission. The Company and Cowen agree that it would not be just and equitable if contributions pursuant to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shall be deemed to include, subject to the limitations set forth above, any legal or other expenses reasonably incurred by such indemnified party in connection with investigating or defending any such action or claim to the extent consistent with </w:t>
      </w:r>
      <w:r>
        <w:rPr>
          <w:rFonts w:ascii="Arial" w:cs="Arial" w:eastAsia="Arial" w:hAnsi="Arial"/>
          <w:sz w:val="16"/>
          <w:szCs w:val="16"/>
          <w:u w:val="single" w:color="auto"/>
          <w:color w:val="auto"/>
        </w:rPr>
        <w:t>Section 9(c)</w:t>
      </w:r>
      <w:r>
        <w:rPr>
          <w:rFonts w:ascii="Arial" w:cs="Arial" w:eastAsia="Arial" w:hAnsi="Arial"/>
          <w:sz w:val="16"/>
          <w:szCs w:val="16"/>
          <w:color w:val="auto"/>
        </w:rPr>
        <w:t xml:space="preserve"> hereof. Notwithstanding the foregoing provisions of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Cowen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any person who controls a party to this Agreement within the meaning of the Securities Act, and any officers, directors, partners, employees or agents of Cowen, will have the same rights to contribution as that party, and each director or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will notify in writing any such party or parties from whom contribution may be sought, but the omission to so notify will not relieve that party or parties from whom contribution may be sought from any other obligation it or they may have under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Arial" w:cs="Arial" w:eastAsia="Arial" w:hAnsi="Arial"/>
          <w:sz w:val="16"/>
          <w:szCs w:val="16"/>
          <w:u w:val="single" w:color="auto"/>
          <w:color w:val="auto"/>
        </w:rPr>
        <w:t>Section 9(c)</w:t>
      </w:r>
      <w:r>
        <w:rPr>
          <w:rFonts w:ascii="Arial" w:cs="Arial" w:eastAsia="Arial" w:hAnsi="Arial"/>
          <w:sz w:val="16"/>
          <w:szCs w:val="16"/>
          <w:color w:val="auto"/>
        </w:rPr>
        <w:t xml:space="preserve"> hereof, no party will be liable for contribution with respect to any action or claim settled without its written consent if such consent is required pursuant to </w:t>
      </w:r>
      <w:r>
        <w:rPr>
          <w:rFonts w:ascii="Arial" w:cs="Arial" w:eastAsia="Arial" w:hAnsi="Arial"/>
          <w:sz w:val="16"/>
          <w:szCs w:val="16"/>
          <w:u w:val="single" w:color="auto"/>
          <w:color w:val="auto"/>
        </w:rPr>
        <w:t>Section 9(c)</w:t>
      </w:r>
      <w:r>
        <w:rPr>
          <w:rFonts w:ascii="Arial" w:cs="Arial" w:eastAsia="Arial" w:hAnsi="Arial"/>
          <w:sz w:val="16"/>
          <w:szCs w:val="16"/>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1" w:name="page32"/>
    <w:bookmarkEnd w:id="31"/>
    <w:p>
      <w:pPr>
        <w:jc w:val="both"/>
        <w:ind w:left="-20" w:firstLine="656"/>
        <w:spacing w:after="0" w:line="279" w:lineRule="auto"/>
        <w:tabs>
          <w:tab w:leader="none" w:pos="1303"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Representations and Agreements to Survive Delivery</w:t>
      </w:r>
      <w:r>
        <w:rPr>
          <w:rFonts w:ascii="Arial" w:cs="Arial" w:eastAsia="Arial" w:hAnsi="Arial"/>
          <w:sz w:val="17"/>
          <w:szCs w:val="17"/>
          <w:color w:val="auto"/>
        </w:rPr>
        <w:t xml:space="preserve">. The indemnity and contribution agreements contained in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of this Agreement and all representations and warranties of the Company herein or in certificates delivered pursuant hereto shall survive, as of their respective dates, regardless of (i) any investigation made by or on behalf of Cowen, any controlling persons, or the Company (or any of their respective officers, directors or controlling persons), (ii) delivery and acceptance of the Placement Shares and payment therefor or (iii) any termination of this Agreement.</w:t>
      </w:r>
    </w:p>
    <w:p>
      <w:pPr>
        <w:spacing w:after="0" w:line="171" w:lineRule="exact"/>
        <w:rPr>
          <w:rFonts w:ascii="Arial" w:cs="Arial" w:eastAsia="Arial" w:hAnsi="Arial"/>
          <w:sz w:val="17"/>
          <w:szCs w:val="17"/>
          <w:color w:val="auto"/>
        </w:rPr>
      </w:pPr>
    </w:p>
    <w:p>
      <w:pPr>
        <w:ind w:left="1300" w:hanging="66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Termination.</w:t>
      </w:r>
    </w:p>
    <w:p>
      <w:pPr>
        <w:spacing w:after="0" w:line="225" w:lineRule="exact"/>
        <w:rPr>
          <w:rFonts w:ascii="Arial" w:cs="Arial" w:eastAsia="Arial" w:hAnsi="Arial"/>
          <w:sz w:val="18"/>
          <w:szCs w:val="18"/>
          <w:color w:val="auto"/>
        </w:rPr>
      </w:pPr>
    </w:p>
    <w:p>
      <w:pPr>
        <w:jc w:val="both"/>
        <w:ind w:left="640" w:firstLine="645"/>
        <w:spacing w:after="0" w:line="269" w:lineRule="auto"/>
        <w:tabs>
          <w:tab w:leader="none" w:pos="2056" w:val="left"/>
        </w:tabs>
        <w:numPr>
          <w:ilvl w:val="1"/>
          <w:numId w:val="38"/>
        </w:numPr>
        <w:rPr>
          <w:rFonts w:ascii="Arial" w:cs="Arial" w:eastAsia="Arial" w:hAnsi="Arial"/>
          <w:sz w:val="17"/>
          <w:szCs w:val="17"/>
          <w:color w:val="auto"/>
        </w:rPr>
      </w:pPr>
      <w:r>
        <w:rPr>
          <w:rFonts w:ascii="Arial" w:cs="Arial" w:eastAsia="Arial" w:hAnsi="Arial"/>
          <w:sz w:val="17"/>
          <w:szCs w:val="17"/>
          <w:color w:val="auto"/>
        </w:rPr>
        <w:t xml:space="preserve">Cowen shall have the right by giving notice as hereinafter specified at any time to terminate this Agreement if (i) any Material Adverse Effect, or any development that could reasonably be expected to have a Material Adverse Effect has occurred that, in the reasonable judgment of Cowen, may materially impair the ability of Cowen to sell the Placement Shares hereunder, (ii) the Company shall have failed, refused or been unable to perform any agreement on its part to be performed hereunder;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in the case of any failure of the Company to deliver (or cause another person to deliver) any certification, opinion, or letter required under </w:t>
      </w:r>
      <w:r>
        <w:rPr>
          <w:rFonts w:ascii="Arial" w:cs="Arial" w:eastAsia="Arial" w:hAnsi="Arial"/>
          <w:sz w:val="17"/>
          <w:szCs w:val="17"/>
          <w:u w:val="single" w:color="auto"/>
          <w:color w:val="auto"/>
        </w:rPr>
        <w:t>Sections 7(m)</w:t>
      </w:r>
      <w:r>
        <w:rPr>
          <w:rFonts w:ascii="Arial" w:cs="Arial" w:eastAsia="Arial" w:hAnsi="Arial"/>
          <w:sz w:val="17"/>
          <w:szCs w:val="17"/>
          <w:color w:val="auto"/>
        </w:rPr>
        <w:t xml:space="preserve">, </w:t>
      </w:r>
      <w:r>
        <w:rPr>
          <w:rFonts w:ascii="Arial" w:cs="Arial" w:eastAsia="Arial" w:hAnsi="Arial"/>
          <w:sz w:val="17"/>
          <w:szCs w:val="17"/>
          <w:u w:val="single" w:color="auto"/>
          <w:color w:val="auto"/>
        </w:rPr>
        <w:t>7(n)</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7(o)</w:t>
      </w:r>
      <w:r>
        <w:rPr>
          <w:rFonts w:ascii="Arial" w:cs="Arial" w:eastAsia="Arial" w:hAnsi="Arial"/>
          <w:sz w:val="17"/>
          <w:szCs w:val="17"/>
          <w:color w:val="auto"/>
        </w:rPr>
        <w:t xml:space="preserve">, Cowen’s right to terminate shall not arise unless such failure to deliver (or cause to be delivered) continues for more than 30 days from the date such delivery was required, (iii) any other condition of Cowen’s obligations hereunder is not fulfilled, or (iv) any suspension or limitation of trading in the Common Stock or in securities generally on Nasdaq shall have occurred. Any such termination shall be without liability of any party to any other party except that the provisions of </w:t>
      </w:r>
      <w:r>
        <w:rPr>
          <w:rFonts w:ascii="Arial" w:cs="Arial" w:eastAsia="Arial" w:hAnsi="Arial"/>
          <w:sz w:val="17"/>
          <w:szCs w:val="17"/>
          <w:u w:val="single" w:color="auto"/>
          <w:color w:val="auto"/>
        </w:rPr>
        <w:t>Section 7(g)</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hereof shall remain in full force and effect notwithstanding such termination. If Cowen elects to terminate this Agreement as provided in this </w:t>
      </w:r>
      <w:r>
        <w:rPr>
          <w:rFonts w:ascii="Arial" w:cs="Arial" w:eastAsia="Arial" w:hAnsi="Arial"/>
          <w:sz w:val="17"/>
          <w:szCs w:val="17"/>
          <w:u w:val="single" w:color="auto"/>
          <w:color w:val="auto"/>
        </w:rPr>
        <w:t>Section 11(a)</w:t>
      </w:r>
      <w:r>
        <w:rPr>
          <w:rFonts w:ascii="Arial" w:cs="Arial" w:eastAsia="Arial" w:hAnsi="Arial"/>
          <w:sz w:val="17"/>
          <w:szCs w:val="17"/>
          <w:color w:val="auto"/>
        </w:rPr>
        <w:t xml:space="preserve">, Cowen shall provide the required written notice as specified in </w:t>
      </w:r>
      <w:r>
        <w:rPr>
          <w:rFonts w:ascii="Arial" w:cs="Arial" w:eastAsia="Arial" w:hAnsi="Arial"/>
          <w:sz w:val="17"/>
          <w:szCs w:val="17"/>
          <w:u w:val="single" w:color="auto"/>
          <w:color w:val="auto"/>
        </w:rPr>
        <w:t>Section 12</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jc w:val="both"/>
        <w:ind w:left="640" w:firstLine="645"/>
        <w:spacing w:after="0" w:line="259" w:lineRule="auto"/>
        <w:tabs>
          <w:tab w:leader="none" w:pos="2107"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The Company shall have the right, by giving five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18"/>
          <w:szCs w:val="18"/>
          <w:u w:val="single" w:color="auto"/>
          <w:color w:val="auto"/>
        </w:rPr>
        <w:t>Section 7(g)</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hereof shall remain in full force and effect notwithstanding such termination.</w:t>
      </w:r>
    </w:p>
    <w:p>
      <w:pPr>
        <w:spacing w:after="0" w:line="186" w:lineRule="exact"/>
        <w:rPr>
          <w:rFonts w:ascii="Arial" w:cs="Arial" w:eastAsia="Arial" w:hAnsi="Arial"/>
          <w:sz w:val="18"/>
          <w:szCs w:val="18"/>
          <w:color w:val="auto"/>
        </w:rPr>
      </w:pPr>
    </w:p>
    <w:p>
      <w:pPr>
        <w:jc w:val="both"/>
        <w:ind w:left="640" w:firstLine="645"/>
        <w:spacing w:after="0" w:line="312" w:lineRule="auto"/>
        <w:tabs>
          <w:tab w:leader="none" w:pos="19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Cowen shall have the right, by giving five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16"/>
          <w:szCs w:val="16"/>
          <w:u w:val="single" w:color="auto"/>
          <w:color w:val="auto"/>
        </w:rPr>
        <w:t>Section 7(g)</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hereof shall remain in full force and effect notwithstanding such termination.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2" w:name="page33"/>
    <w:bookmarkEnd w:id="32"/>
    <w:p>
      <w:pPr>
        <w:jc w:val="both"/>
        <w:ind w:left="640" w:firstLine="645"/>
        <w:spacing w:after="0" w:line="286" w:lineRule="auto"/>
        <w:tabs>
          <w:tab w:leader="none" w:pos="2016" w:val="left"/>
        </w:tabs>
        <w:numPr>
          <w:ilvl w:val="1"/>
          <w:numId w:val="39"/>
        </w:numPr>
        <w:rPr>
          <w:rFonts w:ascii="Arial" w:cs="Arial" w:eastAsia="Arial" w:hAnsi="Arial"/>
          <w:sz w:val="17"/>
          <w:szCs w:val="17"/>
          <w:color w:val="auto"/>
        </w:rPr>
      </w:pPr>
      <w:r>
        <w:rPr>
          <w:rFonts w:ascii="Arial" w:cs="Arial" w:eastAsia="Arial" w:hAnsi="Arial"/>
          <w:sz w:val="17"/>
          <w:szCs w:val="17"/>
          <w:color w:val="auto"/>
        </w:rPr>
        <w:t xml:space="preserve">Unless earlier terminated pursuant to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this Agreement shall automatically terminate upon the issuance and sale of all of the Placement Shares through Cowen on the terms and subject to the conditions set forth herein;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provisions of </w:t>
      </w:r>
      <w:r>
        <w:rPr>
          <w:rFonts w:ascii="Arial" w:cs="Arial" w:eastAsia="Arial" w:hAnsi="Arial"/>
          <w:sz w:val="17"/>
          <w:szCs w:val="17"/>
          <w:u w:val="single" w:color="auto"/>
          <w:color w:val="auto"/>
        </w:rPr>
        <w:t>Section 7(g)</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hereof shall remain in full force and effect notwithstanding such termination.</w:t>
      </w:r>
    </w:p>
    <w:p>
      <w:pPr>
        <w:spacing w:after="0" w:line="165" w:lineRule="exact"/>
        <w:rPr>
          <w:rFonts w:ascii="Arial" w:cs="Arial" w:eastAsia="Arial" w:hAnsi="Arial"/>
          <w:sz w:val="17"/>
          <w:szCs w:val="17"/>
          <w:color w:val="auto"/>
        </w:rPr>
      </w:pPr>
    </w:p>
    <w:p>
      <w:pPr>
        <w:jc w:val="both"/>
        <w:ind w:left="640" w:firstLine="645"/>
        <w:spacing w:after="0" w:line="264" w:lineRule="auto"/>
        <w:tabs>
          <w:tab w:leader="none" w:pos="1935"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This Agreement shall remain in full force and effect unless terminated pursuant to </w:t>
      </w:r>
      <w:r>
        <w:rPr>
          <w:rFonts w:ascii="Arial" w:cs="Arial" w:eastAsia="Arial" w:hAnsi="Arial"/>
          <w:sz w:val="18"/>
          <w:szCs w:val="18"/>
          <w:u w:val="single" w:color="auto"/>
          <w:color w:val="auto"/>
        </w:rPr>
        <w:t>Sections 11(a)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or otherwise by mutual agreement of the parties;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such termination by mutual agreement shall in all cases be deemed to provide that </w:t>
      </w:r>
      <w:r>
        <w:rPr>
          <w:rFonts w:ascii="Arial" w:cs="Arial" w:eastAsia="Arial" w:hAnsi="Arial"/>
          <w:sz w:val="18"/>
          <w:szCs w:val="18"/>
          <w:u w:val="single" w:color="auto"/>
          <w:color w:val="auto"/>
        </w:rPr>
        <w:t>Section 7(g)</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shall remain in full force and effect.</w:t>
      </w:r>
    </w:p>
    <w:p>
      <w:pPr>
        <w:spacing w:after="0" w:line="181" w:lineRule="exact"/>
        <w:rPr>
          <w:rFonts w:ascii="Arial" w:cs="Arial" w:eastAsia="Arial" w:hAnsi="Arial"/>
          <w:sz w:val="18"/>
          <w:szCs w:val="18"/>
          <w:color w:val="auto"/>
        </w:rPr>
      </w:pPr>
    </w:p>
    <w:p>
      <w:pPr>
        <w:jc w:val="both"/>
        <w:ind w:left="640" w:firstLine="645"/>
        <w:spacing w:after="0" w:line="259" w:lineRule="auto"/>
        <w:tabs>
          <w:tab w:leader="none" w:pos="2038"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Any termination of this Agreement shall be effective on the date specified in such notice of 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termination shall not be effective until the close of business on the date of receipt of such notice by Cowen or the Company, as the case may be. If such termination shall occur prior to the Settlement Date for any sale of Placement Shares, such Placement Shares shall settle in accordance with the provisions of this Agreement.</w:t>
      </w:r>
    </w:p>
    <w:p>
      <w:pPr>
        <w:spacing w:after="0" w:line="186" w:lineRule="exact"/>
        <w:rPr>
          <w:rFonts w:ascii="Arial" w:cs="Arial" w:eastAsia="Arial" w:hAnsi="Arial"/>
          <w:sz w:val="18"/>
          <w:szCs w:val="18"/>
          <w:color w:val="auto"/>
        </w:rPr>
      </w:pPr>
    </w:p>
    <w:p>
      <w:pPr>
        <w:ind w:left="640" w:firstLine="645"/>
        <w:spacing w:after="0" w:line="308" w:lineRule="auto"/>
        <w:tabs>
          <w:tab w:leader="none" w:pos="2068" w:val="left"/>
        </w:tabs>
        <w:numPr>
          <w:ilvl w:val="1"/>
          <w:numId w:val="39"/>
        </w:numPr>
        <w:rPr>
          <w:rFonts w:ascii="Arial" w:cs="Arial" w:eastAsia="Arial" w:hAnsi="Arial"/>
          <w:sz w:val="17"/>
          <w:szCs w:val="17"/>
          <w:color w:val="auto"/>
        </w:rPr>
      </w:pPr>
      <w:r>
        <w:rPr>
          <w:rFonts w:ascii="Arial" w:cs="Arial" w:eastAsia="Arial" w:hAnsi="Arial"/>
          <w:sz w:val="17"/>
          <w:szCs w:val="17"/>
          <w:color w:val="auto"/>
        </w:rPr>
        <w:t xml:space="preserve">Subject to the additional limitations set forth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of this Agreement, in the event of the termination of this Agreement prior to the sale of any Placement Shares, Cowen shall be entitled only to reimbursement of its out of pocket expenses actually incurred.</w:t>
      </w:r>
    </w:p>
    <w:p>
      <w:pPr>
        <w:spacing w:after="0" w:line="146" w:lineRule="exact"/>
        <w:rPr>
          <w:rFonts w:ascii="Arial" w:cs="Arial" w:eastAsia="Arial" w:hAnsi="Arial"/>
          <w:sz w:val="17"/>
          <w:szCs w:val="17"/>
          <w:color w:val="auto"/>
        </w:rPr>
      </w:pPr>
    </w:p>
    <w:p>
      <w:pPr>
        <w:jc w:val="both"/>
        <w:ind w:left="-20" w:firstLine="656"/>
        <w:spacing w:after="0" w:line="269" w:lineRule="auto"/>
        <w:tabs>
          <w:tab w:leader="none" w:pos="1348"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or other communications required or permitted to be given by any party to any other party pursuant to the terms of this Agreement shall be in writing, unless otherwise specified in this Agreement, and if sent to Cowen, shall be delivered to Cowen at Cowen and Company, LLC, 599 Lexington Avenue, New York, New York 10022, fax no. (646) 562-1124, Attention: General Counsel, with a copy to Nelson Mullins Riley &amp; Scarborough, 101 Constitution Avenue, NW, Suite 900, Washington, DC 20001, fax no. (202) 712-2860; or if sent to the Company, shall be delivered to Fluidigm Corporation, 7000 Shoreline Court, Suite 100, South San Francisco, California, fax no. 650-871-7152, attention: General Counsel with a copy to Wilson Sonsini Goodrich &amp; Rosati P.C., fax no. 858-350-2399, attention: Robert F. Kornegay. 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(as defined below),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Arial" w:cs="Arial" w:eastAsia="Arial" w:hAnsi="Arial"/>
          <w:sz w:val="17"/>
          <w:szCs w:val="17"/>
          <w:b w:val="1"/>
          <w:bCs w:val="1"/>
          <w:u w:val="single" w:color="auto"/>
          <w:color w:val="auto"/>
        </w:rPr>
        <w:t>Business Day</w:t>
      </w:r>
      <w:r>
        <w:rPr>
          <w:rFonts w:ascii="Arial" w:cs="Arial" w:eastAsia="Arial" w:hAnsi="Arial"/>
          <w:sz w:val="17"/>
          <w:szCs w:val="17"/>
          <w:color w:val="auto"/>
        </w:rPr>
        <w:t>” shall mean any day on which the Nasdaq and commercial banks in the City of New York are open for business.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3" w:name="page34"/>
    <w:bookmarkEnd w:id="33"/>
    <w:p>
      <w:pPr>
        <w:jc w:val="both"/>
        <w:ind w:left="-20" w:firstLine="656"/>
        <w:spacing w:after="0" w:line="272" w:lineRule="auto"/>
        <w:tabs>
          <w:tab w:leader="none" w:pos="1429"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This Agreement shall inure to the benefit of and be binding upon the Company and Cowen and their respective successors, permitted assigns and the affiliates, controlling persons, officers and directors referred to in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hereof. References to any of the parties contained in this Agreement shall be deemed to include the successors and permitted assigns of such party. Nothing in this Agreement, express or implied, is intended or shall be construed to confer upon any party other than the persons mentioned in the first sentence of this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any legal or equitable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Cowen may assign its rights and obligations hereunder to an affiliate of Cowen without obtaining the Company’s consent.</w:t>
      </w:r>
    </w:p>
    <w:p>
      <w:pPr>
        <w:spacing w:after="0" w:line="177" w:lineRule="exact"/>
        <w:rPr>
          <w:rFonts w:ascii="Arial" w:cs="Arial" w:eastAsia="Arial" w:hAnsi="Arial"/>
          <w:sz w:val="17"/>
          <w:szCs w:val="17"/>
          <w:color w:val="auto"/>
        </w:rPr>
      </w:pPr>
    </w:p>
    <w:p>
      <w:pPr>
        <w:ind w:left="-20" w:firstLine="656"/>
        <w:spacing w:after="0" w:line="277" w:lineRule="auto"/>
        <w:tabs>
          <w:tab w:leader="none" w:pos="1479"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Adjustments for Share Splits</w:t>
      </w:r>
      <w:r>
        <w:rPr>
          <w:rFonts w:ascii="Arial" w:cs="Arial" w:eastAsia="Arial" w:hAnsi="Arial"/>
          <w:sz w:val="18"/>
          <w:szCs w:val="18"/>
          <w:color w:val="auto"/>
        </w:rPr>
        <w:t>. The parties acknowledge and agree that all share-related numbers contained in this Agreement shall be adjusted to take into account any share split, share dividend or similar event effected with respect to the Common Stock.</w:t>
      </w:r>
    </w:p>
    <w:p>
      <w:pPr>
        <w:spacing w:after="0" w:line="170" w:lineRule="exact"/>
        <w:rPr>
          <w:rFonts w:ascii="Arial" w:cs="Arial" w:eastAsia="Arial" w:hAnsi="Arial"/>
          <w:sz w:val="18"/>
          <w:szCs w:val="18"/>
          <w:color w:val="auto"/>
        </w:rPr>
      </w:pPr>
    </w:p>
    <w:p>
      <w:pPr>
        <w:jc w:val="both"/>
        <w:ind w:left="-20" w:firstLine="656"/>
        <w:spacing w:after="0" w:line="290" w:lineRule="auto"/>
        <w:tabs>
          <w:tab w:leader="none" w:pos="1344"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 Severability</w:t>
      </w:r>
      <w:r>
        <w:rPr>
          <w:rFonts w:ascii="Arial" w:cs="Arial" w:eastAsia="Arial" w:hAnsi="Arial"/>
          <w:sz w:val="16"/>
          <w:szCs w:val="16"/>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Cowen.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166" w:lineRule="exact"/>
        <w:rPr>
          <w:rFonts w:ascii="Arial" w:cs="Arial" w:eastAsia="Arial" w:hAnsi="Arial"/>
          <w:sz w:val="16"/>
          <w:szCs w:val="16"/>
          <w:color w:val="auto"/>
        </w:rPr>
      </w:pPr>
    </w:p>
    <w:p>
      <w:pPr>
        <w:jc w:val="both"/>
        <w:ind w:left="-20" w:firstLine="656"/>
        <w:spacing w:after="0" w:line="270" w:lineRule="auto"/>
        <w:tabs>
          <w:tab w:leader="none" w:pos="1344"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Applicable Law; Consent to Jurisdiction</w:t>
      </w:r>
      <w:r>
        <w:rPr>
          <w:rFonts w:ascii="Arial" w:cs="Arial" w:eastAsia="Arial" w:hAnsi="Arial"/>
          <w:sz w:val="17"/>
          <w:szCs w:val="17"/>
          <w:color w:val="auto"/>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81" w:lineRule="exact"/>
        <w:rPr>
          <w:rFonts w:ascii="Arial" w:cs="Arial" w:eastAsia="Arial" w:hAnsi="Arial"/>
          <w:sz w:val="17"/>
          <w:szCs w:val="17"/>
          <w:color w:val="auto"/>
        </w:rPr>
      </w:pPr>
    </w:p>
    <w:p>
      <w:pPr>
        <w:ind w:left="-20" w:firstLine="656"/>
        <w:spacing w:after="0" w:line="308" w:lineRule="auto"/>
        <w:tabs>
          <w:tab w:leader="none" w:pos="1429"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Waiver of Jury Trial</w:t>
      </w:r>
      <w:r>
        <w:rPr>
          <w:rFonts w:ascii="Arial" w:cs="Arial" w:eastAsia="Arial" w:hAnsi="Arial"/>
          <w:sz w:val="17"/>
          <w:szCs w:val="17"/>
          <w:color w:val="auto"/>
        </w:rPr>
        <w:t>. The Company and Cowen each hereby irrevocably waives any right it may have to a trial by jury in respect of any claim based upon or arising out of this Agreement or any transaction contemplated by this Agreement, the Registration Statement, and Prospectus.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4" w:name="page35"/>
    <w:bookmarkEnd w:id="34"/>
    <w:p>
      <w:pPr>
        <w:ind w:left="1340" w:hanging="684"/>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Absence of Fiduciary Relationship</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acknowledges and agrees that:</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2127"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Cowen has been retained solely to act as sales agent in connection with the sale of the Common Stock and that no fiduciary, advisory or agency relationship between the Company and Cowen has been created in respect of any of the transactions contemplated by this Agreement, irrespective of whether Cowen has advised or is advising the Company on other matters;</w:t>
      </w:r>
    </w:p>
    <w:p>
      <w:pPr>
        <w:spacing w:after="0" w:line="181" w:lineRule="exact"/>
        <w:rPr>
          <w:rFonts w:ascii="Arial" w:cs="Arial" w:eastAsia="Arial" w:hAnsi="Arial"/>
          <w:sz w:val="18"/>
          <w:szCs w:val="18"/>
          <w:color w:val="auto"/>
        </w:rPr>
      </w:pPr>
    </w:p>
    <w:p>
      <w:pPr>
        <w:ind w:left="660" w:firstLine="645"/>
        <w:spacing w:after="0" w:line="277" w:lineRule="auto"/>
        <w:tabs>
          <w:tab w:leader="none" w:pos="2176"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Company is capable of evaluating and understanding and understands and accepts the terms, risks and conditions of the transactions contemplated by this Agreement;</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2134"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Company has been advised that Cowen and its affiliates are engaged in a broad range of transactions which may involve interests that differ from those of the Company and that Cowen has no obligation to disclose such interests and transactions to the Company by virtue of any fiduciary, advisory or agency relationship; and</w:t>
      </w:r>
    </w:p>
    <w:p>
      <w:pPr>
        <w:spacing w:after="0" w:line="181" w:lineRule="exact"/>
        <w:rPr>
          <w:rFonts w:ascii="Arial" w:cs="Arial" w:eastAsia="Arial" w:hAnsi="Arial"/>
          <w:sz w:val="18"/>
          <w:szCs w:val="18"/>
          <w:color w:val="auto"/>
        </w:rPr>
      </w:pPr>
    </w:p>
    <w:p>
      <w:pPr>
        <w:jc w:val="both"/>
        <w:ind w:left="660" w:firstLine="645"/>
        <w:spacing w:after="0" w:line="259" w:lineRule="auto"/>
        <w:tabs>
          <w:tab w:leader="none" w:pos="1994"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Company waives, to the fullest extent permitted by law, any claims it may have against Cowen, for breach of fiduciary duty or alleged breach of fiduciary duty and agrees that Cowen shall have no liability (whether direct or indirect) to the Company in respect of such a fiduciary claim or to any person asserting a fiduciary duty claim on behalf of or in right of the Company, including stockholders, partners, employees or creditors of the Company.</w:t>
      </w:r>
    </w:p>
    <w:p>
      <w:pPr>
        <w:spacing w:after="0" w:line="186" w:lineRule="exact"/>
        <w:rPr>
          <w:rFonts w:ascii="Arial" w:cs="Arial" w:eastAsia="Arial" w:hAnsi="Arial"/>
          <w:sz w:val="18"/>
          <w:szCs w:val="18"/>
          <w:color w:val="auto"/>
        </w:rPr>
      </w:pPr>
    </w:p>
    <w:p>
      <w:pPr>
        <w:ind w:firstLine="656"/>
        <w:spacing w:after="0" w:line="342" w:lineRule="auto"/>
        <w:tabs>
          <w:tab w:leader="none" w:pos="1404"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transmission.</w:t>
      </w:r>
    </w:p>
    <w:p>
      <w:pPr>
        <w:spacing w:after="0" w:line="123" w:lineRule="exact"/>
        <w:rPr>
          <w:rFonts w:ascii="Arial" w:cs="Arial" w:eastAsia="Arial" w:hAnsi="Arial"/>
          <w:sz w:val="16"/>
          <w:szCs w:val="16"/>
          <w:color w:val="auto"/>
        </w:rPr>
      </w:pPr>
    </w:p>
    <w:p>
      <w:pPr>
        <w:ind w:left="1340" w:hanging="684"/>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 has the meaning set forth below:</w:t>
      </w:r>
    </w:p>
    <w:p>
      <w:pPr>
        <w:spacing w:after="0" w:line="221" w:lineRule="exact"/>
        <w:rPr>
          <w:rFonts w:ascii="Arial" w:cs="Arial" w:eastAsia="Arial" w:hAnsi="Arial"/>
          <w:sz w:val="18"/>
          <w:szCs w:val="18"/>
          <w:color w:val="auto"/>
        </w:rPr>
      </w:pPr>
    </w:p>
    <w:p>
      <w:pPr>
        <w:ind w:left="660" w:firstLine="645"/>
        <w:spacing w:after="0" w:line="282" w:lineRule="auto"/>
        <w:tabs>
          <w:tab w:leader="none" w:pos="2012"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Applicable Time</w:t>
      </w:r>
      <w:r>
        <w:rPr>
          <w:rFonts w:ascii="Arial" w:cs="Arial" w:eastAsia="Arial" w:hAnsi="Arial"/>
          <w:sz w:val="18"/>
          <w:szCs w:val="18"/>
          <w:color w:val="auto"/>
        </w:rPr>
        <w:t>” means the date of this Agreement, each Representation Date, the date on which a Placement Notice is given, and any date on which Placement Shares are sold hereunder.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ind w:firstLine="648"/>
        <w:spacing w:after="0" w:line="277" w:lineRule="auto"/>
        <w:rPr>
          <w:sz w:val="20"/>
          <w:szCs w:val="20"/>
          <w:color w:val="auto"/>
        </w:rPr>
      </w:pPr>
      <w:r>
        <w:rPr>
          <w:rFonts w:ascii="Arial" w:cs="Arial" w:eastAsia="Arial" w:hAnsi="Arial"/>
          <w:sz w:val="18"/>
          <w:szCs w:val="18"/>
          <w:color w:val="auto"/>
        </w:rPr>
        <w:t>If the foregoing correctly sets forth the understanding between the Company and Cowen, please so indicate in the space provided below for that purpose, whereupon this letter shall constitute a binding agreement between the Company and Cowen.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COWEN AND COMPANY, LLC</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Grant Miller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Grant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ACCEPTED as of the date first-above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FLUIDIGM CORPORATION</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Stephen Christopher Linthwaite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SCHEDULE 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5840" w:type="dxa"/>
            <w:vAlign w:val="bottom"/>
            <w:gridSpan w:val="2"/>
          </w:tcPr>
          <w:p>
            <w:pPr>
              <w:ind w:left="3040"/>
              <w:spacing w:after="0"/>
              <w:rPr>
                <w:sz w:val="20"/>
                <w:szCs w:val="20"/>
                <w:color w:val="auto"/>
              </w:rPr>
            </w:pPr>
            <w:r>
              <w:rPr>
                <w:rFonts w:ascii="Arial" w:cs="Arial" w:eastAsia="Arial" w:hAnsi="Arial"/>
                <w:sz w:val="18"/>
                <w:szCs w:val="18"/>
                <w:b w:val="1"/>
                <w:bCs w:val="1"/>
                <w:color w:val="auto"/>
              </w:rPr>
              <w:t>FORM OF PLACEMENT NOTICE</w:t>
            </w:r>
          </w:p>
        </w:tc>
      </w:tr>
      <w:tr>
        <w:trPr>
          <w:trHeight w:val="453"/>
        </w:trPr>
        <w:tc>
          <w:tcPr>
            <w:tcW w:w="1280" w:type="dxa"/>
            <w:vAlign w:val="bottom"/>
          </w:tcPr>
          <w:p>
            <w:pPr>
              <w:spacing w:after="0"/>
              <w:rPr>
                <w:sz w:val="20"/>
                <w:szCs w:val="20"/>
                <w:color w:val="auto"/>
              </w:rPr>
            </w:pPr>
            <w:r>
              <w:rPr>
                <w:rFonts w:ascii="Arial" w:cs="Arial" w:eastAsia="Arial" w:hAnsi="Arial"/>
                <w:sz w:val="18"/>
                <w:szCs w:val="18"/>
                <w:color w:val="auto"/>
              </w:rPr>
              <w:t>From:</w:t>
            </w:r>
          </w:p>
        </w:tc>
        <w:tc>
          <w:tcPr>
            <w:tcW w:w="3040" w:type="dxa"/>
            <w:vAlign w:val="bottom"/>
          </w:tcPr>
          <w:p>
            <w:pPr>
              <w:ind w:left="440"/>
              <w:spacing w:after="0"/>
              <w:rPr>
                <w:sz w:val="20"/>
                <w:szCs w:val="20"/>
                <w:color w:val="auto"/>
              </w:rPr>
            </w:pPr>
            <w:r>
              <w:rPr>
                <w:rFonts w:ascii="Arial" w:cs="Arial" w:eastAsia="Arial" w:hAnsi="Arial"/>
                <w:sz w:val="18"/>
                <w:szCs w:val="18"/>
                <w:color w:val="auto"/>
              </w:rPr>
              <w:t>Fluidigm Corporation</w:t>
            </w:r>
          </w:p>
        </w:tc>
        <w:tc>
          <w:tcPr>
            <w:tcW w:w="2800" w:type="dxa"/>
            <w:vAlign w:val="bottom"/>
            <w:tcBorders>
              <w:top w:val="single" w:sz="8" w:color="auto"/>
            </w:tcBorders>
          </w:tcPr>
          <w:p>
            <w:pPr>
              <w:spacing w:after="0"/>
              <w:rPr>
                <w:sz w:val="24"/>
                <w:szCs w:val="24"/>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To:</w:t>
            </w:r>
          </w:p>
        </w:tc>
        <w:tc>
          <w:tcPr>
            <w:tcW w:w="5840" w:type="dxa"/>
            <w:vAlign w:val="bottom"/>
            <w:gridSpan w:val="2"/>
          </w:tcPr>
          <w:p>
            <w:pPr>
              <w:ind w:left="440"/>
              <w:spacing w:after="0"/>
              <w:rPr>
                <w:sz w:val="20"/>
                <w:szCs w:val="20"/>
                <w:color w:val="auto"/>
              </w:rPr>
            </w:pPr>
            <w:r>
              <w:rPr>
                <w:rFonts w:ascii="Arial" w:cs="Arial" w:eastAsia="Arial" w:hAnsi="Arial"/>
                <w:sz w:val="18"/>
                <w:szCs w:val="18"/>
                <w:color w:val="auto"/>
              </w:rPr>
              <w:t>Cowen &amp; Company, LLC</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Subject:</w:t>
            </w:r>
          </w:p>
        </w:tc>
        <w:tc>
          <w:tcPr>
            <w:tcW w:w="5840" w:type="dxa"/>
            <w:vAlign w:val="bottom"/>
            <w:gridSpan w:val="2"/>
          </w:tcPr>
          <w:p>
            <w:pPr>
              <w:ind w:left="440"/>
              <w:spacing w:after="0"/>
              <w:rPr>
                <w:sz w:val="20"/>
                <w:szCs w:val="20"/>
                <w:color w:val="auto"/>
              </w:rPr>
            </w:pPr>
            <w:r>
              <w:rPr>
                <w:rFonts w:ascii="Arial" w:cs="Arial" w:eastAsia="Arial" w:hAnsi="Arial"/>
                <w:sz w:val="18"/>
                <w:szCs w:val="18"/>
                <w:color w:val="auto"/>
              </w:rPr>
              <w:t>Cowen at the Market Offering—Placement Notice</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Gentlemen:</w:t>
            </w:r>
          </w:p>
        </w:tc>
        <w:tc>
          <w:tcPr>
            <w:tcW w:w="304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Pursuant to the terms and subject to the conditions contained in the Sales Agreement between Fluidigm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Cowen and Company, LLC (“</w:t>
      </w:r>
      <w:r>
        <w:rPr>
          <w:rFonts w:ascii="Arial" w:cs="Arial" w:eastAsia="Arial" w:hAnsi="Arial"/>
          <w:sz w:val="18"/>
          <w:szCs w:val="18"/>
          <w:u w:val="single" w:color="auto"/>
          <w:color w:val="auto"/>
        </w:rPr>
        <w:t>Cowen</w:t>
      </w:r>
      <w:r>
        <w:rPr>
          <w:rFonts w:ascii="Arial" w:cs="Arial" w:eastAsia="Arial" w:hAnsi="Arial"/>
          <w:sz w:val="18"/>
          <w:szCs w:val="18"/>
          <w:color w:val="auto"/>
        </w:rPr>
        <w:t>”) dated August 3, 2017 (the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 hereby request on behalf of the Company that Cowen sell up to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shares of the Company’s common stock, par value $0.001 per share, at a minimum market price of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per share. Sales should begin on the date of this Notice and shall continue until [DATE] [all shares are sold]]. The maximum number of Placement Shares (as defined in the Agreement) that may be sold in any one Trading Day (as defined in the Agreement) is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6428105</wp:posOffset>
            </wp:positionH>
            <wp:positionV relativeFrom="paragraph">
              <wp:posOffset>-548640</wp:posOffset>
            </wp:positionV>
            <wp:extent cx="119380" cy="1193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9380" cy="11938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-411480</wp:posOffset>
            </wp:positionV>
            <wp:extent cx="119380" cy="1193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9380" cy="119380"/>
                    </a:xfrm>
                    <a:prstGeom prst="rect">
                      <a:avLst/>
                    </a:prstGeom>
                    <a:noFill/>
                  </pic:spPr>
                </pic:pic>
              </a:graphicData>
            </a:graphic>
          </wp:anchor>
        </w:drawing>
        <w:drawing>
          <wp:anchor simplePos="0" relativeHeight="251657728" behindDoc="1" locked="0" layoutInCell="0" allowOverlap="1">
            <wp:simplePos x="0" y="0"/>
            <wp:positionH relativeFrom="column">
              <wp:posOffset>1775460</wp:posOffset>
            </wp:positionH>
            <wp:positionV relativeFrom="paragraph">
              <wp:posOffset>-137160</wp:posOffset>
            </wp:positionV>
            <wp:extent cx="119380" cy="1193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SCHEDULE 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Fluidigm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Stephen Christopher Linthwaite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Vikram Jog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Cowen and Company,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Rob Sine, Managing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Follis,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718185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u w:val="single" w:color="auto"/>
          <w:color w:val="auto"/>
        </w:rPr>
        <w:t>Schedule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Cowen shall be paid compensation up to 3.0% of the gross proceeds from the sales of Common Stock pursuant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u w:val="single" w:color="auto"/>
          <w:color w:val="auto"/>
        </w:rPr>
        <w:t>Exhibit 7(m)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 CERTIFICATE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undersigned, the duly qualified and elected _______________________, of </w:t>
      </w:r>
      <w:r>
        <w:rPr>
          <w:rFonts w:ascii="Arial" w:cs="Arial" w:eastAsia="Arial" w:hAnsi="Arial"/>
          <w:sz w:val="16"/>
          <w:szCs w:val="16"/>
          <w:b w:val="1"/>
          <w:bCs w:val="1"/>
          <w:color w:val="auto"/>
        </w:rPr>
        <w:t>Fluidigm Corporation</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a Delaware corporation,</w:t>
      </w:r>
    </w:p>
    <w:p>
      <w:pPr>
        <w:spacing w:after="0" w:line="5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does hereby certify in such capacity and on behalf of the Company, pursuant to </w:t>
      </w:r>
      <w:r>
        <w:rPr>
          <w:rFonts w:ascii="Arial" w:cs="Arial" w:eastAsia="Arial" w:hAnsi="Arial"/>
          <w:sz w:val="18"/>
          <w:szCs w:val="18"/>
          <w:u w:val="single" w:color="auto"/>
          <w:color w:val="auto"/>
        </w:rPr>
        <w:t>Section 7(m)</w:t>
      </w:r>
      <w:r>
        <w:rPr>
          <w:rFonts w:ascii="Arial" w:cs="Arial" w:eastAsia="Arial" w:hAnsi="Arial"/>
          <w:sz w:val="18"/>
          <w:szCs w:val="18"/>
          <w:color w:val="auto"/>
        </w:rPr>
        <w:t xml:space="preserve"> of the Sales Agreement dated August 3, 2017 (the “</w:t>
      </w:r>
      <w:r>
        <w:rPr>
          <w:rFonts w:ascii="Arial" w:cs="Arial" w:eastAsia="Arial" w:hAnsi="Arial"/>
          <w:sz w:val="18"/>
          <w:szCs w:val="18"/>
          <w:b w:val="1"/>
          <w:bCs w:val="1"/>
          <w:u w:val="single" w:color="auto"/>
          <w:color w:val="auto"/>
        </w:rPr>
        <w:t>Sales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between the Company and Cowen and Company, LLC, that to the knowledge of the undersigned:</w:t>
      </w:r>
    </w:p>
    <w:p>
      <w:pPr>
        <w:spacing w:after="0" w:line="184" w:lineRule="exact"/>
        <w:rPr>
          <w:sz w:val="20"/>
          <w:szCs w:val="20"/>
          <w:color w:val="auto"/>
        </w:rPr>
      </w:pPr>
    </w:p>
    <w:p>
      <w:pPr>
        <w:jc w:val="both"/>
        <w:ind w:firstLine="656"/>
        <w:spacing w:after="0" w:line="255" w:lineRule="auto"/>
        <w:tabs>
          <w:tab w:leader="none" w:pos="1513"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Company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the Sales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89" w:lineRule="exact"/>
        <w:rPr>
          <w:rFonts w:ascii="Arial" w:cs="Arial" w:eastAsia="Arial" w:hAnsi="Arial"/>
          <w:sz w:val="18"/>
          <w:szCs w:val="18"/>
          <w:color w:val="auto"/>
        </w:rPr>
      </w:pPr>
    </w:p>
    <w:p>
      <w:pPr>
        <w:ind w:firstLine="656"/>
        <w:spacing w:after="0" w:line="277" w:lineRule="auto"/>
        <w:tabs>
          <w:tab w:leader="none" w:pos="137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has complied with all agreements and satisfied all conditions on its part to be performed or satisfied pursuant to the Sales Agreement at or prior to the date hereof.</w:t>
      </w:r>
    </w:p>
    <w:p>
      <w:pPr>
        <w:spacing w:after="0" w:line="170"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1216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216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3,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7000 Shoreline Court,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94080</w:t>
      </w:r>
    </w:p>
    <w:p>
      <w:pPr>
        <w:spacing w:after="0" w:line="2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acted as counsel to Fluidigm Corporation, a Delaware corporation (the “Company”), in connection with the registration of the offer and sale of up to $30,000,000 of shares (the “Shares”) of the Company’s common stock, $0.001 par value per share, pursuant to the Company’s shelf Registration Statement on Form S-3 (File No. 333-216542), as amended, filed on March 8, 2017 and declared effective by the Securities and Exchange Commission (the “Commission”) on May 2, 2017 (the “Registration Statement”).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offering and sale of the Shares are being made pursuant to the Sales Agreement (the “Sales Agreement”), dated as of August 3, 2017, by and between the Company and Cowen and Company, LLC.</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examined copies of the Sales Agreement, the Registration Statement, the base prospectus that forms a part thereof and the prospectus supplement thereto related to the offering of the Shares, which prospectus supplement is dated as of the date hereof and will be filed by the Company in accordance with Rule 424(b) promulgated under the Securities Act of 1933. We have also examined instruments, documents and records which we deemed relevant and necessary for the basis of our opinion hereinafter expressed.</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such examination, we have assumed (i) the authenticity of original documents and the genuineness of all signatures, (ii) the conformity to the originals of all documents submitted to us as copies, and (iii) the truth, accuracy, and completeness of the information, representations and warranties contained in the records, documents, instruments and certificates we have reviewed.</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Based on and subject to the foregoing, we are of the opinion that the Shares have been duly authorized by the Company and, when issued and delivered by the Company against payment therefor in accordance with the terms of the Sales Agreement, will be validly issued, fully paid and nonassessable.</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express no opinion as to the laws of any other jurisdiction other than the federal laws of the United States of America and the 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3,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hereby consent to the use of this opinion as an exhibit to the Company’s Current Report on Form 8-K, filed on or about August 3, 2017, for incorporation by reference into the Registration Statement.</w:t>
      </w:r>
    </w:p>
    <w:p>
      <w:pPr>
        <w:spacing w:after="0" w:line="17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 W</w:t>
      </w:r>
      <w:r>
        <w:rPr>
          <w:rFonts w:ascii="Arial" w:cs="Arial" w:eastAsia="Arial" w:hAnsi="Arial"/>
          <w:sz w:val="12"/>
          <w:szCs w:val="12"/>
          <w:color w:val="auto"/>
        </w:rPr>
        <w:t>ILSON</w:t>
      </w:r>
      <w:r>
        <w:rPr>
          <w:rFonts w:ascii="Arial" w:cs="Arial" w:eastAsia="Arial" w:hAnsi="Arial"/>
          <w:sz w:val="18"/>
          <w:szCs w:val="18"/>
          <w:color w:val="auto"/>
        </w:rPr>
        <w:t xml:space="preserve"> S</w:t>
      </w:r>
      <w:r>
        <w:rPr>
          <w:rFonts w:ascii="Arial" w:cs="Arial" w:eastAsia="Arial" w:hAnsi="Arial"/>
          <w:sz w:val="12"/>
          <w:szCs w:val="12"/>
          <w:color w:val="auto"/>
        </w:rPr>
        <w:t>ONSINI</w:t>
      </w:r>
      <w:r>
        <w:rPr>
          <w:rFonts w:ascii="Arial" w:cs="Arial" w:eastAsia="Arial" w:hAnsi="Arial"/>
          <w:sz w:val="18"/>
          <w:szCs w:val="18"/>
          <w:color w:val="auto"/>
        </w:rPr>
        <w:t xml:space="preserve"> G</w:t>
      </w:r>
      <w:r>
        <w:rPr>
          <w:rFonts w:ascii="Arial" w:cs="Arial" w:eastAsia="Arial" w:hAnsi="Arial"/>
          <w:sz w:val="12"/>
          <w:szCs w:val="12"/>
          <w:color w:val="auto"/>
        </w:rPr>
        <w:t>OODRICH</w:t>
      </w:r>
      <w:r>
        <w:rPr>
          <w:rFonts w:ascii="Arial" w:cs="Arial" w:eastAsia="Arial" w:hAnsi="Arial"/>
          <w:sz w:val="18"/>
          <w:szCs w:val="18"/>
          <w:color w:val="auto"/>
        </w:rPr>
        <w:t xml:space="preserve"> &amp; R</w:t>
      </w:r>
      <w:r>
        <w:rPr>
          <w:rFonts w:ascii="Arial" w:cs="Arial" w:eastAsia="Arial" w:hAnsi="Arial"/>
          <w:sz w:val="12"/>
          <w:szCs w:val="12"/>
          <w:color w:val="auto"/>
        </w:rPr>
        <w:t>OSATI</w:t>
      </w:r>
      <w:r>
        <w:rPr>
          <w:rFonts w:ascii="Arial" w:cs="Arial" w:eastAsia="Arial" w:hAnsi="Arial"/>
          <w:sz w:val="18"/>
          <w:szCs w:val="18"/>
          <w:color w:val="auto"/>
        </w:rPr>
        <w:t>, P.C.</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decimal"/>
      <w:start w:val="2"/>
    </w:lvl>
  </w:abstractNum>
  <w:abstractNum w:abstractNumId="3">
    <w:nsid w:val="6763845E"/>
    <w:multiLevelType w:val="hybridMultilevel"/>
    <w:lvl w:ilvl="0">
      <w:lvlJc w:val="left"/>
      <w:lvlText w:val="%1."/>
      <w:numFmt w:val="decimal"/>
      <w:start w:val="3"/>
    </w:lvl>
    <w:lvl w:ilvl="1">
      <w:lvlJc w:val="left"/>
      <w:lvlText w:val="(%2)"/>
      <w:numFmt w:val="lowerLetter"/>
      <w:start w:val="1"/>
    </w:lvl>
  </w:abstractNum>
  <w:abstractNum w:abstractNumId="4">
    <w:nsid w:val="75A2A8D4"/>
    <w:multiLevelType w:val="hybridMultilevel"/>
    <w:lvl w:ilvl="0">
      <w:lvlJc w:val="left"/>
      <w:lvlText w:val="%1"/>
      <w:numFmt w:val="decimal"/>
      <w:start w:val="1"/>
    </w:lvl>
    <w:lvl w:ilvl="1">
      <w:lvlJc w:val="left"/>
      <w:lvlText w:val="(%2)"/>
      <w:numFmt w:val="lowerLetter"/>
      <w:start w:val="2"/>
    </w:lvl>
  </w:abstractNum>
  <w:abstractNum w:abstractNumId="5">
    <w:nsid w:val="8EDBDAB"/>
    <w:multiLevelType w:val="hybridMultilevel"/>
    <w:lvl w:ilvl="0">
      <w:lvlJc w:val="left"/>
      <w:lvlText w:val="%1."/>
      <w:numFmt w:val="decimal"/>
      <w:start w:val="5"/>
    </w:lvl>
    <w:lvl w:ilvl="1">
      <w:lvlJc w:val="left"/>
      <w:lvlText w:val="(%2)"/>
      <w:numFmt w:val="lowerLetter"/>
      <w:start w:val="1"/>
    </w:lvl>
  </w:abstractNum>
  <w:abstractNum w:abstractNumId="6">
    <w:nsid w:val="79838CB2"/>
    <w:multiLevelType w:val="hybridMultilevel"/>
    <w:lvl w:ilvl="0">
      <w:lvlJc w:val="left"/>
      <w:lvlText w:val="%1."/>
      <w:numFmt w:val="decimal"/>
      <w:start w:val="6"/>
    </w:lvl>
    <w:lvl w:ilvl="1">
      <w:lvlJc w:val="left"/>
      <w:lvlText w:val="(%2)"/>
      <w:numFmt w:val="lowerLetter"/>
      <w:start w:val="1"/>
    </w:lvl>
  </w:abstractNum>
  <w:abstractNum w:abstractNumId="7">
    <w:nsid w:val="4353D0CD"/>
    <w:multiLevelType w:val="hybridMultilevel"/>
    <w:lvl w:ilvl="0">
      <w:lvlJc w:val="left"/>
      <w:lvlText w:val="(%1)"/>
      <w:numFmt w:val="lowerLetter"/>
      <w:start w:val="4"/>
    </w:lvl>
  </w:abstractNum>
  <w:abstractNum w:abstractNumId="8">
    <w:nsid w:val="B03E0C6"/>
    <w:multiLevelType w:val="hybridMultilevel"/>
    <w:lvl w:ilvl="0">
      <w:lvlJc w:val="left"/>
      <w:lvlText w:val="(%1)"/>
      <w:numFmt w:val="lowerLetter"/>
      <w:start w:val="11"/>
    </w:lvl>
  </w:abstractNum>
  <w:abstractNum w:abstractNumId="9">
    <w:nsid w:val="189A769B"/>
    <w:multiLevelType w:val="hybridMultilevel"/>
    <w:lvl w:ilvl="0">
      <w:lvlJc w:val="left"/>
      <w:lvlText w:val="(%1)"/>
      <w:numFmt w:val="lowerLetter"/>
      <w:start w:val="15"/>
    </w:lvl>
  </w:abstractNum>
  <w:abstractNum w:abstractNumId="10">
    <w:nsid w:val="54E49EB4"/>
    <w:multiLevelType w:val="hybridMultilevel"/>
    <w:lvl w:ilvl="0">
      <w:lvlJc w:val="left"/>
      <w:lvlText w:val="(%1)"/>
      <w:numFmt w:val="lowerLetter"/>
      <w:start w:val="18"/>
    </w:lvl>
  </w:abstractNum>
  <w:abstractNum w:abstractNumId="11">
    <w:nsid w:val="71F32454"/>
    <w:multiLevelType w:val="hybridMultilevel"/>
    <w:lvl w:ilvl="0">
      <w:lvlJc w:val="left"/>
      <w:lvlText w:val="(%1)"/>
      <w:numFmt w:val="lowerLetter"/>
      <w:start w:val="23"/>
    </w:lvl>
  </w:abstractNum>
  <w:abstractNum w:abstractNumId="12">
    <w:nsid w:val="2CA88611"/>
    <w:multiLevelType w:val="hybridMultilevel"/>
    <w:lvl w:ilvl="0">
      <w:lvlJc w:val="left"/>
      <w:lvlText w:val="(%1)"/>
      <w:numFmt w:val="lowerLetter"/>
      <w:start w:val="27"/>
    </w:lvl>
  </w:abstractNum>
  <w:abstractNum w:abstractNumId="13">
    <w:nsid w:val="836C40E"/>
    <w:multiLevelType w:val="hybridMultilevel"/>
    <w:lvl w:ilvl="0">
      <w:lvlJc w:val="left"/>
      <w:lvlText w:val="(%1)"/>
      <w:numFmt w:val="lowerLetter"/>
      <w:start w:val="29"/>
    </w:lvl>
    <w:lvl w:ilvl="1">
      <w:lvlJc w:val="left"/>
      <w:lvlText w:val="(%2)"/>
      <w:numFmt w:val="lowerLetter"/>
      <w:start w:val="9"/>
    </w:lvl>
  </w:abstractNum>
  <w:abstractNum w:abstractNumId="14">
    <w:nsid w:val="2901D8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15">
    <w:nsid w:val="3A95F874"/>
    <w:multiLevelType w:val="hybridMultilevel"/>
    <w:lvl w:ilvl="0">
      <w:lvlJc w:val="left"/>
      <w:lvlText w:val="%1"/>
      <w:numFmt w:val="lowerLetter"/>
      <w:start w:val="1"/>
    </w:lvl>
    <w:lvl w:ilvl="1">
      <w:lvlJc w:val="left"/>
      <w:lvlText w:val="(%2)"/>
      <w:numFmt w:val="lowerLetter"/>
      <w:start w:val="33"/>
    </w:lvl>
    <w:lvl w:ilvl="2">
      <w:lvlJc w:val="left"/>
      <w:lvlText w:val="%3"/>
      <w:numFmt w:val="lowerRoman"/>
      <w:start w:val="1"/>
    </w:lvl>
  </w:abstractNum>
  <w:abstractNum w:abstractNumId="16">
    <w:nsid w:val="8138641"/>
    <w:multiLevelType w:val="hybridMultilevel"/>
    <w:lvl w:ilvl="0">
      <w:lvlJc w:val="left"/>
      <w:lvlText w:val="(%1)"/>
      <w:numFmt w:val="lowerLetter"/>
      <w:start w:val="61"/>
    </w:lvl>
    <w:lvl w:ilvl="1">
      <w:lvlJc w:val="left"/>
      <w:lvlText w:val="(%2)"/>
      <w:numFmt w:val="lowerLetter"/>
      <w:start w:val="35"/>
    </w:lvl>
    <w:lvl w:ilvl="2">
      <w:lvlJc w:val="left"/>
      <w:lvlText w:val="%3"/>
      <w:numFmt w:val="lowerRoman"/>
      <w:start w:val="1"/>
    </w:lvl>
  </w:abstractNum>
  <w:abstractNum w:abstractNumId="17">
    <w:nsid w:val="1E7FF521"/>
    <w:multiLevelType w:val="hybridMultilevel"/>
    <w:lvl w:ilvl="0">
      <w:lvlJc w:val="left"/>
      <w:lvlText w:val="(%1)"/>
      <w:numFmt w:val="lowerLetter"/>
      <w:start w:val="36"/>
    </w:lvl>
  </w:abstractNum>
  <w:abstractNum w:abstractNumId="18">
    <w:nsid w:val="7C3DBD3D"/>
    <w:multiLevelType w:val="hybridMultilevel"/>
    <w:lvl w:ilvl="0">
      <w:lvlJc w:val="left"/>
      <w:lvlText w:val="(%1)"/>
      <w:numFmt w:val="lowerLetter"/>
      <w:start w:val="38"/>
    </w:lvl>
  </w:abstractNum>
  <w:abstractNum w:abstractNumId="19">
    <w:nsid w:val="737B8DDC"/>
    <w:multiLevelType w:val="hybridMultilevel"/>
    <w:lvl w:ilvl="0">
      <w:lvlJc w:val="left"/>
      <w:lvlText w:val="(%1)"/>
      <w:numFmt w:val="lowerLetter"/>
      <w:start w:val="39"/>
    </w:lvl>
  </w:abstractNum>
  <w:abstractNum w:abstractNumId="20">
    <w:nsid w:val="6CEAF087"/>
    <w:multiLevelType w:val="hybridMultilevel"/>
    <w:lvl w:ilvl="0">
      <w:lvlJc w:val="left"/>
      <w:lvlText w:val="%1"/>
      <w:numFmt w:val="lowerLetter"/>
      <w:start w:val="1"/>
    </w:lvl>
    <w:lvl w:ilvl="1">
      <w:lvlJc w:val="left"/>
      <w:lvlText w:val="(%2)"/>
      <w:numFmt w:val="lowerLetter"/>
      <w:start w:val="45"/>
    </w:lvl>
  </w:abstractNum>
  <w:abstractNum w:abstractNumId="21">
    <w:nsid w:val="22221A70"/>
    <w:multiLevelType w:val="hybridMultilevel"/>
    <w:lvl w:ilvl="0">
      <w:lvlJc w:val="left"/>
      <w:lvlText w:val="%1."/>
      <w:numFmt w:val="decimal"/>
      <w:start w:val="7"/>
    </w:lvl>
    <w:lvl w:ilvl="1">
      <w:lvlJc w:val="left"/>
      <w:lvlText w:val="(%2)"/>
      <w:numFmt w:val="lowerLetter"/>
      <w:start w:val="1"/>
    </w:lvl>
  </w:abstractNum>
  <w:abstractNum w:abstractNumId="22">
    <w:nsid w:val="4516DDE9"/>
    <w:multiLevelType w:val="hybridMultilevel"/>
    <w:lvl w:ilvl="0">
      <w:lvlJc w:val="left"/>
      <w:lvlText w:val="(%1)"/>
      <w:numFmt w:val="lowerLetter"/>
      <w:start w:val="3"/>
    </w:lvl>
  </w:abstractNum>
  <w:abstractNum w:abstractNumId="23">
    <w:nsid w:val="3006C83E"/>
    <w:multiLevelType w:val="hybridMultilevel"/>
    <w:lvl w:ilvl="0">
      <w:lvlJc w:val="left"/>
      <w:lvlText w:val="%1"/>
      <w:numFmt w:val="lowerLetter"/>
      <w:start w:val="1"/>
    </w:lvl>
    <w:lvl w:ilvl="1">
      <w:lvlJc w:val="left"/>
      <w:lvlText w:val="(%2)"/>
      <w:numFmt w:val="lowerLetter"/>
      <w:start w:val="7"/>
    </w:lvl>
  </w:abstractNum>
  <w:abstractNum w:abstractNumId="24">
    <w:nsid w:val="614FD4A1"/>
    <w:multiLevelType w:val="hybridMultilevel"/>
    <w:lvl w:ilvl="0">
      <w:lvlJc w:val="left"/>
      <w:lvlText w:val="(%1)"/>
      <w:numFmt w:val="lowerLetter"/>
      <w:start w:val="9"/>
    </w:lvl>
    <w:lvl w:ilvl="1">
      <w:lvlJc w:val="left"/>
      <w:lvlText w:val="(%2)"/>
      <w:numFmt w:val="lowerLetter"/>
      <w:start w:val="10"/>
    </w:lvl>
  </w:abstractNum>
  <w:abstractNum w:abstractNumId="25">
    <w:nsid w:val="419AC241"/>
    <w:multiLevelType w:val="hybridMultilevel"/>
    <w:lvl w:ilvl="0">
      <w:lvlJc w:val="left"/>
      <w:lvlText w:val="(%1)"/>
      <w:numFmt w:val="lowerLetter"/>
      <w:start w:val="12"/>
    </w:lvl>
  </w:abstractNum>
  <w:abstractNum w:abstractNumId="26">
    <w:nsid w:val="5577F8E1"/>
    <w:multiLevelType w:val="hybridMultilevel"/>
    <w:lvl w:ilvl="0">
      <w:lvlJc w:val="left"/>
      <w:lvlText w:val="(%1)"/>
      <w:numFmt w:val="lowerLetter"/>
      <w:start w:val="15"/>
    </w:lvl>
    <w:lvl w:ilvl="1">
      <w:lvlJc w:val="left"/>
      <w:lvlText w:val="(%2)"/>
      <w:numFmt w:val="lowerRoman"/>
      <w:start w:val="1"/>
    </w:lvl>
  </w:abstractNum>
  <w:abstractNum w:abstractNumId="27">
    <w:nsid w:val="440BADFC"/>
    <w:multiLevelType w:val="hybridMultilevel"/>
    <w:lvl w:ilvl="0">
      <w:lvlJc w:val="left"/>
      <w:lvlText w:val="%1"/>
      <w:numFmt w:val="decimal"/>
      <w:start w:val="1"/>
    </w:lvl>
    <w:lvl w:ilvl="1">
      <w:lvlJc w:val="left"/>
      <w:lvlText w:val="(%2)"/>
      <w:numFmt w:val="lowerLetter"/>
      <w:start w:val="17"/>
    </w:lvl>
  </w:abstractNum>
  <w:abstractNum w:abstractNumId="28">
    <w:nsid w:val="5072367"/>
    <w:multiLevelType w:val="hybridMultilevel"/>
    <w:lvl w:ilvl="0">
      <w:lvlJc w:val="left"/>
      <w:lvlText w:val="%1."/>
      <w:numFmt w:val="decimal"/>
      <w:start w:val="8"/>
    </w:lvl>
    <w:lvl w:ilvl="1">
      <w:lvlJc w:val="left"/>
      <w:lvlText w:val="(%2)"/>
      <w:numFmt w:val="lowerLetter"/>
      <w:start w:val="1"/>
    </w:lvl>
  </w:abstractNum>
  <w:abstractNum w:abstractNumId="29">
    <w:nsid w:val="3804823E"/>
    <w:multiLevelType w:val="hybridMultilevel"/>
    <w:lvl w:ilvl="0">
      <w:lvlJc w:val="left"/>
      <w:lvlText w:val="(%1)"/>
      <w:numFmt w:val="lowerLetter"/>
      <w:start w:val="3"/>
    </w:lvl>
  </w:abstractNum>
  <w:abstractNum w:abstractNumId="30">
    <w:nsid w:val="77465F01"/>
    <w:multiLevelType w:val="hybridMultilevel"/>
    <w:lvl w:ilvl="0">
      <w:lvlJc w:val="left"/>
      <w:lvlText w:val="%1"/>
      <w:numFmt w:val="decimal"/>
      <w:start w:val="1"/>
    </w:lvl>
    <w:lvl w:ilvl="1">
      <w:lvlJc w:val="left"/>
      <w:lvlText w:val="(%2)"/>
      <w:numFmt w:val="lowerLetter"/>
      <w:start w:val="9"/>
    </w:lvl>
  </w:abstractNum>
  <w:abstractNum w:abstractNumId="31">
    <w:nsid w:val="7724C67E"/>
    <w:multiLevelType w:val="hybridMultilevel"/>
    <w:lvl w:ilvl="0">
      <w:lvlJc w:val="left"/>
      <w:lvlText w:val="%1."/>
      <w:numFmt w:val="decimal"/>
      <w:start w:val="424"/>
    </w:lvl>
    <w:lvl w:ilvl="1">
      <w:lvlJc w:val="left"/>
      <w:lvlText w:val="(%2)"/>
      <w:numFmt w:val="lowerLetter"/>
      <w:start w:val="13"/>
    </w:lvl>
  </w:abstractNum>
  <w:abstractNum w:abstractNumId="32">
    <w:nsid w:val="5C482A97"/>
    <w:multiLevelType w:val="hybridMultilevel"/>
    <w:lvl w:ilvl="0">
      <w:lvlJc w:val="left"/>
      <w:lvlText w:val="%1."/>
      <w:numFmt w:val="decimal"/>
      <w:start w:val="9"/>
    </w:lvl>
    <w:lvl w:ilvl="1">
      <w:lvlJc w:val="left"/>
      <w:lvlText w:val="(%2)"/>
      <w:numFmt w:val="lowerLetter"/>
      <w:start w:val="1"/>
    </w:lvl>
  </w:abstractNum>
  <w:abstractNum w:abstractNumId="33">
    <w:nsid w:val="2463B9EA"/>
    <w:multiLevelType w:val="hybridMultilevel"/>
    <w:lvl w:ilvl="0">
      <w:lvlJc w:val="left"/>
      <w:lvlText w:val="(%1)"/>
      <w:numFmt w:val="lowerLetter"/>
      <w:start w:val="2"/>
    </w:lvl>
  </w:abstractNum>
  <w:abstractNum w:abstractNumId="34">
    <w:nsid w:val="5E884ADC"/>
    <w:multiLevelType w:val="hybridMultilevel"/>
    <w:lvl w:ilvl="0">
      <w:lvlJc w:val="left"/>
      <w:lvlText w:val="%1"/>
      <w:numFmt w:val="lowerLetter"/>
      <w:start w:val="1"/>
    </w:lvl>
    <w:lvl w:ilvl="1">
      <w:lvlJc w:val="left"/>
      <w:lvlText w:val="(%2)"/>
      <w:numFmt w:val="lowerLetter"/>
      <w:start w:val="3"/>
    </w:lvl>
  </w:abstractNum>
  <w:abstractNum w:abstractNumId="35">
    <w:nsid w:val="51EAD36B"/>
    <w:multiLevelType w:val="hybridMultilevel"/>
    <w:lvl w:ilvl="0">
      <w:lvlJc w:val="left"/>
      <w:lvlText w:val="(%1)"/>
      <w:numFmt w:val="lowerLetter"/>
      <w:start w:val="35"/>
    </w:lvl>
    <w:lvl w:ilvl="1">
      <w:lvlJc w:val="left"/>
      <w:lvlText w:val="%2"/>
      <w:numFmt w:val="lowerLetter"/>
      <w:start w:val="1"/>
    </w:lvl>
  </w:abstractNum>
  <w:abstractNum w:abstractNumId="36">
    <w:nsid w:val="2D517796"/>
    <w:multiLevelType w:val="hybridMultilevel"/>
    <w:lvl w:ilvl="0">
      <w:lvlJc w:val="left"/>
      <w:lvlText w:val="(%1)"/>
      <w:numFmt w:val="lowerLetter"/>
      <w:start w:val="4"/>
    </w:lvl>
  </w:abstractNum>
  <w:abstractNum w:abstractNumId="37">
    <w:nsid w:val="580BD78F"/>
    <w:multiLevelType w:val="hybridMultilevel"/>
    <w:lvl w:ilvl="0">
      <w:lvlJc w:val="left"/>
      <w:lvlText w:val="%1."/>
      <w:numFmt w:val="decimal"/>
      <w:start w:val="10"/>
    </w:lvl>
    <w:lvl w:ilvl="1">
      <w:lvlJc w:val="left"/>
      <w:lvlText w:val="(%2)"/>
      <w:numFmt w:val="lowerLetter"/>
      <w:start w:val="1"/>
    </w:lvl>
  </w:abstractNum>
  <w:abstractNum w:abstractNumId="38">
    <w:nsid w:val="153EA438"/>
    <w:multiLevelType w:val="hybridMultilevel"/>
    <w:lvl w:ilvl="0">
      <w:lvlJc w:val="left"/>
      <w:lvlText w:val="%1"/>
      <w:numFmt w:val="decimal"/>
      <w:start w:val="1"/>
    </w:lvl>
    <w:lvl w:ilvl="1">
      <w:lvlJc w:val="left"/>
      <w:lvlText w:val="(%2)"/>
      <w:numFmt w:val="lowerLetter"/>
      <w:start w:val="4"/>
    </w:lvl>
  </w:abstractNum>
  <w:abstractNum w:abstractNumId="39">
    <w:nsid w:val="3855585C"/>
    <w:multiLevelType w:val="hybridMultilevel"/>
    <w:lvl w:ilvl="0">
      <w:lvlJc w:val="left"/>
      <w:lvlText w:val="%1."/>
      <w:numFmt w:val="decimal"/>
      <w:start w:val="12"/>
    </w:lvl>
    <w:lvl w:ilvl="1">
      <w:lvlJc w:val="left"/>
      <w:lvlText w:val="%2"/>
      <w:numFmt w:val="lowerLetter"/>
      <w:start w:val="1"/>
    </w:lvl>
  </w:abstractNum>
  <w:abstractNum w:abstractNumId="40">
    <w:nsid w:val="70A64E2A"/>
    <w:multiLevelType w:val="hybridMultilevel"/>
    <w:lvl w:ilvl="0">
      <w:lvlJc w:val="left"/>
      <w:lvlText w:val="%1."/>
      <w:numFmt w:val="decimal"/>
      <w:start w:val="13"/>
    </w:lvl>
  </w:abstractNum>
  <w:abstractNum w:abstractNumId="41">
    <w:nsid w:val="6A2342EC"/>
    <w:multiLevelType w:val="hybridMultilevel"/>
    <w:lvl w:ilvl="0">
      <w:lvlJc w:val="left"/>
      <w:lvlText w:val="%1."/>
      <w:numFmt w:val="decimal"/>
      <w:start w:val="18"/>
    </w:lvl>
    <w:lvl w:ilvl="1">
      <w:lvlJc w:val="left"/>
      <w:lvlText w:val="(%2)"/>
      <w:numFmt w:val="lowerLetter"/>
      <w:start w:val="1"/>
    </w:lvl>
  </w:abstractNum>
  <w:abstractNum w:abstractNumId="42">
    <w:nsid w:val="2A487CB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2019-12-06T17:58:19Z</dcterms:created>
  <dcterms:modified xsi:type="dcterms:W3CDTF">2019-12-06T17:58:19Z</dcterms:modified>
</cp:coreProperties>
</file>