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61315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13156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001"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Linthwaite Stephen Christopher</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right="360"/>
        <w:spacing w:after="0" w:line="410" w:lineRule="auto"/>
        <w:rPr>
          <w:sz w:val="20"/>
          <w:szCs w:val="20"/>
          <w:color w:val="auto"/>
        </w:rPr>
      </w:pPr>
      <w:r>
        <w:rPr>
          <w:rFonts w:ascii="Times New Roman" w:cs="Times New Roman" w:eastAsia="Times New Roman" w:hAnsi="Times New Roman"/>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FLUIDIGM CORP</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FLDM</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11/20/2018</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023"/>
        <w:spacing w:after="0"/>
        <w:rPr>
          <w:sz w:val="20"/>
          <w:szCs w:val="20"/>
          <w:color w:val="auto"/>
        </w:rPr>
      </w:pPr>
      <w:r>
        <w:rPr>
          <w:rFonts w:ascii="Times New Roman" w:cs="Times New Roman" w:eastAsia="Times New Roman" w:hAnsi="Times New Roman"/>
          <w:sz w:val="18"/>
          <w:szCs w:val="18"/>
          <w:color w:val="0000FF"/>
        </w:rPr>
        <w:t>President &amp; CEO</w:t>
      </w:r>
    </w:p>
    <w:p>
      <w:pPr>
        <w:spacing w:after="0" w:line="560" w:lineRule="exact"/>
        <w:rPr>
          <w:sz w:val="24"/>
          <w:szCs w:val="24"/>
          <w:color w:val="auto"/>
        </w:rPr>
      </w:pPr>
    </w:p>
    <w:p>
      <w:pPr>
        <w:sectPr>
          <w:pgSz w:w="11900" w:h="16838" w:orient="portrait"/>
          <w:cols w:equalWidth="0" w:num="3">
            <w:col w:w="3360" w:space="720"/>
            <w:col w:w="3257" w:space="720"/>
            <w:col w:w="3463"/>
          </w:cols>
          <w:pgMar w:left="240" w:top="220" w:right="139" w:bottom="1001" w:gutter="0" w:footer="0" w:header="0"/>
          <w:type w:val="continuous"/>
        </w:sectPr>
      </w:pPr>
    </w:p>
    <w:p>
      <w:pPr>
        <w:spacing w:after="0" w:line="135"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0000FF"/>
              </w:rPr>
              <w:t>SOUTH SAN</w:t>
            </w: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0000FF"/>
              </w:rPr>
              <w:t>CA</w:t>
            </w:r>
          </w:p>
        </w:tc>
        <w:tc>
          <w:tcPr>
            <w:tcW w:w="16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0000FF"/>
              </w:rPr>
              <w:t>94080</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FRANCISCO</w:t>
            </w:r>
          </w:p>
        </w:tc>
        <w:tc>
          <w:tcPr>
            <w:tcW w:w="98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2"/>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494" w:lineRule="exact"/>
        <w:rPr>
          <w:sz w:val="24"/>
          <w:szCs w:val="24"/>
          <w:color w:val="auto"/>
        </w:rPr>
      </w:pPr>
    </w:p>
    <w:p>
      <w:pPr>
        <w:sectPr>
          <w:pgSz w:w="11900" w:h="16838" w:orient="portrait"/>
          <w:cols w:equalWidth="0" w:num="2">
            <w:col w:w="3920" w:space="160"/>
            <w:col w:w="7440"/>
          </w:cols>
          <w:pgMar w:left="240" w:top="220" w:right="139" w:bottom="1001"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49"/>
              <w:spacing w:after="0"/>
              <w:rPr>
                <w:sz w:val="20"/>
                <w:szCs w:val="20"/>
                <w:color w:val="auto"/>
              </w:rPr>
            </w:pPr>
            <w:r>
              <w:rPr>
                <w:rFonts w:ascii="Times New Roman" w:cs="Times New Roman" w:eastAsia="Times New Roman" w:hAnsi="Times New Roman"/>
                <w:sz w:val="18"/>
                <w:szCs w:val="18"/>
                <w:color w:val="0000FF"/>
                <w:w w:val="95"/>
              </w:rPr>
              <w:t>11/20/2018</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4"/>
                <w:szCs w:val="14"/>
                <w:color w:val="0000FF"/>
              </w:rPr>
              <w:t>M</w:t>
            </w:r>
          </w:p>
        </w:tc>
        <w:tc>
          <w:tcPr>
            <w:tcW w:w="340" w:type="dxa"/>
            <w:vAlign w:val="bottom"/>
          </w:tcPr>
          <w:p>
            <w:pPr>
              <w:spacing w:after="0"/>
              <w:rPr>
                <w:sz w:val="23"/>
                <w:szCs w:val="23"/>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00FF"/>
              </w:rPr>
              <w:t>4,750</w:t>
            </w:r>
          </w:p>
        </w:tc>
        <w:tc>
          <w:tcPr>
            <w:tcW w:w="60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A</w:t>
            </w:r>
          </w:p>
        </w:tc>
        <w:tc>
          <w:tcPr>
            <w:tcW w:w="540" w:type="dxa"/>
            <w:vAlign w:val="bottom"/>
          </w:tcPr>
          <w:p>
            <w:pPr>
              <w:jc w:val="center"/>
              <w:ind w:left="207"/>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60" w:type="dxa"/>
            <w:vAlign w:val="bottom"/>
          </w:tcPr>
          <w:p>
            <w:pPr>
              <w:spacing w:after="0"/>
              <w:rPr>
                <w:sz w:val="23"/>
                <w:szCs w:val="23"/>
                <w:color w:val="auto"/>
              </w:rPr>
            </w:pPr>
          </w:p>
        </w:tc>
        <w:tc>
          <w:tcPr>
            <w:tcW w:w="13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0000FF"/>
              </w:rPr>
              <w:t>138,838</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49"/>
              <w:spacing w:after="0"/>
              <w:rPr>
                <w:sz w:val="20"/>
                <w:szCs w:val="20"/>
                <w:color w:val="auto"/>
              </w:rPr>
            </w:pPr>
            <w:r>
              <w:rPr>
                <w:rFonts w:ascii="Times New Roman" w:cs="Times New Roman" w:eastAsia="Times New Roman" w:hAnsi="Times New Roman"/>
                <w:sz w:val="18"/>
                <w:szCs w:val="18"/>
                <w:color w:val="0000FF"/>
                <w:w w:val="95"/>
              </w:rPr>
              <w:t>11/20/2018</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Times New Roman" w:cs="Times New Roman" w:eastAsia="Times New Roman" w:hAnsi="Times New Roman"/>
                <w:sz w:val="14"/>
                <w:szCs w:val="14"/>
                <w:color w:val="0000FF"/>
              </w:rPr>
              <w:t>M</w:t>
            </w:r>
          </w:p>
        </w:tc>
        <w:tc>
          <w:tcPr>
            <w:tcW w:w="340" w:type="dxa"/>
            <w:vAlign w:val="bottom"/>
          </w:tcPr>
          <w:p>
            <w:pPr>
              <w:spacing w:after="0"/>
              <w:rPr>
                <w:sz w:val="23"/>
                <w:szCs w:val="23"/>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00FF"/>
              </w:rPr>
              <w:t>7,812</w:t>
            </w:r>
          </w:p>
        </w:tc>
        <w:tc>
          <w:tcPr>
            <w:tcW w:w="60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A</w:t>
            </w:r>
          </w:p>
        </w:tc>
        <w:tc>
          <w:tcPr>
            <w:tcW w:w="540" w:type="dxa"/>
            <w:vAlign w:val="bottom"/>
          </w:tcPr>
          <w:p>
            <w:pPr>
              <w:jc w:val="center"/>
              <w:ind w:left="207"/>
              <w:spacing w:after="0"/>
              <w:rPr>
                <w:sz w:val="20"/>
                <w:szCs w:val="20"/>
                <w:color w:val="auto"/>
              </w:rPr>
            </w:pPr>
            <w:r>
              <w:rPr>
                <w:rFonts w:ascii="Arial" w:cs="Arial" w:eastAsia="Arial" w:hAnsi="Arial"/>
                <w:sz w:val="18"/>
                <w:szCs w:val="18"/>
                <w:color w:val="auto"/>
                <w:w w:val="94"/>
              </w:rPr>
              <w:t>$</w:t>
            </w:r>
            <w:r>
              <w:rPr>
                <w:rFonts w:ascii="Times New Roman" w:cs="Times New Roman" w:eastAsia="Times New Roman" w:hAnsi="Times New Roman"/>
                <w:sz w:val="18"/>
                <w:szCs w:val="18"/>
                <w:color w:val="0000FF"/>
                <w:w w:val="94"/>
              </w:rPr>
              <w:t>0</w:t>
            </w:r>
          </w:p>
        </w:tc>
        <w:tc>
          <w:tcPr>
            <w:tcW w:w="60" w:type="dxa"/>
            <w:vAlign w:val="bottom"/>
          </w:tcPr>
          <w:p>
            <w:pPr>
              <w:spacing w:after="0"/>
              <w:rPr>
                <w:sz w:val="23"/>
                <w:szCs w:val="23"/>
                <w:color w:val="auto"/>
              </w:rPr>
            </w:pPr>
          </w:p>
        </w:tc>
        <w:tc>
          <w:tcPr>
            <w:tcW w:w="13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0000FF"/>
              </w:rPr>
              <w:t>146,650</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Pr>
          <w:p>
            <w:pPr>
              <w:spacing w:after="0"/>
              <w:rPr>
                <w:sz w:val="23"/>
                <w:szCs w:val="23"/>
                <w:color w:val="auto"/>
              </w:rPr>
            </w:pPr>
          </w:p>
        </w:tc>
        <w:tc>
          <w:tcPr>
            <w:tcW w:w="1880" w:type="dxa"/>
            <w:vAlign w:val="bottom"/>
            <w:gridSpan w:val="2"/>
          </w:tcPr>
          <w:p>
            <w:pPr>
              <w:jc w:val="center"/>
              <w:ind w:left="549"/>
              <w:spacing w:after="0"/>
              <w:rPr>
                <w:sz w:val="20"/>
                <w:szCs w:val="20"/>
                <w:color w:val="auto"/>
              </w:rPr>
            </w:pPr>
            <w:r>
              <w:rPr>
                <w:rFonts w:ascii="Times New Roman" w:cs="Times New Roman" w:eastAsia="Times New Roman" w:hAnsi="Times New Roman"/>
                <w:sz w:val="18"/>
                <w:szCs w:val="18"/>
                <w:color w:val="0000FF"/>
                <w:w w:val="95"/>
              </w:rPr>
              <w:t>11/20/2018</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jc w:val="right"/>
              <w:ind w:right="196"/>
              <w:spacing w:after="0"/>
              <w:rPr>
                <w:sz w:val="20"/>
                <w:szCs w:val="20"/>
                <w:color w:val="auto"/>
              </w:rPr>
            </w:pPr>
            <w:r>
              <w:rPr>
                <w:rFonts w:ascii="Times New Roman" w:cs="Times New Roman" w:eastAsia="Times New Roman" w:hAnsi="Times New Roman"/>
                <w:sz w:val="14"/>
                <w:szCs w:val="14"/>
                <w:color w:val="0000FF"/>
              </w:rPr>
              <w:t>F</w:t>
            </w:r>
          </w:p>
        </w:tc>
        <w:tc>
          <w:tcPr>
            <w:tcW w:w="340" w:type="dxa"/>
            <w:vAlign w:val="bottom"/>
          </w:tcPr>
          <w:p>
            <w:pPr>
              <w:spacing w:after="0"/>
              <w:rPr>
                <w:sz w:val="23"/>
                <w:szCs w:val="23"/>
                <w:color w:val="auto"/>
              </w:rPr>
            </w:pPr>
          </w:p>
        </w:tc>
        <w:tc>
          <w:tcPr>
            <w:tcW w:w="6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0000FF"/>
              </w:rPr>
              <w:t>4,345</w:t>
            </w:r>
          </w:p>
        </w:tc>
        <w:tc>
          <w:tcPr>
            <w:tcW w:w="600" w:type="dxa"/>
            <w:vAlign w:val="bottom"/>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00" w:type="dxa"/>
            <w:vAlign w:val="bottom"/>
            <w:gridSpan w:val="2"/>
          </w:tcPr>
          <w:p>
            <w:pPr>
              <w:jc w:val="center"/>
              <w:ind w:left="167"/>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8.3</w:t>
            </w:r>
          </w:p>
        </w:tc>
        <w:tc>
          <w:tcPr>
            <w:tcW w:w="13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0000FF"/>
              </w:rPr>
              <w:t>142,305</w:t>
            </w:r>
          </w:p>
        </w:tc>
        <w:tc>
          <w:tcPr>
            <w:tcW w:w="26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62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7"/>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7"/>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8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Restricted</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gridSpan w:val="2"/>
            <w:vMerge w:val="restart"/>
          </w:tcPr>
          <w:p>
            <w:pPr>
              <w:jc w:val="right"/>
              <w:ind w:right="196"/>
              <w:spacing w:after="0"/>
              <w:rPr>
                <w:sz w:val="20"/>
                <w:szCs w:val="20"/>
                <w:color w:val="auto"/>
              </w:rPr>
            </w:pPr>
            <w:r>
              <w:rPr>
                <w:rFonts w:ascii="Times New Roman" w:cs="Times New Roman" w:eastAsia="Times New Roman" w:hAnsi="Times New Roman"/>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4,750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2"/>
              <w:spacing w:after="0" w:line="149" w:lineRule="exact"/>
              <w:rPr>
                <w:sz w:val="20"/>
                <w:szCs w:val="20"/>
                <w:color w:val="auto"/>
              </w:rPr>
            </w:pPr>
            <w:r>
              <w:rPr>
                <w:rFonts w:ascii="Times New Roman" w:cs="Times New Roman" w:eastAsia="Times New Roman" w:hAnsi="Times New Roman"/>
                <w:sz w:val="14"/>
                <w:szCs w:val="14"/>
                <w:color w:val="0000FF"/>
              </w:rPr>
              <w:t>11/20/2018</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0000FF"/>
              </w:rPr>
              <w:t>M</w:t>
            </w:r>
          </w:p>
        </w:tc>
        <w:tc>
          <w:tcPr>
            <w:tcW w:w="920" w:type="dxa"/>
            <w:vAlign w:val="bottom"/>
            <w:vMerge w:val="restart"/>
          </w:tcPr>
          <w:p>
            <w:pPr>
              <w:ind w:left="480"/>
              <w:spacing w:after="0" w:line="149" w:lineRule="exact"/>
              <w:rPr>
                <w:sz w:val="20"/>
                <w:szCs w:val="20"/>
                <w:color w:val="auto"/>
              </w:rPr>
            </w:pPr>
            <w:r>
              <w:rPr>
                <w:rFonts w:ascii="Times New Roman" w:cs="Times New Roman" w:eastAsia="Times New Roman" w:hAnsi="Times New Roman"/>
                <w:sz w:val="14"/>
                <w:szCs w:val="14"/>
                <w:color w:val="0000FF"/>
              </w:rPr>
              <w:t>4,750</w:t>
            </w: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ind w:left="24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0000FF"/>
              </w:rPr>
              <w:t>41,167</w:t>
            </w:r>
          </w:p>
        </w:tc>
        <w:tc>
          <w:tcPr>
            <w:tcW w:w="26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Restricted</w:t>
            </w:r>
          </w:p>
        </w:tc>
        <w:tc>
          <w:tcPr>
            <w:tcW w:w="82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80" w:type="dxa"/>
            <w:vAlign w:val="bottom"/>
            <w:gridSpan w:val="2"/>
            <w:vMerge w:val="restart"/>
          </w:tcPr>
          <w:p>
            <w:pPr>
              <w:jc w:val="right"/>
              <w:ind w:right="196"/>
              <w:spacing w:after="0"/>
              <w:rPr>
                <w:sz w:val="20"/>
                <w:szCs w:val="20"/>
                <w:color w:val="auto"/>
              </w:rPr>
            </w:pPr>
            <w:r>
              <w:rPr>
                <w:rFonts w:ascii="Times New Roman" w:cs="Times New Roman" w:eastAsia="Times New Roman" w:hAnsi="Times New Roman"/>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0000FF"/>
              </w:rPr>
              <w:t>7,812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Times New Roman" w:cs="Times New Roman" w:eastAsia="Times New Roman" w:hAnsi="Times New Roman"/>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2"/>
              <w:spacing w:after="0" w:line="149" w:lineRule="exact"/>
              <w:rPr>
                <w:sz w:val="20"/>
                <w:szCs w:val="20"/>
                <w:color w:val="auto"/>
              </w:rPr>
            </w:pPr>
            <w:r>
              <w:rPr>
                <w:rFonts w:ascii="Times New Roman" w:cs="Times New Roman" w:eastAsia="Times New Roman" w:hAnsi="Times New Roman"/>
                <w:sz w:val="14"/>
                <w:szCs w:val="14"/>
                <w:color w:val="0000FF"/>
              </w:rPr>
              <w:t>11/20/2018</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Times New Roman" w:cs="Times New Roman" w:eastAsia="Times New Roman" w:hAnsi="Times New Roman"/>
                <w:sz w:val="14"/>
                <w:szCs w:val="14"/>
                <w:color w:val="0000FF"/>
              </w:rPr>
              <w:t>M</w:t>
            </w:r>
          </w:p>
        </w:tc>
        <w:tc>
          <w:tcPr>
            <w:tcW w:w="920" w:type="dxa"/>
            <w:vAlign w:val="bottom"/>
            <w:vMerge w:val="restart"/>
          </w:tcPr>
          <w:p>
            <w:pPr>
              <w:ind w:left="480"/>
              <w:spacing w:after="0" w:line="149" w:lineRule="exact"/>
              <w:rPr>
                <w:sz w:val="20"/>
                <w:szCs w:val="20"/>
                <w:color w:val="auto"/>
              </w:rPr>
            </w:pPr>
            <w:r>
              <w:rPr>
                <w:rFonts w:ascii="Times New Roman" w:cs="Times New Roman" w:eastAsia="Times New Roman" w:hAnsi="Times New Roman"/>
                <w:sz w:val="14"/>
                <w:szCs w:val="14"/>
                <w:color w:val="0000FF"/>
              </w:rPr>
              <w:t>7,812</w:t>
            </w:r>
          </w:p>
        </w:tc>
        <w:tc>
          <w:tcPr>
            <w:tcW w:w="6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ind w:left="240"/>
              <w:spacing w:after="0" w:line="14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40" w:type="dxa"/>
            <w:vAlign w:val="bottom"/>
            <w:vMerge w:val="restart"/>
          </w:tcPr>
          <w:p>
            <w:pPr>
              <w:jc w:val="right"/>
              <w:spacing w:after="0" w:line="149" w:lineRule="exact"/>
              <w:rPr>
                <w:sz w:val="20"/>
                <w:szCs w:val="20"/>
                <w:color w:val="auto"/>
              </w:rPr>
            </w:pPr>
            <w:r>
              <w:rPr>
                <w:rFonts w:ascii="Times New Roman" w:cs="Times New Roman" w:eastAsia="Times New Roman" w:hAnsi="Times New Roman"/>
                <w:sz w:val="14"/>
                <w:szCs w:val="14"/>
                <w:color w:val="0000FF"/>
              </w:rPr>
              <w:t>109,376</w:t>
            </w:r>
          </w:p>
        </w:tc>
        <w:tc>
          <w:tcPr>
            <w:tcW w:w="26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Times New Roman" w:cs="Times New Roman" w:eastAsia="Times New Roman" w:hAnsi="Times New Roman"/>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0000FF"/>
              </w:rPr>
              <w:t>Units</w:t>
            </w: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Each Restricted Stock Unit represents the contingent right to receive one share of FLDM common stock upon vesting of the unit.</w:t>
      </w:r>
    </w:p>
    <w:p>
      <w:pPr>
        <w:spacing w:after="0" w:line="41" w:lineRule="exact"/>
        <w:rPr>
          <w:rFonts w:ascii="Times New Roman" w:cs="Times New Roman" w:eastAsia="Times New Roman" w:hAnsi="Times New Roman"/>
          <w:sz w:val="14"/>
          <w:szCs w:val="14"/>
          <w:color w:val="008000"/>
        </w:rPr>
      </w:pPr>
    </w:p>
    <w:p>
      <w:pPr>
        <w:ind w:left="40" w:right="26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February 13, 2017, the Reporting Person was granted 76,000 Restricted Stock Units of which 4/48th of the total number of shares underlying the Restricted Stock Units granted vested on May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28" w:lineRule="exact"/>
        <w:rPr>
          <w:rFonts w:ascii="Times New Roman" w:cs="Times New Roman" w:eastAsia="Times New Roman" w:hAnsi="Times New Roman"/>
          <w:sz w:val="14"/>
          <w:szCs w:val="14"/>
          <w:color w:val="008000"/>
        </w:rPr>
      </w:pPr>
    </w:p>
    <w:p>
      <w:pPr>
        <w:ind w:left="40" w:right="28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On June 11, 2018, the Reporting Person was granted 125,000 Restricted Stock Units of which 3/48th of the total number of shares underlying the Restricted Stock Units granted vested on August 20, 2018,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37"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Stephen Christopher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046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1" w:lineRule="exact"/>
        <w:rPr>
          <w:sz w:val="24"/>
          <w:szCs w:val="24"/>
          <w:color w:val="auto"/>
        </w:rPr>
      </w:pPr>
    </w:p>
    <w:p>
      <w:pPr>
        <w:ind w:left="6860"/>
        <w:spacing w:after="0"/>
        <w:tabs>
          <w:tab w:leader="none" w:pos="9140" w:val="left"/>
        </w:tabs>
        <w:rPr>
          <w:sz w:val="20"/>
          <w:szCs w:val="20"/>
          <w:color w:val="auto"/>
        </w:rPr>
      </w:pPr>
      <w:r>
        <w:rPr>
          <w:rFonts w:ascii="Times New Roman" w:cs="Times New Roman" w:eastAsia="Times New Roman" w:hAnsi="Times New Roman"/>
          <w:sz w:val="18"/>
          <w:szCs w:val="18"/>
          <w:color w:val="0000FF"/>
        </w:rPr>
        <w:t>Linthwaite by Nicholas</w:t>
      </w:r>
      <w:r>
        <w:rPr>
          <w:sz w:val="20"/>
          <w:szCs w:val="20"/>
          <w:color w:val="auto"/>
        </w:rPr>
        <w:tab/>
      </w:r>
      <w:r>
        <w:rPr>
          <w:rFonts w:ascii="Times New Roman" w:cs="Times New Roman" w:eastAsia="Times New Roman" w:hAnsi="Times New Roman"/>
          <w:sz w:val="16"/>
          <w:szCs w:val="16"/>
          <w:color w:val="0000FF"/>
        </w:rPr>
        <w:t>11/21/2018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Khadder,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84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84275"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0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8080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2019-12-23T22:05:04Z</dcterms:created>
  <dcterms:modified xsi:type="dcterms:W3CDTF">2019-12-23T22:05:04Z</dcterms:modified>
</cp:coreProperties>
</file>