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Easterly Partners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Passive Investor</w:t>
      </w:r>
    </w:p>
    <w:p>
      <w:pPr>
        <w:spacing w:after="0" w:line="462"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tcPr>
          <w:p>
            <w:pPr>
              <w:jc w:val="right"/>
              <w:ind w:right="88"/>
              <w:spacing w:after="0"/>
              <w:rPr>
                <w:sz w:val="20"/>
                <w:szCs w:val="20"/>
                <w:color w:val="auto"/>
              </w:rPr>
            </w:pPr>
            <w:r>
              <w:rPr>
                <w:rFonts w:ascii="Arial" w:cs="Arial" w:eastAsia="Arial" w:hAnsi="Arial"/>
                <w:sz w:val="18"/>
                <w:szCs w:val="18"/>
                <w:color w:val="0000FF"/>
              </w:rPr>
              <w:t>08/13/2019</w:t>
            </w:r>
          </w:p>
        </w:tc>
        <w:tc>
          <w:tcPr>
            <w:tcW w:w="114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J</w:t>
            </w:r>
          </w:p>
        </w:tc>
        <w:tc>
          <w:tcPr>
            <w:tcW w:w="800" w:type="dxa"/>
            <w:vAlign w:val="bottom"/>
          </w:tcPr>
          <w:p>
            <w:pPr>
              <w:jc w:val="right"/>
              <w:ind w:right="28"/>
              <w:spacing w:after="0"/>
              <w:rPr>
                <w:sz w:val="20"/>
                <w:szCs w:val="20"/>
                <w:color w:val="auto"/>
              </w:rPr>
            </w:pPr>
            <w:r>
              <w:rPr>
                <w:rFonts w:ascii="Arial" w:cs="Arial" w:eastAsia="Arial" w:hAnsi="Arial"/>
                <w:sz w:val="18"/>
                <w:szCs w:val="18"/>
                <w:color w:val="0000FF"/>
              </w:rPr>
              <w:t>528,427</w:t>
            </w:r>
          </w:p>
        </w:tc>
        <w:tc>
          <w:tcPr>
            <w:tcW w:w="520" w:type="dxa"/>
            <w:vAlign w:val="bottom"/>
          </w:tcPr>
          <w:p>
            <w:pPr>
              <w:jc w:val="center"/>
              <w:spacing w:after="0"/>
              <w:rPr>
                <w:sz w:val="20"/>
                <w:szCs w:val="20"/>
                <w:color w:val="auto"/>
              </w:rPr>
            </w:pPr>
            <w:r>
              <w:rPr>
                <w:rFonts w:ascii="Arial" w:cs="Arial" w:eastAsia="Arial" w:hAnsi="Arial"/>
                <w:sz w:val="18"/>
                <w:szCs w:val="18"/>
                <w:color w:val="0000FF"/>
              </w:rPr>
              <w:t>D</w:t>
            </w:r>
          </w:p>
        </w:tc>
        <w:tc>
          <w:tcPr>
            <w:tcW w:w="860" w:type="dxa"/>
            <w:vAlign w:val="bottom"/>
          </w:tcPr>
          <w:p>
            <w:pPr>
              <w:jc w:val="right"/>
              <w:ind w:right="292"/>
              <w:spacing w:after="0"/>
              <w:rPr>
                <w:sz w:val="20"/>
                <w:szCs w:val="20"/>
                <w:color w:val="auto"/>
              </w:rPr>
            </w:pPr>
            <w:r>
              <w:rPr>
                <w:rFonts w:ascii="Arial" w:cs="Arial" w:eastAsia="Arial" w:hAnsi="Arial"/>
                <w:sz w:val="11"/>
                <w:szCs w:val="11"/>
                <w:color w:val="008000"/>
              </w:rPr>
              <w:t>(7)</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8,422,622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tcPr>
          <w:p>
            <w:pPr>
              <w:jc w:val="right"/>
              <w:ind w:right="88"/>
              <w:spacing w:after="0"/>
              <w:rPr>
                <w:sz w:val="20"/>
                <w:szCs w:val="20"/>
                <w:color w:val="auto"/>
              </w:rPr>
            </w:pPr>
            <w:r>
              <w:rPr>
                <w:rFonts w:ascii="Arial" w:cs="Arial" w:eastAsia="Arial" w:hAnsi="Arial"/>
                <w:sz w:val="18"/>
                <w:szCs w:val="18"/>
                <w:color w:val="0000FF"/>
              </w:rPr>
              <w:t>08/13/2019</w:t>
            </w:r>
          </w:p>
        </w:tc>
        <w:tc>
          <w:tcPr>
            <w:tcW w:w="114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right"/>
              <w:ind w:right="28"/>
              <w:spacing w:after="0"/>
              <w:rPr>
                <w:sz w:val="20"/>
                <w:szCs w:val="20"/>
                <w:color w:val="auto"/>
              </w:rPr>
            </w:pPr>
            <w:r>
              <w:rPr>
                <w:rFonts w:ascii="Arial" w:cs="Arial" w:eastAsia="Arial" w:hAnsi="Arial"/>
                <w:sz w:val="18"/>
                <w:szCs w:val="18"/>
                <w:color w:val="0000FF"/>
              </w:rPr>
              <w:t>151,011</w:t>
            </w:r>
          </w:p>
        </w:tc>
        <w:tc>
          <w:tcPr>
            <w:tcW w:w="520" w:type="dxa"/>
            <w:vAlign w:val="bottom"/>
          </w:tcPr>
          <w:p>
            <w:pPr>
              <w:jc w:val="center"/>
              <w:spacing w:after="0"/>
              <w:rPr>
                <w:sz w:val="20"/>
                <w:szCs w:val="20"/>
                <w:color w:val="auto"/>
              </w:rPr>
            </w:pPr>
            <w:r>
              <w:rPr>
                <w:rFonts w:ascii="Arial" w:cs="Arial" w:eastAsia="Arial" w:hAnsi="Arial"/>
                <w:sz w:val="18"/>
                <w:szCs w:val="18"/>
                <w:color w:val="0000FF"/>
              </w:rPr>
              <w:t>D</w:t>
            </w:r>
          </w:p>
        </w:tc>
        <w:tc>
          <w:tcPr>
            <w:tcW w:w="860" w:type="dxa"/>
            <w:vAlign w:val="bottom"/>
          </w:tcPr>
          <w:p>
            <w:pPr>
              <w:jc w:val="center"/>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7.0146</w:t>
            </w:r>
            <w:r>
              <w:rPr>
                <w:rFonts w:ascii="Arial" w:cs="Arial" w:eastAsia="Arial" w:hAnsi="Arial"/>
                <w:sz w:val="22"/>
                <w:szCs w:val="22"/>
                <w:color w:val="008000"/>
                <w:w w:val="93"/>
                <w:vertAlign w:val="superscript"/>
              </w:rPr>
              <w:t>(8)</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8,271,611</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 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4,996</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w w:val="90"/>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(5)(6)</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8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w w:val="94"/>
              </w:rPr>
            </w:pPr>
            <w:hyperlink r:id="rId12">
              <w:r>
                <w:rPr>
                  <w:rFonts w:ascii="Arial" w:cs="Arial" w:eastAsia="Arial" w:hAnsi="Arial"/>
                  <w:sz w:val="22"/>
                  <w:szCs w:val="22"/>
                  <w:color w:val="0000EE"/>
                  <w:w w:val="94"/>
                </w:rPr>
                <w:t>Levin Easterly Partners LLC</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60"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10022</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LE Partners Holdings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 Partners Holdings II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w w:val="98"/>
              </w:rPr>
            </w:pPr>
            <w:hyperlink r:id="rId16">
              <w:r>
                <w:rPr>
                  <w:rFonts w:ascii="Arial" w:cs="Arial" w:eastAsia="Arial" w:hAnsi="Arial"/>
                  <w:sz w:val="22"/>
                  <w:szCs w:val="22"/>
                  <w:color w:val="0000EE"/>
                  <w:w w:val="98"/>
                </w:rPr>
                <w:t>LE Partners Holdings III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w w:val="98"/>
              </w:rPr>
            </w:pPr>
            <w:hyperlink r:id="rId17">
              <w:r>
                <w:rPr>
                  <w:rFonts w:ascii="Arial" w:cs="Arial" w:eastAsia="Arial" w:hAnsi="Arial"/>
                  <w:sz w:val="22"/>
                  <w:szCs w:val="22"/>
                  <w:color w:val="0000EE"/>
                  <w:w w:val="98"/>
                </w:rPr>
                <w:t>LE Partners Holdings IV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3"/>
              </w:rPr>
            </w:pPr>
            <w:hyperlink r:id="rId18">
              <w:r>
                <w:rPr>
                  <w:rFonts w:ascii="Arial" w:cs="Arial" w:eastAsia="Arial" w:hAnsi="Arial"/>
                  <w:sz w:val="22"/>
                  <w:szCs w:val="22"/>
                  <w:color w:val="0000EE"/>
                  <w:w w:val="93"/>
                </w:rPr>
                <w:t>Crate Darrell W</w:t>
              </w:r>
            </w:hyperlink>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Kalichstein Avshalom</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0199"/>
          </w:cols>
          <w:pgMar w:left="260" w:top="179" w:right="1440" w:bottom="0" w:gutter="0" w:footer="0" w:header="0"/>
        </w:sectPr>
      </w:pPr>
    </w:p>
    <w:bookmarkStart w:id="2" w:name="page3"/>
    <w:bookmarkEnd w:id="2"/>
    <w:p>
      <w:pPr>
        <w:ind w:left="8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Murphy John W</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3451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3">
        <w:r>
          <w:rPr>
            <w:rFonts w:ascii="Arial" w:cs="Arial" w:eastAsia="Arial" w:hAnsi="Arial"/>
            <w:sz w:val="22"/>
            <w:szCs w:val="22"/>
            <w:u w:val="single" w:color="auto"/>
            <w:color w:val="0000EE"/>
          </w:rPr>
          <w:t>LEVIN CAPITAL STRATEGIES, L.P.</w:t>
        </w:r>
      </w:hyperlink>
    </w:p>
    <w:p>
      <w:pPr>
        <w:spacing w:after="0" w:line="31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being jointly filed by Levin Easterly Partners LLC ("Levin Easterly"), LE Partners Holdings LLC ("LEPH"), LE Partners Holdings II LLC ("LEPH II"), LE Partners Holdings III LLC ("LEPH III"), LE Partners Holdings IV LLC ("LEPH IV"), Darrell Crate ("Mr. Crate"), Avshalom Kalichstein ("Mr. Kalichstein"), John Murphy ("Mr. Murphy"), and Levin Capital Strategies, LP ("LCS") (collectively, the "Reporting Persons").</w:t>
      </w:r>
    </w:p>
    <w:p>
      <w:pPr>
        <w:spacing w:after="0" w:line="30" w:lineRule="exact"/>
        <w:rPr>
          <w:rFonts w:ascii="Arial" w:cs="Arial" w:eastAsia="Arial" w:hAnsi="Arial"/>
          <w:sz w:val="14"/>
          <w:szCs w:val="14"/>
          <w:color w:val="008000"/>
        </w:rPr>
      </w:pPr>
    </w:p>
    <w:p>
      <w:pPr>
        <w:ind w:firstLine="9"/>
        <w:spacing w:after="0" w:line="228"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are passive investors in the Issuer and are voluntarily filing this Form 4 as a result of acquiring over 10% of the Issuer's outstanding shares of Common Stock. The Reporting Persons have not acquired the shares with a purpose or effect of changing or influencing control of the Issuer. 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32" w:lineRule="exact"/>
        <w:rPr>
          <w:rFonts w:ascii="Arial" w:cs="Arial" w:eastAsia="Arial" w:hAnsi="Arial"/>
          <w:sz w:val="14"/>
          <w:szCs w:val="14"/>
          <w:color w:val="008000"/>
        </w:rPr>
      </w:pPr>
    </w:p>
    <w:p>
      <w:pPr>
        <w:ind w:right="80" w:firstLine="9"/>
        <w:spacing w:after="0" w:line="273"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"LEP Managed Accounts"). Levin Easterly, as the investment manager to the LEP Managed Accounts, may be deemed to beneficially own such shares. Levin Easterly does not have a reportable pecuniary interest under Section 16a-1(a)(2) of the Exchange Act in the shares held in the LEP Managed Accounts as Levin Easterly receives an asset-based management fee for serving as investment manager to the LEP Managed Accounts, except that with respect to 110,601 shares held in the LEP Managed Accounts, Levin Easterly receives a performance-based incentive fee. The performance-based incentive fee Levin Easterly receives also does not constitute a reportable pecuniary interest under Section 16a-1(a)(2) of the Exchange Act, as such fee is based on the performance of the overall account, over a period of one year or more, and the shares of the Issuer held in such accounts constitute nor more than 10% of the market value thereof.</w:t>
      </w:r>
    </w:p>
    <w:p>
      <w:pPr>
        <w:spacing w:after="0" w:line="11" w:lineRule="exact"/>
        <w:rPr>
          <w:rFonts w:ascii="Arial" w:cs="Arial" w:eastAsia="Arial" w:hAnsi="Arial"/>
          <w:sz w:val="12"/>
          <w:szCs w:val="12"/>
          <w:color w:val="008000"/>
        </w:rPr>
      </w:pPr>
    </w:p>
    <w:p>
      <w:pPr>
        <w:ind w:right="34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3, none of LEPH, LEPH II, LEPH III, LEPH IV, Mr. Crate, Mr. Kalichstein and Mr. Murphy have a reportable pecuniary interest in the shares held in the LEP Managed Accounts.</w:t>
      </w:r>
    </w:p>
    <w:p>
      <w:pPr>
        <w:spacing w:after="0" w:line="30" w:lineRule="exact"/>
        <w:rPr>
          <w:rFonts w:ascii="Arial" w:cs="Arial" w:eastAsia="Arial" w:hAnsi="Arial"/>
          <w:sz w:val="14"/>
          <w:szCs w:val="14"/>
          <w:color w:val="008000"/>
        </w:rPr>
      </w:pPr>
    </w:p>
    <w:p>
      <w:pPr>
        <w:ind w:right="2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a certain separately managed account (the "LCS Managed Account"). LCS, as the investment manager to the LCS Managed Account, may be deemed to beneficially own such shares. LCS does not have a reportable pecuniary interest under Section 16a-1(a)(2) of the Exchange Act in the shares held in the LCS Managed Account as LCS receives an asset-based management fee for serving as investment manager to the LCS Managed Account.</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5, Mr. Murphy does not have a reportable pecuniary interest in the shares held in the LCS Managed Account.</w:t>
      </w:r>
    </w:p>
    <w:p>
      <w:pPr>
        <w:spacing w:after="0" w:line="41" w:lineRule="exact"/>
        <w:rPr>
          <w:rFonts w:ascii="Arial" w:cs="Arial" w:eastAsia="Arial" w:hAnsi="Arial"/>
          <w:sz w:val="14"/>
          <w:szCs w:val="14"/>
          <w:color w:val="008000"/>
        </w:rPr>
      </w:pPr>
    </w:p>
    <w:p>
      <w:pPr>
        <w:ind w:right="8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5, 2019, one of the Managed Accounts that held 528,427 shares closed. Accordingly, as of August 13, 2019, Levin Easterly ceased to serve as the investment manager for such Managed Account and as such, relinquished all voting and dispostive power over the shares held in the Managed Account.</w:t>
      </w:r>
    </w:p>
    <w:p>
      <w:pPr>
        <w:spacing w:after="0" w:line="30" w:lineRule="exact"/>
        <w:rPr>
          <w:rFonts w:ascii="Arial" w:cs="Arial" w:eastAsia="Arial" w:hAnsi="Arial"/>
          <w:sz w:val="14"/>
          <w:szCs w:val="14"/>
          <w:color w:val="008000"/>
        </w:rPr>
      </w:pPr>
    </w:p>
    <w:p>
      <w:pPr>
        <w:ind w:right="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sold in multiple transactions at prices ranging from $7.00 to $7.09.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ind w:left="6820"/>
        <w:spacing w:after="0" w:line="183" w:lineRule="auto"/>
        <w:rPr>
          <w:sz w:val="20"/>
          <w:szCs w:val="20"/>
          <w:color w:val="auto"/>
        </w:rPr>
      </w:pPr>
      <w:r>
        <w:rPr>
          <w:rFonts w:ascii="Arial" w:cs="Arial" w:eastAsia="Arial" w:hAnsi="Arial"/>
          <w:sz w:val="17"/>
          <w:szCs w:val="17"/>
          <w:color w:val="0000FF"/>
        </w:rPr>
        <w:t xml:space="preserve">Levin Easterly Partners; By: /s/ </w:t>
      </w:r>
      <w:r>
        <w:rPr>
          <w:rFonts w:ascii="Arial" w:cs="Arial" w:eastAsia="Arial" w:hAnsi="Arial"/>
          <w:sz w:val="33"/>
          <w:szCs w:val="33"/>
          <w:color w:val="0000FF"/>
          <w:vertAlign w:val="subscript"/>
        </w:rPr>
        <w:t>08/15/2019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99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Darrell Crate,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0801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57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 Managing 08/15/2019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3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 Managing 08/15/2019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74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 Managing 08/15/2019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81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 Managing 08/15/2019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ectPr>
          <w:pgSz w:w="11900" w:h="16838" w:orient="portrait"/>
          <w:cols w:equalWidth="0" w:num="1">
            <w:col w:w="11340"/>
          </w:cols>
          <w:pgMar w:left="280" w:top="118" w:right="279" w:bottom="509"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181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Avshalom Kalichstein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8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1887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308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3088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04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0000FF"/>
        </w:rPr>
        <w:t>08/15/2019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08/15/2019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08/15/2019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08/15/2019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8860" w:space="260"/>
            <w:col w:w="2220"/>
          </w:cols>
          <w:pgMar w:left="280" w:top="118" w:right="279" w:bottom="509"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5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0" Type="http://schemas.openxmlformats.org/officeDocument/2006/relationships/image" Target="media/image5.png"/><Relationship Id="rId22"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12" Type="http://schemas.openxmlformats.org/officeDocument/2006/relationships/hyperlink" Target="http://www.sec.gov/cgi-bin/browse-edgar?action=getcompany&amp;CIK=0001766150"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773034" TargetMode="External"/><Relationship Id="rId15" Type="http://schemas.openxmlformats.org/officeDocument/2006/relationships/hyperlink" Target="http://www.sec.gov/cgi-bin/browse-edgar?action=getcompany&amp;CIK=0001773035" TargetMode="External"/><Relationship Id="rId16" Type="http://schemas.openxmlformats.org/officeDocument/2006/relationships/hyperlink" Target="http://www.sec.gov/cgi-bin/browse-edgar?action=getcompany&amp;CIK=0001773036" TargetMode="External"/><Relationship Id="rId17" Type="http://schemas.openxmlformats.org/officeDocument/2006/relationships/hyperlink" Target="http://www.sec.gov/cgi-bin/browse-edgar?action=getcompany&amp;CIK=0001773037" TargetMode="External"/><Relationship Id="rId18" Type="http://schemas.openxmlformats.org/officeDocument/2006/relationships/hyperlink" Target="http://www.sec.gov/cgi-bin/browse-edgar?action=getcompany&amp;CIK=0001201028" TargetMode="External"/><Relationship Id="rId19" Type="http://schemas.openxmlformats.org/officeDocument/2006/relationships/hyperlink" Target="http://www.sec.gov/cgi-bin/browse-edgar?action=getcompany&amp;CIK=0001344074" TargetMode="External"/><Relationship Id="rId21" Type="http://schemas.openxmlformats.org/officeDocument/2006/relationships/hyperlink" Target="http://www.sec.gov/cgi-bin/browse-edgar?action=getcompany&amp;CIK=0001773400" TargetMode="External"/><Relationship Id="rId23" Type="http://schemas.openxmlformats.org/officeDocument/2006/relationships/hyperlink" Target="http://www.sec.gov/cgi-bin/browse-edgar?action=getcompany&amp;CIK=00013548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2019-12-24T09:17:07Z</dcterms:created>
  <dcterms:modified xsi:type="dcterms:W3CDTF">2019-12-24T09:17:07Z</dcterms:modified>
</cp:coreProperties>
</file>