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jc w:val="left"/>
        <w:rPr/>
      </w:pPr>
      <w:bookmarkStart w:id="0" w:name="lab-20250828.htm"/>
      <w:bookmarkStart w:id="1" w:name="kslab20250828"/>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color w:val="000000"/>
          <w:sz w:val="20"/>
        </w:rPr>
      </w:pPr>
      <w:r>
        <w:rPr>
          <w:rFonts w:ascii="Times New Roman" w:hAnsi="Times New Roman"/>
          <w:color w:val="000000"/>
          <w:sz w:val="20"/>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28, 2025</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2506"/>
        <w:gridCol w:w="2296"/>
        <w:gridCol w:w="3391"/>
      </w:tblGrid>
      <w:tr>
        <w:trPr/>
        <w:tc>
          <w:tcPr>
            <w:tcW w:w="25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w:t>
            </w:r>
          </w:p>
        </w:tc>
        <w:tc>
          <w:tcPr>
            <w:tcW w:w="22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r>
        <w:trPr/>
        <w:tc>
          <w:tcPr>
            <w:tcW w:w="819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 Tower Place, Suite 2000</w:t>
            </w:r>
          </w:p>
          <w:p>
            <w:pPr>
              <w:pStyle w:val="TableContents"/>
              <w:bidi w:val="0"/>
              <w:spacing w:before="0" w:after="283"/>
              <w:jc w:val="center"/>
              <w:rPr>
                <w:rFonts w:ascii="Times New Roman" w:hAnsi="Times New Roman"/>
                <w:sz w:val="20"/>
              </w:rPr>
            </w:pPr>
            <w:r>
              <w:rPr>
                <w:rFonts w:ascii="Times New Roman" w:hAnsi="Times New Roman"/>
                <w:b/>
                <w:color w:val="000000"/>
                <w:sz w:val="20"/>
              </w:rPr>
              <w:t>South San Francisco, California</w:t>
            </w:r>
            <w:r>
              <w:rPr>
                <w:rFonts w:ascii="Times New Roman" w:hAnsi="Times New Roman"/>
                <w:color w:val="000000"/>
                <w:sz w:val="20"/>
              </w:rPr>
              <w:t xml:space="preserve"> </w:t>
            </w:r>
            <w:r>
              <w:rPr>
                <w:rFonts w:ascii="Times New Roman" w:hAnsi="Times New Roman"/>
                <w:b/>
                <w:color w:val="000000"/>
                <w:sz w:val="20"/>
              </w:rPr>
              <w:t>94080</w:t>
            </w:r>
          </w:p>
        </w:tc>
      </w:tr>
      <w:tr>
        <w:trPr/>
        <w:tc>
          <w:tcPr>
            <w:tcW w:w="8193" w:type="dxa"/>
            <w:gridSpan w:val="3"/>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(Address of principal executive offices and zip code)</w:t>
            </w:r>
          </w:p>
        </w:tc>
      </w:tr>
      <w:tr>
        <w:trPr/>
        <w:tc>
          <w:tcPr>
            <w:tcW w:w="819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19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2.05. Costs Associated with Exit or Disposal Activities</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28, 2025, Standard BioTools Inc. (the “Company”) determined to consolidate its South San Francisco-based R&amp;D capabilities into its Singapore facility to co-locate with its manufacturing operations and to implement a reduction-in-force of certain U.S. employees in the Company’s R&amp;D function, including members of its management team. This is part of a plan to restructure the Company’s operating expenses to improve operational efficiency and reduce operating costs, while supporting the execution of the Company’s long-term strategic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currently expects expenses related to the reduction-in-force, consisting primarily of cash severance and termination benefits and related costs, to be approximately $3.6 million, which includes approximately $0.9 million of non-cash expenses related to vesting of share-based awards. These estimates are subject to a number of assumptions, and actual results may differ. The Company may also incur additional costs not currently contemplated due to events that may occur as a result of, or that are associated with, the operational restructuring plan, including the reduction-in-force. The Company expects these costs to be payable over the next several months. </w:t>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This Current Report on Form 8-K contains “forward-looking statements” within the meaning of the Private Securities Litigation Reform Act of 1995, including, but not limited to, statements related to the expected costs and timing of costs associated with the reduction-in-force and expected reductions of operating expenses.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In addition, the Company’s costs may be greater than anticipated and the workforce and operating expense reductions may have an adverse impact on the Company’s sales and development activities. Additionally, these forward-looking statements should be considered in conjunction with the cautionary statements and risk factors described in the Company’s Annual Report on Form 10-K for the year ended December 31, 2024, Quarterly Report on Form 10-Q for the quarter ended June 30, 2025, and its other filings filed from time to time with the Securities and Exchange Commission. The Company does not assume any obligation to update any forward-looking statement, except as required by law. </w:t>
      </w:r>
    </w:p>
    <w:p>
      <w:pPr>
        <w:pStyle w:val="TextBody"/>
        <w:bidi w:val="0"/>
        <w:jc w:val="left"/>
        <w:rPr/>
      </w:pPr>
      <w:r>
        <w:rPr/>
        <w:t> </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20"/>
        <w:jc w:val="left"/>
        <w:rPr/>
      </w:pPr>
      <w:r>
        <w:rPr/>
        <w:t> </w:t>
      </w:r>
    </w:p>
    <w:tbl>
      <w:tblPr>
        <w:tblW w:w="5337" w:type="dxa"/>
        <w:jc w:val="left"/>
        <w:tblInd w:w="0" w:type="dxa"/>
        <w:tblLayout w:type="fixed"/>
        <w:tblCellMar>
          <w:top w:w="28" w:type="dxa"/>
          <w:left w:w="28" w:type="dxa"/>
          <w:bottom w:w="28" w:type="dxa"/>
          <w:right w:w="28" w:type="dxa"/>
        </w:tblCellMar>
      </w:tblPr>
      <w:tblGrid>
        <w:gridCol w:w="556"/>
        <w:gridCol w:w="146"/>
        <w:gridCol w:w="1621"/>
        <w:gridCol w:w="166"/>
        <w:gridCol w:w="651"/>
        <w:gridCol w:w="166"/>
        <w:gridCol w:w="203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 2025</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84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/s/ Alex Kim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Alex Kim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4240</Characters>
  <CharactersWithSpaces>4976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