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3,108,104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ectPr>
          <w:pgSz w:w="11900" w:h="16855"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3,108,104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3,108,104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34385P108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 A church plan that is excluded from the definition of an investment company under Section 3(c) (4) of the Investment Company</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Act of 1940.</w:t>
      </w:r>
    </w:p>
    <w:p>
      <w:pPr>
        <w:spacing w:after="0" w:line="207"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3,108,104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3,108,104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3,108,104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473" w:lineRule="auto"/>
        <w:rPr>
          <w:sz w:val="20"/>
          <w:szCs w:val="20"/>
          <w:color w:val="auto"/>
        </w:rPr>
      </w:pPr>
      <w:r>
        <w:rPr>
          <w:rFonts w:ascii="Courier New" w:cs="Courier New" w:eastAsia="Courier New" w:hAnsi="Courier New"/>
          <w:sz w:val="18"/>
          <w:szCs w:val="18"/>
          <w:color w:val="auto"/>
        </w:rPr>
        <w:t>the date hereof the reporting person has ceased to be the beneficial owner of more than five percent of the securities, check the following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2019-12-07T03:44:38Z</dcterms:created>
  <dcterms:modified xsi:type="dcterms:W3CDTF">2019-12-07T03:44:38Z</dcterms:modified>
</cp:coreProperties>
</file>