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4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March 6, 2018</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300"/>
          </w:cols>
          <w:pgMar w:left="240" w:top="796" w:right="359" w:bottom="1440" w:gutter="0" w:footer="0" w:header="0"/>
        </w:sectPr>
      </w:pPr>
    </w:p>
    <w:p>
      <w:pPr>
        <w:spacing w:after="0" w:line="207" w:lineRule="exact"/>
        <w:rPr>
          <w:sz w:val="24"/>
          <w:szCs w:val="24"/>
          <w:color w:val="auto"/>
        </w:rPr>
      </w:pPr>
    </w:p>
    <w:p>
      <w:pPr>
        <w:jc w:val="center"/>
        <w:ind w:right="3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001-34180</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77-0513190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00" w:space="720"/>
            <w:col w:w="2680" w:space="720"/>
            <w:col w:w="3180"/>
          </w:cols>
          <w:pgMar w:left="240" w:top="796" w:right="359" w:bottom="1440" w:gutter="0" w:footer="0" w:header="0"/>
          <w:type w:val="continuous"/>
        </w:sectPr>
      </w:pPr>
    </w:p>
    <w:p>
      <w:pPr>
        <w:spacing w:after="0" w:line="24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7000 Shoreline Court, Suite 100, South San Francisco, California 94080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(650) 266-6000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101"/>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60" w:hanging="101"/>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60" w:hanging="101"/>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60" w:hanging="101"/>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11"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00"/>
          </w:cols>
          <w:pgMar w:left="240" w:top="796" w:right="35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March 6, 2018, the Fluidigm Corporation (the “Company”) entered into a Second Supplemental Indenture (the “Second Supplemental Indenture”) to the Indenture, dated February 4, 2014, between the Company and U.S. Bank National Association (the “Base Indenture” and, together with the Second Supplemental Indenture, the “Indenture”), relating to the issuance by the Company of its 2.75% Exchange Convertible Senior Notes due 2034 (the “Exchange Notes”) pursuant to the previously disclosed privately-negotiated exchange agreements.</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Exchange Notes will have an interest rate of 2.75% per year per $1,000, which will accrue on the principal amount of Exchange Notes, payable in cash semi-annually in arrears on February 1 and August 1 of each year, beginning August 1, 2018, and will mature on February 1, 2034, unless earlier repurchased, redeemed or converted. Interest on the Exchange Notes will accrue from February 1, 2018.</w:t>
      </w:r>
    </w:p>
    <w:p>
      <w:pPr>
        <w:spacing w:after="0" w:line="18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Exchange Notes will have an initial conversion rate of 126.9438 shares of the Company’s common stock, par value $0.001 per share (“Common Stock”), per $1,000 principal amount, subject to adjustment, and will be convertible into cash, shares of the Company’s Common Stock or any combination of cash and shares of the Company’s Common Stock, at the Company’s election. The Exchange Notes will be convertible at the option of the holder at any time prior to the business day immediately preceding the maturity date for the Exchange Notes. The Exchange Notes will also be convertible at the Company’s option upon certain conditions specified in the Indenture for the Exchange Notes (the “issuer’s conversion option”).</w:t>
      </w:r>
    </w:p>
    <w:p>
      <w:pPr>
        <w:spacing w:after="0" w:line="17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the event of a “fundamental change” (as defined in the Indenture), holders of the Exchange Notes may require the Company to repurchase all or a portion of their Exchange Notes at a repurchase price equal to 100% of the accreted principal amount of the Exchange Notes, plus accrued and unpaid interest, if any, to, but excluding, the repurchase date. Holders who convert their Exchange Notes voluntarily prior to the exercise of the Company’s issuer conversion option or in connection with a make-whole fundamental change prior to February 6, 2023 will, under, certain circumstances, be entitled to a make-whole premium in the form of an increase in the conversion rate determined by reference to a make-whole table set forth in the Indenture.</w:t>
      </w:r>
    </w:p>
    <w:p>
      <w:pPr>
        <w:spacing w:after="0" w:line="15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Holders of the Exchange Notes will have the right, at their option, to require the Company to purchase their Exchange Notes (i) on February 6, 2023, February 6, 2026 and February 6, 2029 or (ii) if the Company undergoes a fundamental change (as defined in the Indenture), in each case, at a repurchase price equal to 100% of the accreted principal amount of the Exchange Notes on the fundamental change repurchase date, plus accrued and unpaid interest, if any, to, but excluding the repurchase date.</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or after February 6, 2022, the Company may elect to redeem all or any portion of the Exchange Notes at a redemption price equal to 100% of the accreted principal amount of the Exchange Notes on the redemption date of the Exchange Notes, plus accrued and unpaid interest, if any, to, but excluding the redemption date.</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Exchange Notes will be the Company’s senior unsecured obligations and will rank senior in right of payment to any of the Company’s indebtedness that is expressly subordinated in right of payment to the Exchange Notes, will rank equally in right of payment with any of the Company’s unsecured indebtedness that is not so subordinated, will be effectively junior in right of payment to any of the Company’s secured indebtedness to the extent of the value of the assets securing such indebtedness and will be structurally subordinated to all indebtedness and other liabilities of the Company’s subsidiaries.</w:t>
      </w:r>
    </w:p>
    <w:p>
      <w:pPr>
        <w:spacing w:after="0" w:line="15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Each of the following events is considered an “event of default” with respect to the Exchange Notes, which may result in the acceleration of the accreted principal amount for the Exchange Notes in accordance with the provisions of the Indenture:</w:t>
      </w:r>
    </w:p>
    <w:p>
      <w:pPr>
        <w:spacing w:after="0" w:line="170" w:lineRule="exact"/>
        <w:rPr>
          <w:sz w:val="20"/>
          <w:szCs w:val="20"/>
          <w:color w:val="auto"/>
        </w:rPr>
      </w:pPr>
    </w:p>
    <w:p>
      <w:pPr>
        <w:ind w:left="540" w:right="60"/>
        <w:spacing w:after="0" w:line="277" w:lineRule="auto"/>
        <w:rPr>
          <w:sz w:val="20"/>
          <w:szCs w:val="20"/>
          <w:color w:val="auto"/>
        </w:rPr>
      </w:pPr>
      <w:r>
        <w:rPr>
          <w:rFonts w:ascii="Arial" w:cs="Arial" w:eastAsia="Arial" w:hAnsi="Arial"/>
          <w:sz w:val="18"/>
          <w:szCs w:val="18"/>
          <w:color w:val="auto"/>
        </w:rPr>
        <w:t>the Company’s failure to pay the accreted principal amount of the Exchange Notes or the repurchase price or redemption price for any Exchange Note when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-254635</wp:posOffset>
            </wp:positionV>
            <wp:extent cx="596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42" w:lineRule="exact"/>
        <w:rPr>
          <w:sz w:val="20"/>
          <w:szCs w:val="20"/>
          <w:color w:val="auto"/>
        </w:rPr>
      </w:pPr>
    </w:p>
    <w:p>
      <w:pPr>
        <w:ind w:left="540" w:right="260"/>
        <w:spacing w:after="0" w:line="277" w:lineRule="auto"/>
        <w:rPr>
          <w:sz w:val="20"/>
          <w:szCs w:val="20"/>
          <w:color w:val="auto"/>
        </w:rPr>
      </w:pPr>
      <w:r>
        <w:rPr>
          <w:rFonts w:ascii="Arial" w:cs="Arial" w:eastAsia="Arial" w:hAnsi="Arial"/>
          <w:sz w:val="18"/>
          <w:szCs w:val="18"/>
          <w:color w:val="auto"/>
        </w:rPr>
        <w:t>the Company’s failure to deliver the settlement amount upon conversion of any Exchange Note when due, which failure continues for five business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-254635</wp:posOffset>
            </wp:positionV>
            <wp:extent cx="5969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4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Company’s failure to pay any interest on any Exchange Note when due, and such failure continues for 30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-83185</wp:posOffset>
            </wp:positionV>
            <wp:extent cx="5969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97" w:lineRule="exact"/>
        <w:rPr>
          <w:sz w:val="20"/>
          <w:szCs w:val="20"/>
          <w:color w:val="auto"/>
        </w:rPr>
      </w:pPr>
    </w:p>
    <w:p>
      <w:pPr>
        <w:ind w:left="540" w:right="360"/>
        <w:spacing w:after="0" w:line="277" w:lineRule="auto"/>
        <w:rPr>
          <w:sz w:val="20"/>
          <w:szCs w:val="20"/>
          <w:color w:val="auto"/>
        </w:rPr>
      </w:pPr>
      <w:r>
        <w:rPr>
          <w:rFonts w:ascii="Arial" w:cs="Arial" w:eastAsia="Arial" w:hAnsi="Arial"/>
          <w:sz w:val="18"/>
          <w:szCs w:val="18"/>
          <w:color w:val="auto"/>
        </w:rPr>
        <w:t>the Company’s failure to provide timely notice of a fundamental change or a make-whole fundamental change in accordance with the terms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-254635</wp:posOffset>
            </wp:positionV>
            <wp:extent cx="5969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42" w:lineRule="exact"/>
        <w:rPr>
          <w:sz w:val="20"/>
          <w:szCs w:val="20"/>
          <w:color w:val="auto"/>
        </w:rPr>
      </w:pPr>
    </w:p>
    <w:p>
      <w:pPr>
        <w:ind w:left="540" w:right="40"/>
        <w:spacing w:after="0" w:line="277" w:lineRule="auto"/>
        <w:rPr>
          <w:sz w:val="20"/>
          <w:szCs w:val="20"/>
          <w:color w:val="auto"/>
        </w:rPr>
      </w:pPr>
      <w:r>
        <w:rPr>
          <w:rFonts w:ascii="Arial" w:cs="Arial" w:eastAsia="Arial" w:hAnsi="Arial"/>
          <w:sz w:val="18"/>
          <w:szCs w:val="18"/>
          <w:color w:val="auto"/>
        </w:rPr>
        <w:t>the Company’s failure to perform any other covenants required of it under the Indenture, and such failure continues for 60 calendar days after notice is given in accordance with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-254635</wp:posOffset>
            </wp:positionV>
            <wp:extent cx="596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42" w:lineRule="exact"/>
        <w:rPr>
          <w:sz w:val="20"/>
          <w:szCs w:val="20"/>
          <w:color w:val="auto"/>
        </w:rPr>
      </w:pPr>
    </w:p>
    <w:p>
      <w:pPr>
        <w:ind w:left="540" w:right="180"/>
        <w:spacing w:after="0" w:line="257" w:lineRule="auto"/>
        <w:rPr>
          <w:sz w:val="20"/>
          <w:szCs w:val="20"/>
          <w:color w:val="auto"/>
        </w:rPr>
      </w:pPr>
      <w:r>
        <w:rPr>
          <w:rFonts w:ascii="Arial" w:cs="Arial" w:eastAsia="Arial" w:hAnsi="Arial"/>
          <w:sz w:val="18"/>
          <w:szCs w:val="18"/>
          <w:color w:val="auto"/>
        </w:rPr>
        <w:t>the Company’s failure, or the failure of any of its significant subsidiaries (as defined in Regulation S-X under the Securities Act) to pay at maturity any Indebtedness (as defined in the Indenture) in a principal amount in excess of $15 million, or the acceleration of Indebtedness of the Company or any of its significant subsidiaries in an amount in excess of $15 million (unless such Indebtedness is discharged or such acceleration has been cured, waived, rescinded or annulled, in either case, within a period of 30 days after written notice is provided to the Company in accordance with the Indenture);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-655320</wp:posOffset>
            </wp:positionV>
            <wp:extent cx="5969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6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certain events of bankruptcy, insolvency or reorganization with respect to the Company or any of its significant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-83185</wp:posOffset>
            </wp:positionV>
            <wp:extent cx="5969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ind w:right="80"/>
        <w:spacing w:after="0" w:line="264" w:lineRule="auto"/>
        <w:rPr>
          <w:sz w:val="20"/>
          <w:szCs w:val="20"/>
          <w:color w:val="auto"/>
        </w:rPr>
      </w:pPr>
      <w:r>
        <w:rPr>
          <w:rFonts w:ascii="Arial" w:cs="Arial" w:eastAsia="Arial" w:hAnsi="Arial"/>
          <w:sz w:val="18"/>
          <w:szCs w:val="18"/>
          <w:color w:val="auto"/>
        </w:rPr>
        <w:t>The summary of the foregoing is qualified in its entirety by reference to the text of the Base Indenture, the Second Supplemental Indenture and the Form of Exchange Note included in the Second Supplemental Indenture which are filed as Exhibits 4.1, 4.2 and 4.3, respectively, with this Current Report on Form 8-K and are incorporated herein by reference.</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description of the Exchange Notes and Indenture described in Item 1.01 of this Current Report on Form 8-K is incorporated herein by reference into this Item 2.03.</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6"/>
          <w:szCs w:val="16"/>
          <w:b w:val="1"/>
          <w:bCs w:val="1"/>
          <w:color w:val="auto"/>
        </w:rPr>
        <w:t>Unregistered Sales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1.01 of this Current Report on Form 8-K is incorporated by reference into this Item 3.02.</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gridSpan w:val="4"/>
          </w:tcPr>
          <w:p>
            <w:pPr>
              <w:spacing w:after="0"/>
              <w:rPr>
                <w:sz w:val="20"/>
                <w:szCs w:val="20"/>
                <w:color w:val="auto"/>
              </w:rPr>
            </w:pPr>
            <w:r>
              <w:rPr>
                <w:rFonts w:ascii="Arial" w:cs="Arial" w:eastAsia="Arial" w:hAnsi="Arial"/>
                <w:sz w:val="18"/>
                <w:szCs w:val="18"/>
                <w:b w:val="1"/>
                <w:bCs w:val="1"/>
                <w:color w:val="auto"/>
              </w:rPr>
              <w:t>(d) Exhibits.</w:t>
            </w:r>
          </w:p>
        </w:tc>
        <w:tc>
          <w:tcPr>
            <w:tcW w:w="35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2400" w:type="dxa"/>
            <w:vAlign w:val="bottom"/>
            <w:tcBorders>
              <w:bottom w:val="single" w:sz="8" w:color="auto"/>
            </w:tcBorders>
            <w:gridSpan w:val="3"/>
          </w:tcPr>
          <w:p>
            <w:pPr>
              <w:jc w:val="center"/>
              <w:ind w:right="600"/>
              <w:spacing w:after="0"/>
              <w:rPr>
                <w:sz w:val="20"/>
                <w:szCs w:val="20"/>
                <w:color w:val="auto"/>
              </w:rPr>
            </w:pPr>
            <w:r>
              <w:rPr>
                <w:rFonts w:ascii="Arial" w:cs="Arial" w:eastAsia="Arial" w:hAnsi="Arial"/>
                <w:sz w:val="18"/>
                <w:szCs w:val="18"/>
                <w:b w:val="1"/>
                <w:bCs w:val="1"/>
                <w:color w:val="auto"/>
                <w:w w:val="93"/>
              </w:rPr>
              <w:t>Exhibit No.</w:t>
            </w:r>
          </w:p>
        </w:tc>
        <w:tc>
          <w:tcPr>
            <w:tcW w:w="900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1020" w:type="dxa"/>
            <w:vAlign w:val="bottom"/>
            <w:gridSpan w:val="2"/>
          </w:tcPr>
          <w:p>
            <w:pPr>
              <w:jc w:val="center"/>
              <w:ind w:left="710"/>
              <w:spacing w:after="0" w:line="170" w:lineRule="exact"/>
              <w:rPr>
                <w:rFonts w:ascii="Arial" w:cs="Arial" w:eastAsia="Arial" w:hAnsi="Arial"/>
                <w:sz w:val="18"/>
                <w:szCs w:val="18"/>
                <w:color w:val="0000EE"/>
                <w:w w:val="87"/>
              </w:rPr>
            </w:pPr>
            <w:hyperlink r:id="rId2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1380" w:type="dxa"/>
            <w:vAlign w:val="bottom"/>
          </w:tcPr>
          <w:p>
            <w:pPr>
              <w:spacing w:after="0"/>
              <w:rPr>
                <w:sz w:val="14"/>
                <w:szCs w:val="14"/>
                <w:color w:val="auto"/>
              </w:rPr>
            </w:pPr>
          </w:p>
        </w:tc>
        <w:tc>
          <w:tcPr>
            <w:tcW w:w="9000" w:type="dxa"/>
            <w:vAlign w:val="bottom"/>
            <w:gridSpan w:val="4"/>
          </w:tcPr>
          <w:p>
            <w:pPr>
              <w:spacing w:after="0" w:line="170" w:lineRule="exact"/>
              <w:rPr>
                <w:rFonts w:ascii="Arial" w:cs="Arial" w:eastAsia="Arial" w:hAnsi="Arial"/>
                <w:sz w:val="18"/>
                <w:szCs w:val="18"/>
                <w:color w:val="0000EE"/>
              </w:rPr>
            </w:pPr>
            <w:hyperlink r:id="rId23">
              <w:r>
                <w:rPr>
                  <w:rFonts w:ascii="Arial" w:cs="Arial" w:eastAsia="Arial" w:hAnsi="Arial"/>
                  <w:sz w:val="18"/>
                  <w:szCs w:val="18"/>
                  <w:color w:val="0000EE"/>
                </w:rPr>
                <w:t>Indenture, dated February 4, 2014, between the Company and U.S. Bank National Association</w:t>
              </w:r>
            </w:hyperlink>
            <w:r>
              <w:rPr>
                <w:rFonts w:ascii="Arial" w:cs="Arial" w:eastAsia="Arial" w:hAnsi="Arial"/>
                <w:sz w:val="18"/>
                <w:szCs w:val="18"/>
                <w:color w:val="000000"/>
              </w:rPr>
              <w:t>*</w:t>
            </w:r>
          </w:p>
        </w:tc>
      </w:tr>
      <w:tr>
        <w:trPr>
          <w:trHeight w:val="20"/>
        </w:trPr>
        <w:tc>
          <w:tcPr>
            <w:tcW w:w="82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540" w:type="dxa"/>
            <w:vAlign w:val="bottom"/>
            <w:shd w:val="clear" w:color="auto" w:fill="0000EE"/>
          </w:tcPr>
          <w:p>
            <w:pPr>
              <w:spacing w:after="0" w:line="20" w:lineRule="exact"/>
              <w:rPr>
                <w:sz w:val="1"/>
                <w:szCs w:val="1"/>
                <w:color w:val="auto"/>
              </w:rPr>
            </w:pPr>
          </w:p>
        </w:tc>
        <w:tc>
          <w:tcPr>
            <w:tcW w:w="326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040" w:type="dxa"/>
            <w:vAlign w:val="bottom"/>
            <w:gridSpan w:val="3"/>
          </w:tcPr>
          <w:p>
            <w:pPr>
              <w:jc w:val="center"/>
              <w:ind w:left="730"/>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1380" w:type="dxa"/>
            <w:vAlign w:val="bottom"/>
          </w:tcPr>
          <w:p>
            <w:pPr>
              <w:spacing w:after="0"/>
              <w:rPr>
                <w:sz w:val="17"/>
                <w:szCs w:val="17"/>
                <w:color w:val="auto"/>
              </w:rPr>
            </w:pPr>
          </w:p>
        </w:tc>
        <w:tc>
          <w:tcPr>
            <w:tcW w:w="9000" w:type="dxa"/>
            <w:vAlign w:val="bottom"/>
            <w:gridSpan w:val="4"/>
          </w:tcPr>
          <w:p>
            <w:pPr>
              <w:spacing w:after="0" w:line="196" w:lineRule="exact"/>
              <w:rPr>
                <w:rFonts w:ascii="Arial" w:cs="Arial" w:eastAsia="Arial" w:hAnsi="Arial"/>
                <w:sz w:val="18"/>
                <w:szCs w:val="18"/>
                <w:color w:val="0000EE"/>
                <w:w w:val="98"/>
              </w:rPr>
            </w:pPr>
            <w:hyperlink w:anchor="page6">
              <w:r>
                <w:rPr>
                  <w:rFonts w:ascii="Arial" w:cs="Arial" w:eastAsia="Arial" w:hAnsi="Arial"/>
                  <w:sz w:val="18"/>
                  <w:szCs w:val="18"/>
                  <w:color w:val="0000EE"/>
                  <w:w w:val="98"/>
                </w:rPr>
                <w:t>Second Supplemental Indenture, dated March 6, 2018, between the Company and U.S. Bank National Association</w:t>
              </w:r>
            </w:hyperlink>
          </w:p>
        </w:tc>
      </w:tr>
      <w:tr>
        <w:trPr>
          <w:trHeight w:val="20"/>
        </w:trPr>
        <w:tc>
          <w:tcPr>
            <w:tcW w:w="82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540" w:type="dxa"/>
            <w:vAlign w:val="bottom"/>
            <w:shd w:val="clear" w:color="auto" w:fill="0000EE"/>
          </w:tcPr>
          <w:p>
            <w:pPr>
              <w:spacing w:after="0" w:line="20" w:lineRule="exact"/>
              <w:rPr>
                <w:sz w:val="1"/>
                <w:szCs w:val="1"/>
                <w:color w:val="auto"/>
              </w:rPr>
            </w:pPr>
          </w:p>
        </w:tc>
        <w:tc>
          <w:tcPr>
            <w:tcW w:w="468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040" w:type="dxa"/>
            <w:vAlign w:val="bottom"/>
            <w:gridSpan w:val="3"/>
          </w:tcPr>
          <w:p>
            <w:pPr>
              <w:jc w:val="center"/>
              <w:ind w:left="730"/>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1380" w:type="dxa"/>
            <w:vAlign w:val="bottom"/>
          </w:tcPr>
          <w:p>
            <w:pPr>
              <w:spacing w:after="0"/>
              <w:rPr>
                <w:sz w:val="17"/>
                <w:szCs w:val="17"/>
                <w:color w:val="auto"/>
              </w:rPr>
            </w:pPr>
          </w:p>
        </w:tc>
        <w:tc>
          <w:tcPr>
            <w:tcW w:w="9000" w:type="dxa"/>
            <w:vAlign w:val="bottom"/>
            <w:gridSpan w:val="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Form of Exchange Note (included in Exhibit 4.2)</w:t>
              </w:r>
            </w:hyperlink>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540" w:type="dxa"/>
            <w:vAlign w:val="bottom"/>
            <w:shd w:val="clear" w:color="auto" w:fill="0000EE"/>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Incorporated by reference to the Company’s Current Report on Form 8-K filed on February 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860" w:type="dxa"/>
            <w:vAlign w:val="bottom"/>
            <w:gridSpan w:val="3"/>
          </w:tcPr>
          <w:p>
            <w:pPr>
              <w:ind w:left="2060"/>
              <w:spacing w:after="0"/>
              <w:rPr>
                <w:sz w:val="20"/>
                <w:szCs w:val="20"/>
                <w:color w:val="auto"/>
              </w:rPr>
            </w:pPr>
            <w:r>
              <w:rPr>
                <w:rFonts w:ascii="Arial" w:cs="Arial" w:eastAsia="Arial" w:hAnsi="Arial"/>
                <w:sz w:val="18"/>
                <w:szCs w:val="18"/>
                <w:b w:val="1"/>
                <w:bCs w:val="1"/>
                <w:color w:val="auto"/>
              </w:rPr>
              <w:t>FLUIDIGM CORPORATION</w:t>
            </w:r>
          </w:p>
        </w:tc>
      </w:tr>
      <w:tr>
        <w:trPr>
          <w:trHeight w:val="608"/>
        </w:trPr>
        <w:tc>
          <w:tcPr>
            <w:tcW w:w="3560" w:type="dxa"/>
            <w:vAlign w:val="bottom"/>
          </w:tcPr>
          <w:p>
            <w:pPr>
              <w:spacing w:after="0"/>
              <w:rPr>
                <w:sz w:val="20"/>
                <w:szCs w:val="20"/>
                <w:color w:val="auto"/>
              </w:rPr>
            </w:pPr>
            <w:r>
              <w:rPr>
                <w:rFonts w:ascii="Arial" w:cs="Arial" w:eastAsia="Arial" w:hAnsi="Arial"/>
                <w:sz w:val="18"/>
                <w:szCs w:val="18"/>
                <w:color w:val="auto"/>
              </w:rPr>
              <w:t>Date: March 6, 2018</w:t>
            </w:r>
          </w:p>
        </w:tc>
        <w:tc>
          <w:tcPr>
            <w:tcW w:w="7860" w:type="dxa"/>
            <w:vAlign w:val="bottom"/>
            <w:gridSpan w:val="3"/>
          </w:tcPr>
          <w:p>
            <w:pPr>
              <w:ind w:left="2060"/>
              <w:spacing w:after="0"/>
              <w:rPr>
                <w:sz w:val="20"/>
                <w:szCs w:val="20"/>
                <w:color w:val="auto"/>
              </w:rPr>
            </w:pPr>
            <w:r>
              <w:rPr>
                <w:rFonts w:ascii="Arial" w:cs="Arial" w:eastAsia="Arial" w:hAnsi="Arial"/>
                <w:sz w:val="18"/>
                <w:szCs w:val="18"/>
                <w:color w:val="auto"/>
              </w:rPr>
              <w:t>By:  /s/ Vikram Jog</w:t>
            </w:r>
          </w:p>
        </w:tc>
      </w:tr>
      <w:tr>
        <w:trPr>
          <w:trHeight w:val="222"/>
        </w:trPr>
        <w:tc>
          <w:tcPr>
            <w:tcW w:w="35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Vikram Jog</w:t>
            </w:r>
          </w:p>
        </w:tc>
        <w:tc>
          <w:tcPr>
            <w:tcW w:w="4320" w:type="dxa"/>
            <w:vAlign w:val="bottom"/>
          </w:tcPr>
          <w:p>
            <w:pPr>
              <w:spacing w:after="0"/>
              <w:rPr>
                <w:sz w:val="19"/>
                <w:szCs w:val="19"/>
                <w:color w:val="auto"/>
              </w:rPr>
            </w:pPr>
          </w:p>
        </w:tc>
      </w:tr>
      <w:tr>
        <w:trPr>
          <w:trHeight w:val="230"/>
        </w:trPr>
        <w:tc>
          <w:tcPr>
            <w:tcW w:w="35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891"/>
        </w:trPr>
        <w:tc>
          <w:tcPr>
            <w:tcW w:w="35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68"/>
        </w:trPr>
        <w:tc>
          <w:tcPr>
            <w:tcW w:w="3560" w:type="dxa"/>
            <w:vAlign w:val="bottom"/>
            <w:shd w:val="clear" w:color="auto" w:fill="000000"/>
          </w:tcPr>
          <w:p>
            <w:pPr>
              <w:spacing w:after="0"/>
              <w:rPr>
                <w:sz w:val="5"/>
                <w:szCs w:val="5"/>
                <w:color w:val="auto"/>
              </w:rPr>
            </w:pPr>
          </w:p>
        </w:tc>
        <w:tc>
          <w:tcPr>
            <w:tcW w:w="250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432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688"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000" w:type="dxa"/>
            <w:vAlign w:val="bottom"/>
            <w:gridSpan w:val="4"/>
          </w:tcPr>
          <w:p>
            <w:pPr>
              <w:ind w:left="260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2420" w:type="dxa"/>
            <w:vAlign w:val="bottom"/>
            <w:tcBorders>
              <w:bottom w:val="single" w:sz="8" w:color="auto"/>
            </w:tcBorders>
            <w:gridSpan w:val="3"/>
          </w:tcPr>
          <w:p>
            <w:pPr>
              <w:jc w:val="center"/>
              <w:ind w:right="580"/>
              <w:spacing w:after="0"/>
              <w:rPr>
                <w:sz w:val="20"/>
                <w:szCs w:val="20"/>
                <w:color w:val="auto"/>
              </w:rPr>
            </w:pPr>
            <w:r>
              <w:rPr>
                <w:rFonts w:ascii="Arial" w:cs="Arial" w:eastAsia="Arial" w:hAnsi="Arial"/>
                <w:sz w:val="18"/>
                <w:szCs w:val="18"/>
                <w:b w:val="1"/>
                <w:bCs w:val="1"/>
                <w:color w:val="auto"/>
                <w:w w:val="93"/>
              </w:rPr>
              <w:t>Exhibit No.</w:t>
            </w:r>
          </w:p>
        </w:tc>
        <w:tc>
          <w:tcPr>
            <w:tcW w:w="900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040" w:type="dxa"/>
            <w:vAlign w:val="bottom"/>
            <w:gridSpan w:val="2"/>
          </w:tcPr>
          <w:p>
            <w:pPr>
              <w:jc w:val="center"/>
              <w:ind w:left="730"/>
              <w:spacing w:after="0" w:line="170" w:lineRule="exact"/>
              <w:rPr>
                <w:rFonts w:ascii="Arial" w:cs="Arial" w:eastAsia="Arial" w:hAnsi="Arial"/>
                <w:sz w:val="18"/>
                <w:szCs w:val="18"/>
                <w:color w:val="0000EE"/>
                <w:w w:val="87"/>
              </w:rPr>
            </w:pPr>
            <w:hyperlink r:id="rId2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1380" w:type="dxa"/>
            <w:vAlign w:val="bottom"/>
          </w:tcPr>
          <w:p>
            <w:pPr>
              <w:spacing w:after="0"/>
              <w:rPr>
                <w:sz w:val="14"/>
                <w:szCs w:val="14"/>
                <w:color w:val="auto"/>
              </w:rPr>
            </w:pPr>
          </w:p>
        </w:tc>
        <w:tc>
          <w:tcPr>
            <w:tcW w:w="9000" w:type="dxa"/>
            <w:vAlign w:val="bottom"/>
            <w:gridSpan w:val="4"/>
          </w:tcPr>
          <w:p>
            <w:pPr>
              <w:spacing w:after="0" w:line="170" w:lineRule="exact"/>
              <w:rPr>
                <w:rFonts w:ascii="Arial" w:cs="Arial" w:eastAsia="Arial" w:hAnsi="Arial"/>
                <w:sz w:val="18"/>
                <w:szCs w:val="18"/>
                <w:color w:val="0000EE"/>
              </w:rPr>
            </w:pPr>
            <w:hyperlink r:id="rId23">
              <w:r>
                <w:rPr>
                  <w:rFonts w:ascii="Arial" w:cs="Arial" w:eastAsia="Arial" w:hAnsi="Arial"/>
                  <w:sz w:val="18"/>
                  <w:szCs w:val="18"/>
                  <w:color w:val="0000EE"/>
                </w:rPr>
                <w:t>Indenture, dated February 4, 2014, between the Company and U.S. Bank National Association</w:t>
              </w:r>
            </w:hyperlink>
            <w:r>
              <w:rPr>
                <w:rFonts w:ascii="Arial" w:cs="Arial" w:eastAsia="Arial" w:hAnsi="Arial"/>
                <w:sz w:val="18"/>
                <w:szCs w:val="18"/>
                <w:color w:val="000000"/>
              </w:rPr>
              <w:t>*</w:t>
            </w:r>
          </w:p>
        </w:tc>
      </w:tr>
      <w:tr>
        <w:trPr>
          <w:trHeight w:val="20"/>
        </w:trPr>
        <w:tc>
          <w:tcPr>
            <w:tcW w:w="8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540" w:type="dxa"/>
            <w:vAlign w:val="bottom"/>
            <w:shd w:val="clear" w:color="auto" w:fill="0000EE"/>
          </w:tcPr>
          <w:p>
            <w:pPr>
              <w:spacing w:after="0" w:line="20" w:lineRule="exact"/>
              <w:rPr>
                <w:sz w:val="1"/>
                <w:szCs w:val="1"/>
                <w:color w:val="auto"/>
              </w:rPr>
            </w:pPr>
          </w:p>
        </w:tc>
        <w:tc>
          <w:tcPr>
            <w:tcW w:w="326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040" w:type="dxa"/>
            <w:vAlign w:val="bottom"/>
            <w:gridSpan w:val="2"/>
          </w:tcPr>
          <w:p>
            <w:pPr>
              <w:jc w:val="center"/>
              <w:ind w:left="730"/>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1380" w:type="dxa"/>
            <w:vAlign w:val="bottom"/>
          </w:tcPr>
          <w:p>
            <w:pPr>
              <w:spacing w:after="0"/>
              <w:rPr>
                <w:sz w:val="17"/>
                <w:szCs w:val="17"/>
                <w:color w:val="auto"/>
              </w:rPr>
            </w:pPr>
          </w:p>
        </w:tc>
        <w:tc>
          <w:tcPr>
            <w:tcW w:w="9000" w:type="dxa"/>
            <w:vAlign w:val="bottom"/>
            <w:gridSpan w:val="4"/>
          </w:tcPr>
          <w:p>
            <w:pPr>
              <w:spacing w:after="0" w:line="196" w:lineRule="exact"/>
              <w:rPr>
                <w:rFonts w:ascii="Arial" w:cs="Arial" w:eastAsia="Arial" w:hAnsi="Arial"/>
                <w:sz w:val="18"/>
                <w:szCs w:val="18"/>
                <w:color w:val="0000EE"/>
                <w:w w:val="98"/>
              </w:rPr>
            </w:pPr>
            <w:hyperlink w:anchor="page6">
              <w:r>
                <w:rPr>
                  <w:rFonts w:ascii="Arial" w:cs="Arial" w:eastAsia="Arial" w:hAnsi="Arial"/>
                  <w:sz w:val="18"/>
                  <w:szCs w:val="18"/>
                  <w:color w:val="0000EE"/>
                  <w:w w:val="98"/>
                </w:rPr>
                <w:t>Second Supplemental Indenture, dated March 6, 2018, between the Company and U.S. Bank National Association</w:t>
              </w:r>
            </w:hyperlink>
          </w:p>
        </w:tc>
      </w:tr>
      <w:tr>
        <w:trPr>
          <w:trHeight w:val="20"/>
        </w:trPr>
        <w:tc>
          <w:tcPr>
            <w:tcW w:w="8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540" w:type="dxa"/>
            <w:vAlign w:val="bottom"/>
            <w:shd w:val="clear" w:color="auto" w:fill="0000EE"/>
          </w:tcPr>
          <w:p>
            <w:pPr>
              <w:spacing w:after="0" w:line="20" w:lineRule="exact"/>
              <w:rPr>
                <w:sz w:val="1"/>
                <w:szCs w:val="1"/>
                <w:color w:val="auto"/>
              </w:rPr>
            </w:pPr>
          </w:p>
        </w:tc>
        <w:tc>
          <w:tcPr>
            <w:tcW w:w="468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040" w:type="dxa"/>
            <w:vAlign w:val="bottom"/>
            <w:gridSpan w:val="2"/>
          </w:tcPr>
          <w:p>
            <w:pPr>
              <w:jc w:val="center"/>
              <w:ind w:left="730"/>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1380" w:type="dxa"/>
            <w:vAlign w:val="bottom"/>
          </w:tcPr>
          <w:p>
            <w:pPr>
              <w:spacing w:after="0"/>
              <w:rPr>
                <w:sz w:val="17"/>
                <w:szCs w:val="17"/>
                <w:color w:val="auto"/>
              </w:rPr>
            </w:pPr>
          </w:p>
        </w:tc>
        <w:tc>
          <w:tcPr>
            <w:tcW w:w="9000" w:type="dxa"/>
            <w:vAlign w:val="bottom"/>
            <w:gridSpan w:val="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Form of Exchange Note (included in Exhibit 4.2)</w:t>
              </w:r>
            </w:hyperlink>
          </w:p>
        </w:tc>
      </w:tr>
      <w:tr>
        <w:trPr>
          <w:trHeight w:val="20"/>
        </w:trPr>
        <w:tc>
          <w:tcPr>
            <w:tcW w:w="8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540" w:type="dxa"/>
            <w:vAlign w:val="bottom"/>
            <w:shd w:val="clear" w:color="auto" w:fill="0000EE"/>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Incorporated by reference to the Company’s Current Report on Form 8-K filed on February 4, 2014.</w:t>
      </w:r>
    </w:p>
    <w:p>
      <w:pPr>
        <w:sectPr>
          <w:pgSz w:w="11900" w:h="16838" w:orient="portrait"/>
          <w:cols w:equalWidth="0" w:num="1">
            <w:col w:w="11420"/>
          </w:cols>
          <w:pgMar w:left="240" w:top="688"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174625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191770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FLUIDIGM CORPORATION, as</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ISSUER</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U.S. BANK NATIONAL ASSOCIATION,</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1352550</wp:posOffset>
            </wp:positionH>
            <wp:positionV relativeFrom="paragraph">
              <wp:posOffset>163195</wp:posOffset>
            </wp:positionV>
            <wp:extent cx="32848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SECOND SUPPLEMENTAL INDENTURE</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DATED AS OF MARCH 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1352550</wp:posOffset>
            </wp:positionH>
            <wp:positionV relativeFrom="paragraph">
              <wp:posOffset>163195</wp:posOffset>
            </wp:positionV>
            <wp:extent cx="32848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TO INDENTURE</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DATED AS OF FEBRUARY 4, 2014</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Relating To</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2.75% Exchange Convertible Senior Notes Due 2034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163195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180340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1449705</wp:posOffset>
            </wp:positionV>
            <wp:extent cx="72466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220"/>
          </w:cols>
          <w:pgMar w:left="1440" w:top="11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9020" w:type="dxa"/>
            <w:vAlign w:val="bottom"/>
          </w:tcPr>
          <w:p>
            <w:pPr>
              <w:ind w:left="314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6"/>
        </w:trPr>
        <w:tc>
          <w:tcPr>
            <w:tcW w:w="1620" w:type="dxa"/>
            <w:vAlign w:val="bottom"/>
          </w:tcPr>
          <w:p>
            <w:pPr>
              <w:spacing w:after="0"/>
              <w:rPr>
                <w:sz w:val="15"/>
                <w:szCs w:val="15"/>
                <w:color w:val="auto"/>
              </w:rPr>
            </w:pPr>
          </w:p>
        </w:tc>
        <w:tc>
          <w:tcPr>
            <w:tcW w:w="90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1064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42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10"/>
        </w:trPr>
        <w:tc>
          <w:tcPr>
            <w:tcW w:w="1620" w:type="dxa"/>
            <w:vAlign w:val="bottom"/>
          </w:tcPr>
          <w:p>
            <w:pPr>
              <w:ind w:left="660"/>
              <w:spacing w:after="0"/>
              <w:rPr>
                <w:sz w:val="20"/>
                <w:szCs w:val="20"/>
                <w:color w:val="auto"/>
              </w:rPr>
            </w:pPr>
            <w:r>
              <w:rPr>
                <w:rFonts w:ascii="Arial" w:cs="Arial" w:eastAsia="Arial" w:hAnsi="Arial"/>
                <w:sz w:val="18"/>
                <w:szCs w:val="18"/>
                <w:color w:val="auto"/>
                <w:w w:val="93"/>
              </w:rPr>
              <w:t>Section 1.01</w:t>
            </w:r>
          </w:p>
        </w:tc>
        <w:tc>
          <w:tcPr>
            <w:tcW w:w="9020" w:type="dxa"/>
            <w:vAlign w:val="bottom"/>
          </w:tcPr>
          <w:p>
            <w:pPr>
              <w:ind w:left="80"/>
              <w:spacing w:after="0"/>
              <w:rPr>
                <w:sz w:val="20"/>
                <w:szCs w:val="20"/>
                <w:color w:val="auto"/>
              </w:rPr>
            </w:pPr>
            <w:r>
              <w:rPr>
                <w:rFonts w:ascii="Arial" w:cs="Arial" w:eastAsia="Arial" w:hAnsi="Arial"/>
                <w:sz w:val="18"/>
                <w:szCs w:val="18"/>
                <w:color w:val="auto"/>
              </w:rPr>
              <w:t>Capitalized Terms.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w w:val="93"/>
              </w:rPr>
              <w:t>Section 1.02</w:t>
            </w:r>
          </w:p>
        </w:tc>
        <w:tc>
          <w:tcPr>
            <w:tcW w:w="9020" w:type="dxa"/>
            <w:vAlign w:val="bottom"/>
          </w:tcPr>
          <w:p>
            <w:pPr>
              <w:ind w:left="80"/>
              <w:spacing w:after="0"/>
              <w:rPr>
                <w:sz w:val="20"/>
                <w:szCs w:val="20"/>
                <w:color w:val="auto"/>
              </w:rPr>
            </w:pPr>
            <w:r>
              <w:rPr>
                <w:rFonts w:ascii="Arial" w:cs="Arial" w:eastAsia="Arial" w:hAnsi="Arial"/>
                <w:sz w:val="18"/>
                <w:szCs w:val="18"/>
                <w:color w:val="auto"/>
              </w:rPr>
              <w:t>References.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w w:val="93"/>
              </w:rPr>
              <w:t>Section 1.03</w:t>
            </w:r>
          </w:p>
        </w:tc>
        <w:tc>
          <w:tcPr>
            <w:tcW w:w="9020" w:type="dxa"/>
            <w:vAlign w:val="bottom"/>
          </w:tcPr>
          <w:p>
            <w:pPr>
              <w:ind w:left="80"/>
              <w:spacing w:after="0"/>
              <w:rPr>
                <w:sz w:val="20"/>
                <w:szCs w:val="20"/>
                <w:color w:val="auto"/>
              </w:rPr>
            </w:pPr>
            <w:r>
              <w:rPr>
                <w:rFonts w:ascii="Arial" w:cs="Arial" w:eastAsia="Arial" w:hAnsi="Arial"/>
                <w:sz w:val="18"/>
                <w:szCs w:val="18"/>
                <w:color w:val="auto"/>
              </w:rPr>
              <w:t>Definitions.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0640" w:type="dxa"/>
            <w:vAlign w:val="bottom"/>
            <w:gridSpan w:val="2"/>
          </w:tcPr>
          <w:p>
            <w:pPr>
              <w:ind w:left="660"/>
              <w:spacing w:after="0"/>
              <w:rPr>
                <w:sz w:val="20"/>
                <w:szCs w:val="20"/>
                <w:color w:val="auto"/>
              </w:rPr>
            </w:pPr>
            <w:r>
              <w:rPr>
                <w:rFonts w:ascii="Arial" w:cs="Arial" w:eastAsia="Arial" w:hAnsi="Arial"/>
                <w:sz w:val="18"/>
                <w:szCs w:val="18"/>
                <w:color w:val="auto"/>
              </w:rPr>
              <w:t>Section 1.04  References to Interest.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10640" w:type="dxa"/>
            <w:vAlign w:val="bottom"/>
            <w:gridSpan w:val="2"/>
          </w:tcPr>
          <w:p>
            <w:pPr>
              <w:ind w:left="660"/>
              <w:spacing w:after="0"/>
              <w:rPr>
                <w:sz w:val="20"/>
                <w:szCs w:val="20"/>
                <w:color w:val="auto"/>
              </w:rPr>
            </w:pPr>
            <w:r>
              <w:rPr>
                <w:rFonts w:ascii="Arial" w:cs="Arial" w:eastAsia="Arial" w:hAnsi="Arial"/>
                <w:sz w:val="18"/>
                <w:szCs w:val="18"/>
                <w:color w:val="auto"/>
              </w:rPr>
              <w:t>Section 1.05  References to Principal Amount</w:t>
            </w:r>
            <w:r>
              <w:rPr>
                <w:rFonts w:ascii="Arial" w:cs="Arial" w:eastAsia="Arial" w:hAnsi="Arial"/>
                <w:sz w:val="18"/>
                <w:szCs w:val="18"/>
                <w:i w:val="1"/>
                <w:iCs w:val="1"/>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24"/>
        </w:trPr>
        <w:tc>
          <w:tcPr>
            <w:tcW w:w="10640" w:type="dxa"/>
            <w:vAlign w:val="bottom"/>
            <w:gridSpan w:val="2"/>
          </w:tcPr>
          <w:p>
            <w:pPr>
              <w:spacing w:after="0"/>
              <w:rPr>
                <w:sz w:val="20"/>
                <w:szCs w:val="20"/>
                <w:color w:val="auto"/>
              </w:rPr>
            </w:pPr>
            <w:r>
              <w:rPr>
                <w:rFonts w:ascii="Arial" w:cs="Arial" w:eastAsia="Arial" w:hAnsi="Arial"/>
                <w:sz w:val="18"/>
                <w:szCs w:val="18"/>
                <w:color w:val="auto"/>
              </w:rPr>
              <w:t>Article II. GENERAL TERMS AND CONDITIONS OF THE NOTES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10"/>
        </w:trPr>
        <w:tc>
          <w:tcPr>
            <w:tcW w:w="10640" w:type="dxa"/>
            <w:vAlign w:val="bottom"/>
            <w:gridSpan w:val="2"/>
          </w:tcPr>
          <w:p>
            <w:pPr>
              <w:ind w:left="660"/>
              <w:spacing w:after="0"/>
              <w:rPr>
                <w:sz w:val="20"/>
                <w:szCs w:val="20"/>
                <w:color w:val="auto"/>
              </w:rPr>
            </w:pPr>
            <w:r>
              <w:rPr>
                <w:rFonts w:ascii="Arial" w:cs="Arial" w:eastAsia="Arial" w:hAnsi="Arial"/>
                <w:sz w:val="18"/>
                <w:szCs w:val="18"/>
                <w:color w:val="auto"/>
              </w:rPr>
              <w:t>Section 2.01  Designation and Principal Amount.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w w:val="93"/>
              </w:rPr>
              <w:t>Section 2.02</w:t>
            </w:r>
          </w:p>
        </w:tc>
        <w:tc>
          <w:tcPr>
            <w:tcW w:w="9020" w:type="dxa"/>
            <w:vAlign w:val="bottom"/>
          </w:tcPr>
          <w:p>
            <w:pPr>
              <w:ind w:left="80"/>
              <w:spacing w:after="0"/>
              <w:rPr>
                <w:sz w:val="20"/>
                <w:szCs w:val="20"/>
                <w:color w:val="auto"/>
              </w:rPr>
            </w:pPr>
            <w:r>
              <w:rPr>
                <w:rFonts w:ascii="Arial" w:cs="Arial" w:eastAsia="Arial" w:hAnsi="Arial"/>
                <w:sz w:val="18"/>
                <w:szCs w:val="18"/>
                <w:color w:val="auto"/>
              </w:rPr>
              <w:t>Maturity.</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0640" w:type="dxa"/>
            <w:vAlign w:val="bottom"/>
            <w:gridSpan w:val="2"/>
          </w:tcPr>
          <w:p>
            <w:pPr>
              <w:ind w:left="660"/>
              <w:spacing w:after="0"/>
              <w:rPr>
                <w:sz w:val="20"/>
                <w:szCs w:val="20"/>
                <w:color w:val="auto"/>
              </w:rPr>
            </w:pPr>
            <w:r>
              <w:rPr>
                <w:rFonts w:ascii="Arial" w:cs="Arial" w:eastAsia="Arial" w:hAnsi="Arial"/>
                <w:sz w:val="18"/>
                <w:szCs w:val="18"/>
                <w:color w:val="auto"/>
              </w:rPr>
              <w:t>Section 2.03  Form and Payment.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w w:val="93"/>
              </w:rPr>
              <w:t>Section 2.04</w:t>
            </w:r>
          </w:p>
        </w:tc>
        <w:tc>
          <w:tcPr>
            <w:tcW w:w="9020" w:type="dxa"/>
            <w:vAlign w:val="bottom"/>
          </w:tcPr>
          <w:p>
            <w:pPr>
              <w:ind w:left="80"/>
              <w:spacing w:after="0"/>
              <w:rPr>
                <w:sz w:val="20"/>
                <w:szCs w:val="20"/>
                <w:color w:val="auto"/>
              </w:rPr>
            </w:pPr>
            <w:r>
              <w:rPr>
                <w:rFonts w:ascii="Arial" w:cs="Arial" w:eastAsia="Arial" w:hAnsi="Arial"/>
                <w:sz w:val="18"/>
                <w:szCs w:val="18"/>
                <w:color w:val="auto"/>
              </w:rPr>
              <w:t>Interest.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0640" w:type="dxa"/>
            <w:vAlign w:val="bottom"/>
            <w:gridSpan w:val="2"/>
          </w:tcPr>
          <w:p>
            <w:pPr>
              <w:ind w:left="660"/>
              <w:spacing w:after="0"/>
              <w:rPr>
                <w:sz w:val="20"/>
                <w:szCs w:val="20"/>
                <w:color w:val="auto"/>
              </w:rPr>
            </w:pPr>
            <w:r>
              <w:rPr>
                <w:rFonts w:ascii="Arial" w:cs="Arial" w:eastAsia="Arial" w:hAnsi="Arial"/>
                <w:sz w:val="18"/>
                <w:szCs w:val="18"/>
                <w:color w:val="auto"/>
              </w:rPr>
              <w:t>Section 2.05  Transfer, Exchange and Conversion.</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0640" w:type="dxa"/>
            <w:vAlign w:val="bottom"/>
            <w:gridSpan w:val="2"/>
          </w:tcPr>
          <w:p>
            <w:pPr>
              <w:ind w:left="660"/>
              <w:spacing w:after="0"/>
              <w:rPr>
                <w:sz w:val="20"/>
                <w:szCs w:val="20"/>
                <w:color w:val="auto"/>
              </w:rPr>
            </w:pPr>
            <w:r>
              <w:rPr>
                <w:rFonts w:ascii="Arial" w:cs="Arial" w:eastAsia="Arial" w:hAnsi="Arial"/>
                <w:sz w:val="18"/>
                <w:szCs w:val="18"/>
                <w:color w:val="auto"/>
              </w:rPr>
              <w:t>Section 2.06  Repurchase and Cancellation.</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1620" w:type="dxa"/>
            <w:vAlign w:val="bottom"/>
          </w:tcPr>
          <w:p>
            <w:pPr>
              <w:ind w:left="660"/>
              <w:spacing w:after="0"/>
              <w:rPr>
                <w:sz w:val="20"/>
                <w:szCs w:val="20"/>
                <w:color w:val="auto"/>
              </w:rPr>
            </w:pPr>
            <w:r>
              <w:rPr>
                <w:rFonts w:ascii="Arial" w:cs="Arial" w:eastAsia="Arial" w:hAnsi="Arial"/>
                <w:sz w:val="18"/>
                <w:szCs w:val="18"/>
                <w:color w:val="auto"/>
                <w:w w:val="93"/>
              </w:rPr>
              <w:t>Section 2.07</w:t>
            </w:r>
          </w:p>
        </w:tc>
        <w:tc>
          <w:tcPr>
            <w:tcW w:w="9020" w:type="dxa"/>
            <w:vAlign w:val="bottom"/>
          </w:tcPr>
          <w:p>
            <w:pPr>
              <w:ind w:left="60"/>
              <w:spacing w:after="0"/>
              <w:rPr>
                <w:sz w:val="20"/>
                <w:szCs w:val="20"/>
                <w:color w:val="auto"/>
              </w:rPr>
            </w:pPr>
            <w:r>
              <w:rPr>
                <w:rFonts w:ascii="Arial" w:cs="Arial" w:eastAsia="Arial" w:hAnsi="Arial"/>
                <w:sz w:val="18"/>
                <w:szCs w:val="18"/>
                <w:color w:val="auto"/>
              </w:rPr>
              <w:t>Accretion.</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10640" w:type="dxa"/>
            <w:vAlign w:val="bottom"/>
            <w:gridSpan w:val="2"/>
          </w:tcPr>
          <w:p>
            <w:pPr>
              <w:spacing w:after="0"/>
              <w:rPr>
                <w:sz w:val="20"/>
                <w:szCs w:val="20"/>
                <w:color w:val="auto"/>
              </w:rPr>
            </w:pPr>
            <w:r>
              <w:rPr>
                <w:rFonts w:ascii="Arial" w:cs="Arial" w:eastAsia="Arial" w:hAnsi="Arial"/>
                <w:sz w:val="18"/>
                <w:szCs w:val="18"/>
                <w:color w:val="auto"/>
              </w:rPr>
              <w:t>Article III. REDEMPTION AND REPURCHASE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10"/>
        </w:trPr>
        <w:tc>
          <w:tcPr>
            <w:tcW w:w="1620" w:type="dxa"/>
            <w:vAlign w:val="bottom"/>
          </w:tcPr>
          <w:p>
            <w:pPr>
              <w:ind w:left="660"/>
              <w:spacing w:after="0"/>
              <w:rPr>
                <w:sz w:val="20"/>
                <w:szCs w:val="20"/>
                <w:color w:val="auto"/>
              </w:rPr>
            </w:pPr>
            <w:r>
              <w:rPr>
                <w:rFonts w:ascii="Arial" w:cs="Arial" w:eastAsia="Arial" w:hAnsi="Arial"/>
                <w:sz w:val="18"/>
                <w:szCs w:val="18"/>
                <w:color w:val="auto"/>
                <w:w w:val="93"/>
              </w:rPr>
              <w:t>Section 3.01</w:t>
            </w:r>
          </w:p>
        </w:tc>
        <w:tc>
          <w:tcPr>
            <w:tcW w:w="9020" w:type="dxa"/>
            <w:vAlign w:val="bottom"/>
          </w:tcPr>
          <w:p>
            <w:pPr>
              <w:ind w:left="80"/>
              <w:spacing w:after="0"/>
              <w:rPr>
                <w:sz w:val="20"/>
                <w:szCs w:val="20"/>
                <w:color w:val="auto"/>
              </w:rPr>
            </w:pPr>
            <w:r>
              <w:rPr>
                <w:rFonts w:ascii="Arial" w:cs="Arial" w:eastAsia="Arial" w:hAnsi="Arial"/>
                <w:sz w:val="18"/>
                <w:szCs w:val="18"/>
                <w:color w:val="auto"/>
              </w:rPr>
              <w:t>Redemption.</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640" w:type="dxa"/>
            <w:vAlign w:val="bottom"/>
            <w:gridSpan w:val="2"/>
          </w:tcPr>
          <w:p>
            <w:pPr>
              <w:ind w:left="660"/>
              <w:spacing w:after="0"/>
              <w:rPr>
                <w:sz w:val="20"/>
                <w:szCs w:val="20"/>
                <w:color w:val="auto"/>
              </w:rPr>
            </w:pPr>
            <w:r>
              <w:rPr>
                <w:rFonts w:ascii="Arial" w:cs="Arial" w:eastAsia="Arial" w:hAnsi="Arial"/>
                <w:sz w:val="18"/>
                <w:szCs w:val="18"/>
                <w:color w:val="auto"/>
              </w:rPr>
              <w:t>Section 3.02  Repurchase at Option of Holders Upon a Fundamental Change.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640" w:type="dxa"/>
            <w:vAlign w:val="bottom"/>
            <w:gridSpan w:val="2"/>
          </w:tcPr>
          <w:p>
            <w:pPr>
              <w:ind w:left="660"/>
              <w:spacing w:after="0"/>
              <w:rPr>
                <w:sz w:val="20"/>
                <w:szCs w:val="20"/>
                <w:color w:val="auto"/>
              </w:rPr>
            </w:pPr>
            <w:r>
              <w:rPr>
                <w:rFonts w:ascii="Arial" w:cs="Arial" w:eastAsia="Arial" w:hAnsi="Arial"/>
                <w:sz w:val="18"/>
                <w:szCs w:val="18"/>
                <w:color w:val="auto"/>
              </w:rPr>
              <w:t>Section 3.03  Repurchase at Option of Holders Upon Specified Dates.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10640" w:type="dxa"/>
            <w:vAlign w:val="bottom"/>
            <w:gridSpan w:val="2"/>
          </w:tcPr>
          <w:p>
            <w:pPr>
              <w:ind w:left="660"/>
              <w:spacing w:after="0"/>
              <w:rPr>
                <w:sz w:val="20"/>
                <w:szCs w:val="20"/>
                <w:color w:val="auto"/>
              </w:rPr>
            </w:pPr>
            <w:r>
              <w:rPr>
                <w:rFonts w:ascii="Arial" w:cs="Arial" w:eastAsia="Arial" w:hAnsi="Arial"/>
                <w:sz w:val="18"/>
                <w:szCs w:val="18"/>
                <w:color w:val="auto"/>
              </w:rPr>
              <w:t>Section 3.04  No Sinking Fund.</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24"/>
        </w:trPr>
        <w:tc>
          <w:tcPr>
            <w:tcW w:w="10640" w:type="dxa"/>
            <w:vAlign w:val="bottom"/>
            <w:gridSpan w:val="2"/>
          </w:tcPr>
          <w:p>
            <w:pPr>
              <w:spacing w:after="0"/>
              <w:rPr>
                <w:sz w:val="20"/>
                <w:szCs w:val="20"/>
                <w:color w:val="auto"/>
              </w:rPr>
            </w:pPr>
            <w:r>
              <w:rPr>
                <w:rFonts w:ascii="Arial" w:cs="Arial" w:eastAsia="Arial" w:hAnsi="Arial"/>
                <w:sz w:val="18"/>
                <w:szCs w:val="18"/>
                <w:color w:val="auto"/>
              </w:rPr>
              <w:t>Article IV. CONSOLIDATION, MERGER AND SALE OF ASSETS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32"/>
        </w:trPr>
        <w:tc>
          <w:tcPr>
            <w:tcW w:w="10640" w:type="dxa"/>
            <w:vAlign w:val="bottom"/>
            <w:gridSpan w:val="2"/>
          </w:tcPr>
          <w:p>
            <w:pPr>
              <w:spacing w:after="0"/>
              <w:rPr>
                <w:sz w:val="20"/>
                <w:szCs w:val="20"/>
                <w:color w:val="auto"/>
              </w:rPr>
            </w:pPr>
            <w:r>
              <w:rPr>
                <w:rFonts w:ascii="Arial" w:cs="Arial" w:eastAsia="Arial" w:hAnsi="Arial"/>
                <w:sz w:val="18"/>
                <w:szCs w:val="18"/>
                <w:color w:val="auto"/>
              </w:rPr>
              <w:t>Article V. CONVERSION OF NOTES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10"/>
        </w:trPr>
        <w:tc>
          <w:tcPr>
            <w:tcW w:w="10640" w:type="dxa"/>
            <w:vAlign w:val="bottom"/>
            <w:gridSpan w:val="2"/>
          </w:tcPr>
          <w:p>
            <w:pPr>
              <w:ind w:left="660"/>
              <w:spacing w:after="0"/>
              <w:rPr>
                <w:sz w:val="20"/>
                <w:szCs w:val="20"/>
                <w:color w:val="auto"/>
              </w:rPr>
            </w:pPr>
            <w:r>
              <w:rPr>
                <w:rFonts w:ascii="Arial" w:cs="Arial" w:eastAsia="Arial" w:hAnsi="Arial"/>
                <w:sz w:val="18"/>
                <w:szCs w:val="18"/>
                <w:color w:val="auto"/>
              </w:rPr>
              <w:t>Section 5.01  Right to Convert.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640" w:type="dxa"/>
            <w:vAlign w:val="bottom"/>
            <w:gridSpan w:val="2"/>
          </w:tcPr>
          <w:p>
            <w:pPr>
              <w:ind w:left="660"/>
              <w:spacing w:after="0"/>
              <w:rPr>
                <w:sz w:val="20"/>
                <w:szCs w:val="20"/>
                <w:color w:val="auto"/>
              </w:rPr>
            </w:pPr>
            <w:r>
              <w:rPr>
                <w:rFonts w:ascii="Arial" w:cs="Arial" w:eastAsia="Arial" w:hAnsi="Arial"/>
                <w:sz w:val="18"/>
                <w:szCs w:val="18"/>
                <w:color w:val="auto"/>
              </w:rPr>
              <w:t>Section 5.02  Exchange in Lieu of Conversion.</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640" w:type="dxa"/>
            <w:vAlign w:val="bottom"/>
            <w:gridSpan w:val="2"/>
          </w:tcPr>
          <w:p>
            <w:pPr>
              <w:ind w:left="660"/>
              <w:spacing w:after="0"/>
              <w:rPr>
                <w:sz w:val="20"/>
                <w:szCs w:val="20"/>
                <w:color w:val="auto"/>
              </w:rPr>
            </w:pPr>
            <w:r>
              <w:rPr>
                <w:rFonts w:ascii="Arial" w:cs="Arial" w:eastAsia="Arial" w:hAnsi="Arial"/>
                <w:sz w:val="18"/>
                <w:szCs w:val="18"/>
                <w:color w:val="auto"/>
              </w:rPr>
              <w:t>Section 5.03  Settlement upon Conversion.</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w w:val="93"/>
              </w:rPr>
              <w:t>Section 5.04</w:t>
            </w:r>
          </w:p>
        </w:tc>
        <w:tc>
          <w:tcPr>
            <w:tcW w:w="9020" w:type="dxa"/>
            <w:vAlign w:val="bottom"/>
          </w:tcPr>
          <w:p>
            <w:pPr>
              <w:ind w:left="80"/>
              <w:spacing w:after="0"/>
              <w:rPr>
                <w:sz w:val="20"/>
                <w:szCs w:val="20"/>
                <w:color w:val="auto"/>
              </w:rPr>
            </w:pPr>
            <w:r>
              <w:rPr>
                <w:rFonts w:ascii="Arial" w:cs="Arial" w:eastAsia="Arial" w:hAnsi="Arial"/>
                <w:sz w:val="18"/>
                <w:szCs w:val="18"/>
                <w:color w:val="auto"/>
              </w:rPr>
              <w:t>Conversion Procedures.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0640" w:type="dxa"/>
            <w:vAlign w:val="bottom"/>
            <w:gridSpan w:val="2"/>
          </w:tcPr>
          <w:p>
            <w:pPr>
              <w:ind w:left="660"/>
              <w:spacing w:after="0"/>
              <w:rPr>
                <w:sz w:val="20"/>
                <w:szCs w:val="20"/>
                <w:color w:val="auto"/>
              </w:rPr>
            </w:pPr>
            <w:r>
              <w:rPr>
                <w:rFonts w:ascii="Arial" w:cs="Arial" w:eastAsia="Arial" w:hAnsi="Arial"/>
                <w:sz w:val="18"/>
                <w:szCs w:val="18"/>
                <w:color w:val="auto"/>
              </w:rPr>
              <w:t>Section 5.05  Conversion Rate Adjustments.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0640" w:type="dxa"/>
            <w:vAlign w:val="bottom"/>
            <w:gridSpan w:val="2"/>
          </w:tcPr>
          <w:p>
            <w:pPr>
              <w:ind w:left="660"/>
              <w:spacing w:after="0"/>
              <w:rPr>
                <w:sz w:val="20"/>
                <w:szCs w:val="20"/>
                <w:color w:val="auto"/>
              </w:rPr>
            </w:pPr>
            <w:r>
              <w:rPr>
                <w:rFonts w:ascii="Arial" w:cs="Arial" w:eastAsia="Arial" w:hAnsi="Arial"/>
                <w:sz w:val="18"/>
                <w:szCs w:val="18"/>
                <w:color w:val="auto"/>
              </w:rPr>
              <w:t>Section 5.06  Recapitalizations, Reclassifications and Changes to the Common Stock.</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0640" w:type="dxa"/>
            <w:vAlign w:val="bottom"/>
            <w:gridSpan w:val="2"/>
          </w:tcPr>
          <w:p>
            <w:pPr>
              <w:ind w:left="660"/>
              <w:spacing w:after="0"/>
              <w:rPr>
                <w:sz w:val="20"/>
                <w:szCs w:val="20"/>
                <w:color w:val="auto"/>
              </w:rPr>
            </w:pPr>
            <w:r>
              <w:rPr>
                <w:rFonts w:ascii="Arial" w:cs="Arial" w:eastAsia="Arial" w:hAnsi="Arial"/>
                <w:sz w:val="18"/>
                <w:szCs w:val="18"/>
                <w:color w:val="auto"/>
                <w:w w:val="94"/>
              </w:rPr>
              <w:t>Section 5.07  Adjustment to Conversion Rate upon Conversion upon a Make-Whole Fundamental Change or Prior to the Exercise of</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020" w:type="dxa"/>
            <w:vAlign w:val="bottom"/>
          </w:tcPr>
          <w:p>
            <w:pPr>
              <w:ind w:left="340"/>
              <w:spacing w:after="0"/>
              <w:rPr>
                <w:sz w:val="20"/>
                <w:szCs w:val="20"/>
                <w:color w:val="auto"/>
              </w:rPr>
            </w:pPr>
            <w:r>
              <w:rPr>
                <w:rFonts w:ascii="Arial" w:cs="Arial" w:eastAsia="Arial" w:hAnsi="Arial"/>
                <w:sz w:val="18"/>
                <w:szCs w:val="18"/>
                <w:color w:val="auto"/>
              </w:rPr>
              <w:t>the Issuer’s Conversion Option Prior to February 1, 2020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w w:val="93"/>
              </w:rPr>
              <w:t>Section 5.08</w:t>
            </w:r>
          </w:p>
        </w:tc>
        <w:tc>
          <w:tcPr>
            <w:tcW w:w="9020" w:type="dxa"/>
            <w:vAlign w:val="bottom"/>
          </w:tcPr>
          <w:p>
            <w:pPr>
              <w:ind w:left="80"/>
              <w:spacing w:after="0"/>
              <w:rPr>
                <w:sz w:val="20"/>
                <w:szCs w:val="20"/>
                <w:color w:val="auto"/>
              </w:rPr>
            </w:pPr>
            <w:r>
              <w:rPr>
                <w:rFonts w:ascii="Arial" w:cs="Arial" w:eastAsia="Arial" w:hAnsi="Arial"/>
                <w:sz w:val="18"/>
                <w:szCs w:val="18"/>
                <w:color w:val="auto"/>
              </w:rPr>
              <w:t>Reserved Shares.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0640" w:type="dxa"/>
            <w:vAlign w:val="bottom"/>
            <w:gridSpan w:val="2"/>
          </w:tcPr>
          <w:p>
            <w:pPr>
              <w:ind w:left="660"/>
              <w:spacing w:after="0"/>
              <w:rPr>
                <w:sz w:val="20"/>
                <w:szCs w:val="20"/>
                <w:color w:val="auto"/>
              </w:rPr>
            </w:pPr>
            <w:r>
              <w:rPr>
                <w:rFonts w:ascii="Arial" w:cs="Arial" w:eastAsia="Arial" w:hAnsi="Arial"/>
                <w:sz w:val="18"/>
                <w:szCs w:val="18"/>
                <w:color w:val="auto"/>
              </w:rPr>
              <w:t>Section 5.09  Trustee Adjustment Disclaimer.</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0640" w:type="dxa"/>
            <w:vAlign w:val="bottom"/>
            <w:gridSpan w:val="2"/>
          </w:tcPr>
          <w:p>
            <w:pPr>
              <w:ind w:left="660"/>
              <w:spacing w:after="0"/>
              <w:rPr>
                <w:sz w:val="20"/>
                <w:szCs w:val="20"/>
                <w:color w:val="auto"/>
              </w:rPr>
            </w:pPr>
            <w:r>
              <w:rPr>
                <w:rFonts w:ascii="Arial" w:cs="Arial" w:eastAsia="Arial" w:hAnsi="Arial"/>
                <w:sz w:val="18"/>
                <w:szCs w:val="18"/>
                <w:color w:val="auto"/>
              </w:rPr>
              <w:t>Section 5.10  Issuer’s Conversion Option.</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10640" w:type="dxa"/>
            <w:vAlign w:val="bottom"/>
            <w:gridSpan w:val="2"/>
          </w:tcPr>
          <w:p>
            <w:pPr>
              <w:ind w:left="660"/>
              <w:spacing w:after="0"/>
              <w:rPr>
                <w:sz w:val="20"/>
                <w:szCs w:val="20"/>
                <w:color w:val="auto"/>
              </w:rPr>
            </w:pPr>
            <w:r>
              <w:rPr>
                <w:rFonts w:ascii="Arial" w:cs="Arial" w:eastAsia="Arial" w:hAnsi="Arial"/>
                <w:sz w:val="18"/>
                <w:szCs w:val="18"/>
                <w:color w:val="auto"/>
              </w:rPr>
              <w:t>Section 5.11  Limitation on Beneficial Ownership Upon Conversion.</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24"/>
        </w:trPr>
        <w:tc>
          <w:tcPr>
            <w:tcW w:w="10640" w:type="dxa"/>
            <w:vAlign w:val="bottom"/>
            <w:gridSpan w:val="2"/>
          </w:tcPr>
          <w:p>
            <w:pPr>
              <w:spacing w:after="0"/>
              <w:rPr>
                <w:sz w:val="20"/>
                <w:szCs w:val="20"/>
                <w:color w:val="auto"/>
              </w:rPr>
            </w:pPr>
            <w:r>
              <w:rPr>
                <w:rFonts w:ascii="Arial" w:cs="Arial" w:eastAsia="Arial" w:hAnsi="Arial"/>
                <w:sz w:val="18"/>
                <w:szCs w:val="18"/>
                <w:color w:val="auto"/>
              </w:rPr>
              <w:t>Article VI. EVENTS OF DEFAULT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10"/>
        </w:trPr>
        <w:tc>
          <w:tcPr>
            <w:tcW w:w="10640" w:type="dxa"/>
            <w:vAlign w:val="bottom"/>
            <w:gridSpan w:val="2"/>
          </w:tcPr>
          <w:p>
            <w:pPr>
              <w:ind w:left="660"/>
              <w:spacing w:after="0"/>
              <w:rPr>
                <w:sz w:val="20"/>
                <w:szCs w:val="20"/>
                <w:color w:val="auto"/>
              </w:rPr>
            </w:pPr>
            <w:r>
              <w:rPr>
                <w:rFonts w:ascii="Arial" w:cs="Arial" w:eastAsia="Arial" w:hAnsi="Arial"/>
                <w:sz w:val="18"/>
                <w:szCs w:val="18"/>
                <w:color w:val="auto"/>
              </w:rPr>
              <w:t>Section 6.01  Events of Default.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0640" w:type="dxa"/>
            <w:vAlign w:val="bottom"/>
            <w:gridSpan w:val="2"/>
          </w:tcPr>
          <w:p>
            <w:pPr>
              <w:ind w:left="660"/>
              <w:spacing w:after="0"/>
              <w:rPr>
                <w:sz w:val="20"/>
                <w:szCs w:val="20"/>
                <w:color w:val="auto"/>
              </w:rPr>
            </w:pPr>
            <w:r>
              <w:rPr>
                <w:rFonts w:ascii="Arial" w:cs="Arial" w:eastAsia="Arial" w:hAnsi="Arial"/>
                <w:sz w:val="18"/>
                <w:szCs w:val="18"/>
                <w:color w:val="auto"/>
              </w:rPr>
              <w:t>Section 6.02  Acceleration of Maturity; Rescission and Annulment.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w w:val="93"/>
              </w:rPr>
              <w:t>Section 6.03</w:t>
            </w:r>
          </w:p>
        </w:tc>
        <w:tc>
          <w:tcPr>
            <w:tcW w:w="9020" w:type="dxa"/>
            <w:vAlign w:val="bottom"/>
          </w:tcPr>
          <w:p>
            <w:pPr>
              <w:ind w:left="60"/>
              <w:spacing w:after="0"/>
              <w:rPr>
                <w:sz w:val="20"/>
                <w:szCs w:val="20"/>
                <w:color w:val="auto"/>
              </w:rPr>
            </w:pPr>
            <w:r>
              <w:rPr>
                <w:rFonts w:ascii="Arial" w:cs="Arial" w:eastAsia="Arial" w:hAnsi="Arial"/>
                <w:sz w:val="18"/>
                <w:szCs w:val="18"/>
                <w:color w:val="auto"/>
              </w:rPr>
              <w:t>Additional Interest.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1620" w:type="dxa"/>
            <w:vAlign w:val="bottom"/>
          </w:tcPr>
          <w:p>
            <w:pPr>
              <w:ind w:left="660"/>
              <w:spacing w:after="0"/>
              <w:rPr>
                <w:sz w:val="20"/>
                <w:szCs w:val="20"/>
                <w:color w:val="auto"/>
              </w:rPr>
            </w:pPr>
            <w:r>
              <w:rPr>
                <w:rFonts w:ascii="Arial" w:cs="Arial" w:eastAsia="Arial" w:hAnsi="Arial"/>
                <w:sz w:val="18"/>
                <w:szCs w:val="18"/>
                <w:color w:val="auto"/>
                <w:w w:val="93"/>
              </w:rPr>
              <w:t>Section 6.04</w:t>
            </w:r>
          </w:p>
        </w:tc>
        <w:tc>
          <w:tcPr>
            <w:tcW w:w="9020" w:type="dxa"/>
            <w:vAlign w:val="bottom"/>
          </w:tcPr>
          <w:p>
            <w:pPr>
              <w:ind w:left="80"/>
              <w:spacing w:after="0"/>
              <w:rPr>
                <w:sz w:val="20"/>
                <w:szCs w:val="20"/>
                <w:color w:val="auto"/>
              </w:rPr>
            </w:pPr>
            <w:r>
              <w:rPr>
                <w:rFonts w:ascii="Arial" w:cs="Arial" w:eastAsia="Arial" w:hAnsi="Arial"/>
                <w:sz w:val="18"/>
                <w:szCs w:val="18"/>
                <w:color w:val="auto"/>
              </w:rPr>
              <w:t>Suits.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0"/>
        </w:trPr>
        <w:tc>
          <w:tcPr>
            <w:tcW w:w="1660" w:type="dxa"/>
            <w:vAlign w:val="bottom"/>
          </w:tcPr>
          <w:p>
            <w:pPr>
              <w:spacing w:after="0"/>
              <w:rPr>
                <w:sz w:val="19"/>
                <w:szCs w:val="19"/>
                <w:color w:val="auto"/>
              </w:rPr>
            </w:pPr>
          </w:p>
        </w:tc>
        <w:tc>
          <w:tcPr>
            <w:tcW w:w="7540" w:type="dxa"/>
            <w:vAlign w:val="bottom"/>
          </w:tcPr>
          <w:p>
            <w:pPr>
              <w:ind w:left="3100"/>
              <w:spacing w:after="0"/>
              <w:rPr>
                <w:sz w:val="20"/>
                <w:szCs w:val="20"/>
                <w:color w:val="auto"/>
              </w:rPr>
            </w:pPr>
            <w:r>
              <w:rPr>
                <w:rFonts w:ascii="Arial" w:cs="Arial" w:eastAsia="Arial" w:hAnsi="Arial"/>
                <w:sz w:val="18"/>
                <w:szCs w:val="18"/>
                <w:b w:val="1"/>
                <w:bCs w:val="1"/>
                <w:color w:val="auto"/>
              </w:rPr>
              <w:t>TABLE OF CONTENTS</w:t>
            </w:r>
          </w:p>
        </w:tc>
        <w:tc>
          <w:tcPr>
            <w:tcW w:w="2220" w:type="dxa"/>
            <w:vAlign w:val="bottom"/>
          </w:tcPr>
          <w:p>
            <w:pPr>
              <w:spacing w:after="0"/>
              <w:rPr>
                <w:sz w:val="19"/>
                <w:szCs w:val="19"/>
                <w:color w:val="auto"/>
              </w:rPr>
            </w:pPr>
          </w:p>
        </w:tc>
      </w:tr>
      <w:tr>
        <w:trPr>
          <w:trHeight w:val="230"/>
        </w:trPr>
        <w:tc>
          <w:tcPr>
            <w:tcW w:w="1660" w:type="dxa"/>
            <w:vAlign w:val="bottom"/>
          </w:tcPr>
          <w:p>
            <w:pPr>
              <w:spacing w:after="0"/>
              <w:rPr>
                <w:sz w:val="20"/>
                <w:szCs w:val="20"/>
                <w:color w:val="auto"/>
              </w:rPr>
            </w:pPr>
          </w:p>
        </w:tc>
        <w:tc>
          <w:tcPr>
            <w:tcW w:w="7540" w:type="dxa"/>
            <w:vAlign w:val="bottom"/>
          </w:tcPr>
          <w:p>
            <w:pPr>
              <w:ind w:left="3640"/>
              <w:spacing w:after="0"/>
              <w:rPr>
                <w:sz w:val="20"/>
                <w:szCs w:val="20"/>
                <w:color w:val="auto"/>
              </w:rPr>
            </w:pPr>
            <w:r>
              <w:rPr>
                <w:rFonts w:ascii="Arial" w:cs="Arial" w:eastAsia="Arial" w:hAnsi="Arial"/>
                <w:sz w:val="18"/>
                <w:szCs w:val="18"/>
                <w:color w:val="auto"/>
              </w:rPr>
              <w:t>(continued)</w:t>
            </w:r>
          </w:p>
        </w:tc>
        <w:tc>
          <w:tcPr>
            <w:tcW w:w="2220" w:type="dxa"/>
            <w:vAlign w:val="bottom"/>
          </w:tcPr>
          <w:p>
            <w:pPr>
              <w:spacing w:after="0"/>
              <w:rPr>
                <w:sz w:val="20"/>
                <w:szCs w:val="20"/>
                <w:color w:val="auto"/>
              </w:rPr>
            </w:pPr>
          </w:p>
        </w:tc>
      </w:tr>
      <w:tr>
        <w:trPr>
          <w:trHeight w:val="445"/>
        </w:trPr>
        <w:tc>
          <w:tcPr>
            <w:tcW w:w="1660" w:type="dxa"/>
            <w:vAlign w:val="bottom"/>
          </w:tcPr>
          <w:p>
            <w:pPr>
              <w:ind w:left="660"/>
              <w:spacing w:after="0"/>
              <w:rPr>
                <w:sz w:val="20"/>
                <w:szCs w:val="20"/>
                <w:color w:val="auto"/>
              </w:rPr>
            </w:pPr>
            <w:r>
              <w:rPr>
                <w:rFonts w:ascii="Arial" w:cs="Arial" w:eastAsia="Arial" w:hAnsi="Arial"/>
                <w:sz w:val="18"/>
                <w:szCs w:val="18"/>
                <w:color w:val="auto"/>
                <w:w w:val="97"/>
              </w:rPr>
              <w:t>Section 6.05</w:t>
            </w:r>
          </w:p>
        </w:tc>
        <w:tc>
          <w:tcPr>
            <w:tcW w:w="7540" w:type="dxa"/>
            <w:vAlign w:val="bottom"/>
          </w:tcPr>
          <w:p>
            <w:pPr>
              <w:ind w:left="20"/>
              <w:spacing w:after="0"/>
              <w:rPr>
                <w:sz w:val="20"/>
                <w:szCs w:val="20"/>
                <w:color w:val="auto"/>
              </w:rPr>
            </w:pPr>
            <w:r>
              <w:rPr>
                <w:rFonts w:ascii="Arial" w:cs="Arial" w:eastAsia="Arial" w:hAnsi="Arial"/>
                <w:sz w:val="18"/>
                <w:szCs w:val="18"/>
                <w:color w:val="auto"/>
              </w:rPr>
              <w:t>Waivers.</w:t>
            </w:r>
          </w:p>
        </w:tc>
        <w:tc>
          <w:tcPr>
            <w:tcW w:w="22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9200" w:type="dxa"/>
            <w:vAlign w:val="bottom"/>
            <w:gridSpan w:val="2"/>
          </w:tcPr>
          <w:p>
            <w:pPr>
              <w:ind w:left="660"/>
              <w:spacing w:after="0"/>
              <w:rPr>
                <w:sz w:val="20"/>
                <w:szCs w:val="20"/>
                <w:color w:val="auto"/>
              </w:rPr>
            </w:pPr>
            <w:r>
              <w:rPr>
                <w:rFonts w:ascii="Arial" w:cs="Arial" w:eastAsia="Arial" w:hAnsi="Arial"/>
                <w:sz w:val="18"/>
                <w:szCs w:val="18"/>
                <w:color w:val="auto"/>
              </w:rPr>
              <w:t>Section 6.06  Notice of Default.</w:t>
            </w:r>
          </w:p>
        </w:tc>
        <w:tc>
          <w:tcPr>
            <w:tcW w:w="22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9200" w:type="dxa"/>
            <w:vAlign w:val="bottom"/>
            <w:gridSpan w:val="2"/>
          </w:tcPr>
          <w:p>
            <w:pPr>
              <w:spacing w:after="0"/>
              <w:rPr>
                <w:sz w:val="20"/>
                <w:szCs w:val="20"/>
                <w:color w:val="auto"/>
              </w:rPr>
            </w:pPr>
            <w:r>
              <w:rPr>
                <w:rFonts w:ascii="Arial" w:cs="Arial" w:eastAsia="Arial" w:hAnsi="Arial"/>
                <w:sz w:val="18"/>
                <w:szCs w:val="18"/>
                <w:color w:val="auto"/>
              </w:rPr>
              <w:t>Article VII. DISCHARGE</w:t>
            </w:r>
          </w:p>
        </w:tc>
        <w:tc>
          <w:tcPr>
            <w:tcW w:w="22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0"/>
        </w:trPr>
        <w:tc>
          <w:tcPr>
            <w:tcW w:w="1660" w:type="dxa"/>
            <w:vAlign w:val="bottom"/>
          </w:tcPr>
          <w:p>
            <w:pPr>
              <w:ind w:left="660"/>
              <w:spacing w:after="0"/>
              <w:rPr>
                <w:sz w:val="20"/>
                <w:szCs w:val="20"/>
                <w:color w:val="auto"/>
              </w:rPr>
            </w:pPr>
            <w:r>
              <w:rPr>
                <w:rFonts w:ascii="Arial" w:cs="Arial" w:eastAsia="Arial" w:hAnsi="Arial"/>
                <w:sz w:val="18"/>
                <w:szCs w:val="18"/>
                <w:color w:val="auto"/>
                <w:w w:val="97"/>
              </w:rPr>
              <w:t>Section 7.01</w:t>
            </w:r>
          </w:p>
        </w:tc>
        <w:tc>
          <w:tcPr>
            <w:tcW w:w="7540" w:type="dxa"/>
            <w:vAlign w:val="bottom"/>
          </w:tcPr>
          <w:p>
            <w:pPr>
              <w:ind w:left="40"/>
              <w:spacing w:after="0"/>
              <w:rPr>
                <w:sz w:val="20"/>
                <w:szCs w:val="20"/>
                <w:color w:val="auto"/>
              </w:rPr>
            </w:pPr>
            <w:r>
              <w:rPr>
                <w:rFonts w:ascii="Arial" w:cs="Arial" w:eastAsia="Arial" w:hAnsi="Arial"/>
                <w:sz w:val="18"/>
                <w:szCs w:val="18"/>
                <w:color w:val="auto"/>
              </w:rPr>
              <w:t>Discharge.</w:t>
            </w:r>
          </w:p>
        </w:tc>
        <w:tc>
          <w:tcPr>
            <w:tcW w:w="22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1660" w:type="dxa"/>
            <w:vAlign w:val="bottom"/>
          </w:tcPr>
          <w:p>
            <w:pPr>
              <w:ind w:left="660"/>
              <w:spacing w:after="0"/>
              <w:rPr>
                <w:sz w:val="20"/>
                <w:szCs w:val="20"/>
                <w:color w:val="auto"/>
              </w:rPr>
            </w:pPr>
            <w:r>
              <w:rPr>
                <w:rFonts w:ascii="Arial" w:cs="Arial" w:eastAsia="Arial" w:hAnsi="Arial"/>
                <w:sz w:val="18"/>
                <w:szCs w:val="18"/>
                <w:color w:val="auto"/>
                <w:w w:val="97"/>
              </w:rPr>
              <w:t>Section 7.02</w:t>
            </w:r>
          </w:p>
        </w:tc>
        <w:tc>
          <w:tcPr>
            <w:tcW w:w="7540" w:type="dxa"/>
            <w:vAlign w:val="bottom"/>
          </w:tcPr>
          <w:p>
            <w:pPr>
              <w:ind w:left="40"/>
              <w:spacing w:after="0"/>
              <w:rPr>
                <w:sz w:val="20"/>
                <w:szCs w:val="20"/>
                <w:color w:val="auto"/>
              </w:rPr>
            </w:pPr>
            <w:r>
              <w:rPr>
                <w:rFonts w:ascii="Arial" w:cs="Arial" w:eastAsia="Arial" w:hAnsi="Arial"/>
                <w:sz w:val="18"/>
                <w:szCs w:val="18"/>
                <w:color w:val="auto"/>
              </w:rPr>
              <w:t>No Defeasance.</w:t>
            </w:r>
          </w:p>
        </w:tc>
        <w:tc>
          <w:tcPr>
            <w:tcW w:w="22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9200" w:type="dxa"/>
            <w:vAlign w:val="bottom"/>
            <w:gridSpan w:val="2"/>
          </w:tcPr>
          <w:p>
            <w:pPr>
              <w:spacing w:after="0"/>
              <w:rPr>
                <w:sz w:val="20"/>
                <w:szCs w:val="20"/>
                <w:color w:val="auto"/>
              </w:rPr>
            </w:pPr>
            <w:r>
              <w:rPr>
                <w:rFonts w:ascii="Arial" w:cs="Arial" w:eastAsia="Arial" w:hAnsi="Arial"/>
                <w:sz w:val="18"/>
                <w:szCs w:val="18"/>
                <w:color w:val="auto"/>
              </w:rPr>
              <w:t>Article VIII. SUPPLEMENTAL INDENTURES</w:t>
            </w:r>
          </w:p>
        </w:tc>
        <w:tc>
          <w:tcPr>
            <w:tcW w:w="22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0"/>
        </w:trPr>
        <w:tc>
          <w:tcPr>
            <w:tcW w:w="9200" w:type="dxa"/>
            <w:vAlign w:val="bottom"/>
            <w:gridSpan w:val="2"/>
          </w:tcPr>
          <w:p>
            <w:pPr>
              <w:ind w:left="660"/>
              <w:spacing w:after="0"/>
              <w:rPr>
                <w:sz w:val="20"/>
                <w:szCs w:val="20"/>
                <w:color w:val="auto"/>
              </w:rPr>
            </w:pPr>
            <w:r>
              <w:rPr>
                <w:rFonts w:ascii="Arial" w:cs="Arial" w:eastAsia="Arial" w:hAnsi="Arial"/>
                <w:sz w:val="18"/>
                <w:szCs w:val="18"/>
                <w:color w:val="auto"/>
              </w:rPr>
              <w:t>Section 8.01  Supplemental Indentures Without Consent of Holders.</w:t>
            </w:r>
          </w:p>
        </w:tc>
        <w:tc>
          <w:tcPr>
            <w:tcW w:w="22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9200" w:type="dxa"/>
            <w:vAlign w:val="bottom"/>
            <w:gridSpan w:val="2"/>
          </w:tcPr>
          <w:p>
            <w:pPr>
              <w:ind w:left="660"/>
              <w:spacing w:after="0"/>
              <w:rPr>
                <w:sz w:val="20"/>
                <w:szCs w:val="20"/>
                <w:color w:val="auto"/>
              </w:rPr>
            </w:pPr>
            <w:r>
              <w:rPr>
                <w:rFonts w:ascii="Arial" w:cs="Arial" w:eastAsia="Arial" w:hAnsi="Arial"/>
                <w:sz w:val="18"/>
                <w:szCs w:val="18"/>
                <w:color w:val="auto"/>
              </w:rPr>
              <w:t>Section 8.02  Supplemental Indenture with Consent of Holder.</w:t>
            </w:r>
          </w:p>
        </w:tc>
        <w:tc>
          <w:tcPr>
            <w:tcW w:w="22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9200" w:type="dxa"/>
            <w:vAlign w:val="bottom"/>
            <w:gridSpan w:val="2"/>
          </w:tcPr>
          <w:p>
            <w:pPr>
              <w:spacing w:after="0"/>
              <w:rPr>
                <w:sz w:val="20"/>
                <w:szCs w:val="20"/>
                <w:color w:val="auto"/>
              </w:rPr>
            </w:pPr>
            <w:r>
              <w:rPr>
                <w:rFonts w:ascii="Arial" w:cs="Arial" w:eastAsia="Arial" w:hAnsi="Arial"/>
                <w:sz w:val="18"/>
                <w:szCs w:val="18"/>
                <w:color w:val="auto"/>
              </w:rPr>
              <w:t>Article IX. ADDITIONAL COVENANTS</w:t>
            </w:r>
          </w:p>
        </w:tc>
        <w:tc>
          <w:tcPr>
            <w:tcW w:w="22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660" w:type="dxa"/>
            <w:vAlign w:val="bottom"/>
          </w:tcPr>
          <w:p>
            <w:pPr>
              <w:ind w:left="660"/>
              <w:spacing w:after="0"/>
              <w:rPr>
                <w:sz w:val="20"/>
                <w:szCs w:val="20"/>
                <w:color w:val="auto"/>
              </w:rPr>
            </w:pPr>
            <w:r>
              <w:rPr>
                <w:rFonts w:ascii="Arial" w:cs="Arial" w:eastAsia="Arial" w:hAnsi="Arial"/>
                <w:sz w:val="18"/>
                <w:szCs w:val="18"/>
                <w:color w:val="auto"/>
                <w:w w:val="97"/>
              </w:rPr>
              <w:t>Section 9.01</w:t>
            </w:r>
          </w:p>
        </w:tc>
        <w:tc>
          <w:tcPr>
            <w:tcW w:w="7540" w:type="dxa"/>
            <w:vAlign w:val="bottom"/>
          </w:tcPr>
          <w:p>
            <w:pPr>
              <w:ind w:left="40"/>
              <w:spacing w:after="0"/>
              <w:rPr>
                <w:sz w:val="20"/>
                <w:szCs w:val="20"/>
                <w:color w:val="auto"/>
              </w:rPr>
            </w:pPr>
            <w:r>
              <w:rPr>
                <w:rFonts w:ascii="Arial" w:cs="Arial" w:eastAsia="Arial" w:hAnsi="Arial"/>
                <w:sz w:val="18"/>
                <w:szCs w:val="18"/>
                <w:color w:val="auto"/>
              </w:rPr>
              <w:t>Reports.</w:t>
            </w:r>
          </w:p>
        </w:tc>
        <w:tc>
          <w:tcPr>
            <w:tcW w:w="22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9200" w:type="dxa"/>
            <w:vAlign w:val="bottom"/>
            <w:gridSpan w:val="2"/>
          </w:tcPr>
          <w:p>
            <w:pPr>
              <w:spacing w:after="0"/>
              <w:rPr>
                <w:sz w:val="20"/>
                <w:szCs w:val="20"/>
                <w:color w:val="auto"/>
              </w:rPr>
            </w:pPr>
            <w:r>
              <w:rPr>
                <w:rFonts w:ascii="Arial" w:cs="Arial" w:eastAsia="Arial" w:hAnsi="Arial"/>
                <w:sz w:val="18"/>
                <w:szCs w:val="18"/>
                <w:color w:val="auto"/>
              </w:rPr>
              <w:t>Article X. MISCELLANEOUS</w:t>
            </w:r>
          </w:p>
        </w:tc>
        <w:tc>
          <w:tcPr>
            <w:tcW w:w="22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10"/>
        </w:trPr>
        <w:tc>
          <w:tcPr>
            <w:tcW w:w="1660" w:type="dxa"/>
            <w:vAlign w:val="bottom"/>
          </w:tcPr>
          <w:p>
            <w:pPr>
              <w:ind w:left="660"/>
              <w:spacing w:after="0"/>
              <w:rPr>
                <w:sz w:val="20"/>
                <w:szCs w:val="20"/>
                <w:color w:val="auto"/>
              </w:rPr>
            </w:pPr>
            <w:r>
              <w:rPr>
                <w:rFonts w:ascii="Arial" w:cs="Arial" w:eastAsia="Arial" w:hAnsi="Arial"/>
                <w:sz w:val="18"/>
                <w:szCs w:val="18"/>
                <w:color w:val="auto"/>
                <w:w w:val="88"/>
              </w:rPr>
              <w:t>Section 10.01</w:t>
            </w:r>
          </w:p>
        </w:tc>
        <w:tc>
          <w:tcPr>
            <w:tcW w:w="7540" w:type="dxa"/>
            <w:vAlign w:val="bottom"/>
          </w:tcPr>
          <w:p>
            <w:pPr>
              <w:ind w:left="120"/>
              <w:spacing w:after="0"/>
              <w:rPr>
                <w:sz w:val="20"/>
                <w:szCs w:val="20"/>
                <w:color w:val="auto"/>
              </w:rPr>
            </w:pPr>
            <w:r>
              <w:rPr>
                <w:rFonts w:ascii="Arial" w:cs="Arial" w:eastAsia="Arial" w:hAnsi="Arial"/>
                <w:sz w:val="18"/>
                <w:szCs w:val="18"/>
                <w:color w:val="auto"/>
              </w:rPr>
              <w:t>Form of Notes.</w:t>
            </w:r>
          </w:p>
        </w:tc>
        <w:tc>
          <w:tcPr>
            <w:tcW w:w="22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9200" w:type="dxa"/>
            <w:vAlign w:val="bottom"/>
            <w:gridSpan w:val="2"/>
          </w:tcPr>
          <w:p>
            <w:pPr>
              <w:ind w:left="660"/>
              <w:spacing w:after="0"/>
              <w:rPr>
                <w:sz w:val="20"/>
                <w:szCs w:val="20"/>
                <w:color w:val="auto"/>
              </w:rPr>
            </w:pPr>
            <w:r>
              <w:rPr>
                <w:rFonts w:ascii="Arial" w:cs="Arial" w:eastAsia="Arial" w:hAnsi="Arial"/>
                <w:sz w:val="18"/>
                <w:szCs w:val="18"/>
                <w:color w:val="auto"/>
              </w:rPr>
              <w:t>Section 10.02  Additional Rights of Trustee.</w:t>
            </w:r>
          </w:p>
        </w:tc>
        <w:tc>
          <w:tcPr>
            <w:tcW w:w="22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9200" w:type="dxa"/>
            <w:vAlign w:val="bottom"/>
            <w:gridSpan w:val="2"/>
          </w:tcPr>
          <w:p>
            <w:pPr>
              <w:ind w:left="660"/>
              <w:spacing w:after="0"/>
              <w:rPr>
                <w:sz w:val="20"/>
                <w:szCs w:val="20"/>
                <w:color w:val="auto"/>
              </w:rPr>
            </w:pPr>
            <w:r>
              <w:rPr>
                <w:rFonts w:ascii="Arial" w:cs="Arial" w:eastAsia="Arial" w:hAnsi="Arial"/>
                <w:sz w:val="18"/>
                <w:szCs w:val="18"/>
                <w:color w:val="auto"/>
              </w:rPr>
              <w:t>Section 10.03  Ratification of Base Indenture.</w:t>
            </w:r>
          </w:p>
        </w:tc>
        <w:tc>
          <w:tcPr>
            <w:tcW w:w="22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9200" w:type="dxa"/>
            <w:vAlign w:val="bottom"/>
            <w:gridSpan w:val="2"/>
          </w:tcPr>
          <w:p>
            <w:pPr>
              <w:ind w:left="660"/>
              <w:spacing w:after="0"/>
              <w:rPr>
                <w:sz w:val="20"/>
                <w:szCs w:val="20"/>
                <w:color w:val="auto"/>
              </w:rPr>
            </w:pPr>
            <w:r>
              <w:rPr>
                <w:rFonts w:ascii="Arial" w:cs="Arial" w:eastAsia="Arial" w:hAnsi="Arial"/>
                <w:sz w:val="18"/>
                <w:szCs w:val="18"/>
                <w:color w:val="auto"/>
              </w:rPr>
              <w:t>Section 10.04  Trust Indenture Act Controls.</w:t>
            </w:r>
          </w:p>
        </w:tc>
        <w:tc>
          <w:tcPr>
            <w:tcW w:w="22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9200" w:type="dxa"/>
            <w:vAlign w:val="bottom"/>
            <w:gridSpan w:val="2"/>
          </w:tcPr>
          <w:p>
            <w:pPr>
              <w:ind w:left="660"/>
              <w:spacing w:after="0"/>
              <w:rPr>
                <w:sz w:val="20"/>
                <w:szCs w:val="20"/>
                <w:color w:val="auto"/>
              </w:rPr>
            </w:pPr>
            <w:r>
              <w:rPr>
                <w:rFonts w:ascii="Arial" w:cs="Arial" w:eastAsia="Arial" w:hAnsi="Arial"/>
                <w:sz w:val="18"/>
                <w:szCs w:val="18"/>
                <w:color w:val="auto"/>
              </w:rPr>
              <w:t>Section 10.05  Conflict with Indenture.</w:t>
            </w:r>
          </w:p>
        </w:tc>
        <w:tc>
          <w:tcPr>
            <w:tcW w:w="22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660" w:type="dxa"/>
            <w:vAlign w:val="bottom"/>
          </w:tcPr>
          <w:p>
            <w:pPr>
              <w:ind w:left="660"/>
              <w:spacing w:after="0"/>
              <w:rPr>
                <w:sz w:val="20"/>
                <w:szCs w:val="20"/>
                <w:color w:val="auto"/>
              </w:rPr>
            </w:pPr>
            <w:r>
              <w:rPr>
                <w:rFonts w:ascii="Arial" w:cs="Arial" w:eastAsia="Arial" w:hAnsi="Arial"/>
                <w:sz w:val="18"/>
                <w:szCs w:val="18"/>
                <w:color w:val="auto"/>
                <w:w w:val="88"/>
              </w:rPr>
              <w:t>Section 10.06</w:t>
            </w:r>
          </w:p>
        </w:tc>
        <w:tc>
          <w:tcPr>
            <w:tcW w:w="7540" w:type="dxa"/>
            <w:vAlign w:val="bottom"/>
          </w:tcPr>
          <w:p>
            <w:pPr>
              <w:ind w:left="120"/>
              <w:spacing w:after="0"/>
              <w:rPr>
                <w:sz w:val="20"/>
                <w:szCs w:val="20"/>
                <w:color w:val="auto"/>
              </w:rPr>
            </w:pPr>
            <w:r>
              <w:rPr>
                <w:rFonts w:ascii="Arial" w:cs="Arial" w:eastAsia="Arial" w:hAnsi="Arial"/>
                <w:sz w:val="18"/>
                <w:szCs w:val="18"/>
                <w:color w:val="auto"/>
              </w:rPr>
              <w:t>Governing Law.</w:t>
            </w:r>
          </w:p>
        </w:tc>
        <w:tc>
          <w:tcPr>
            <w:tcW w:w="22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660" w:type="dxa"/>
            <w:vAlign w:val="bottom"/>
          </w:tcPr>
          <w:p>
            <w:pPr>
              <w:ind w:left="660"/>
              <w:spacing w:after="0"/>
              <w:rPr>
                <w:sz w:val="20"/>
                <w:szCs w:val="20"/>
                <w:color w:val="auto"/>
              </w:rPr>
            </w:pPr>
            <w:r>
              <w:rPr>
                <w:rFonts w:ascii="Arial" w:cs="Arial" w:eastAsia="Arial" w:hAnsi="Arial"/>
                <w:sz w:val="18"/>
                <w:szCs w:val="18"/>
                <w:color w:val="auto"/>
                <w:w w:val="88"/>
              </w:rPr>
              <w:t>Section 10.07</w:t>
            </w:r>
          </w:p>
        </w:tc>
        <w:tc>
          <w:tcPr>
            <w:tcW w:w="7540" w:type="dxa"/>
            <w:vAlign w:val="bottom"/>
          </w:tcPr>
          <w:p>
            <w:pPr>
              <w:ind w:left="120"/>
              <w:spacing w:after="0"/>
              <w:rPr>
                <w:sz w:val="20"/>
                <w:szCs w:val="20"/>
                <w:color w:val="auto"/>
              </w:rPr>
            </w:pPr>
            <w:r>
              <w:rPr>
                <w:rFonts w:ascii="Arial" w:cs="Arial" w:eastAsia="Arial" w:hAnsi="Arial"/>
                <w:sz w:val="18"/>
                <w:szCs w:val="18"/>
                <w:color w:val="auto"/>
              </w:rPr>
              <w:t>Successors.</w:t>
            </w:r>
          </w:p>
        </w:tc>
        <w:tc>
          <w:tcPr>
            <w:tcW w:w="22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660" w:type="dxa"/>
            <w:vAlign w:val="bottom"/>
          </w:tcPr>
          <w:p>
            <w:pPr>
              <w:ind w:left="660"/>
              <w:spacing w:after="0"/>
              <w:rPr>
                <w:sz w:val="20"/>
                <w:szCs w:val="20"/>
                <w:color w:val="auto"/>
              </w:rPr>
            </w:pPr>
            <w:r>
              <w:rPr>
                <w:rFonts w:ascii="Arial" w:cs="Arial" w:eastAsia="Arial" w:hAnsi="Arial"/>
                <w:sz w:val="18"/>
                <w:szCs w:val="18"/>
                <w:color w:val="auto"/>
                <w:w w:val="88"/>
              </w:rPr>
              <w:t>Section 10.08</w:t>
            </w:r>
          </w:p>
        </w:tc>
        <w:tc>
          <w:tcPr>
            <w:tcW w:w="7540" w:type="dxa"/>
            <w:vAlign w:val="bottom"/>
          </w:tcPr>
          <w:p>
            <w:pPr>
              <w:ind w:left="120"/>
              <w:spacing w:after="0"/>
              <w:rPr>
                <w:sz w:val="20"/>
                <w:szCs w:val="20"/>
                <w:color w:val="auto"/>
              </w:rPr>
            </w:pPr>
            <w:r>
              <w:rPr>
                <w:rFonts w:ascii="Arial" w:cs="Arial" w:eastAsia="Arial" w:hAnsi="Arial"/>
                <w:sz w:val="18"/>
                <w:szCs w:val="18"/>
                <w:color w:val="auto"/>
              </w:rPr>
              <w:t>Counterparts.</w:t>
            </w:r>
          </w:p>
        </w:tc>
        <w:tc>
          <w:tcPr>
            <w:tcW w:w="22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9200" w:type="dxa"/>
            <w:vAlign w:val="bottom"/>
            <w:gridSpan w:val="2"/>
          </w:tcPr>
          <w:p>
            <w:pPr>
              <w:ind w:left="660"/>
              <w:spacing w:after="0"/>
              <w:rPr>
                <w:sz w:val="20"/>
                <w:szCs w:val="20"/>
                <w:color w:val="auto"/>
              </w:rPr>
            </w:pPr>
            <w:r>
              <w:rPr>
                <w:rFonts w:ascii="Arial" w:cs="Arial" w:eastAsia="Arial" w:hAnsi="Arial"/>
                <w:sz w:val="18"/>
                <w:szCs w:val="18"/>
                <w:color w:val="auto"/>
              </w:rPr>
              <w:t>Section 10.09  Waiver of Jury Trial.</w:t>
            </w:r>
          </w:p>
        </w:tc>
        <w:tc>
          <w:tcPr>
            <w:tcW w:w="22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660" w:type="dxa"/>
            <w:vAlign w:val="bottom"/>
          </w:tcPr>
          <w:p>
            <w:pPr>
              <w:ind w:left="660"/>
              <w:spacing w:after="0"/>
              <w:rPr>
                <w:sz w:val="20"/>
                <w:szCs w:val="20"/>
                <w:color w:val="auto"/>
              </w:rPr>
            </w:pPr>
            <w:r>
              <w:rPr>
                <w:rFonts w:ascii="Arial" w:cs="Arial" w:eastAsia="Arial" w:hAnsi="Arial"/>
                <w:sz w:val="18"/>
                <w:szCs w:val="18"/>
                <w:color w:val="auto"/>
                <w:w w:val="88"/>
              </w:rPr>
              <w:t>Section 10.10</w:t>
            </w:r>
          </w:p>
        </w:tc>
        <w:tc>
          <w:tcPr>
            <w:tcW w:w="7540" w:type="dxa"/>
            <w:vAlign w:val="bottom"/>
          </w:tcPr>
          <w:p>
            <w:pPr>
              <w:ind w:left="120"/>
              <w:spacing w:after="0"/>
              <w:rPr>
                <w:sz w:val="20"/>
                <w:szCs w:val="20"/>
                <w:color w:val="auto"/>
              </w:rPr>
            </w:pPr>
            <w:r>
              <w:rPr>
                <w:rFonts w:ascii="Arial" w:cs="Arial" w:eastAsia="Arial" w:hAnsi="Arial"/>
                <w:sz w:val="18"/>
                <w:szCs w:val="18"/>
                <w:color w:val="auto"/>
              </w:rPr>
              <w:t>Force Majeure.</w:t>
            </w:r>
          </w:p>
        </w:tc>
        <w:tc>
          <w:tcPr>
            <w:tcW w:w="22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9200" w:type="dxa"/>
            <w:vAlign w:val="bottom"/>
            <w:gridSpan w:val="2"/>
          </w:tcPr>
          <w:p>
            <w:pPr>
              <w:ind w:left="660"/>
              <w:spacing w:after="0"/>
              <w:rPr>
                <w:sz w:val="20"/>
                <w:szCs w:val="20"/>
                <w:color w:val="auto"/>
              </w:rPr>
            </w:pPr>
            <w:r>
              <w:rPr>
                <w:rFonts w:ascii="Arial" w:cs="Arial" w:eastAsia="Arial" w:hAnsi="Arial"/>
                <w:sz w:val="18"/>
                <w:szCs w:val="18"/>
                <w:color w:val="auto"/>
              </w:rPr>
              <w:t>Section 10.11  Calculations in Respect of the Notes.</w:t>
            </w:r>
          </w:p>
        </w:tc>
        <w:tc>
          <w:tcPr>
            <w:tcW w:w="22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660" w:type="dxa"/>
            <w:vAlign w:val="bottom"/>
          </w:tcPr>
          <w:p>
            <w:pPr>
              <w:ind w:left="660"/>
              <w:spacing w:after="0"/>
              <w:rPr>
                <w:sz w:val="20"/>
                <w:szCs w:val="20"/>
                <w:color w:val="auto"/>
              </w:rPr>
            </w:pPr>
            <w:r>
              <w:rPr>
                <w:rFonts w:ascii="Arial" w:cs="Arial" w:eastAsia="Arial" w:hAnsi="Arial"/>
                <w:sz w:val="18"/>
                <w:szCs w:val="18"/>
                <w:color w:val="auto"/>
                <w:w w:val="88"/>
              </w:rPr>
              <w:t>Section 10.12</w:t>
            </w:r>
          </w:p>
        </w:tc>
        <w:tc>
          <w:tcPr>
            <w:tcW w:w="7540" w:type="dxa"/>
            <w:vAlign w:val="bottom"/>
          </w:tcPr>
          <w:p>
            <w:pPr>
              <w:ind w:left="120"/>
              <w:spacing w:after="0"/>
              <w:rPr>
                <w:sz w:val="20"/>
                <w:szCs w:val="20"/>
                <w:color w:val="auto"/>
              </w:rPr>
            </w:pPr>
            <w:r>
              <w:rPr>
                <w:rFonts w:ascii="Arial" w:cs="Arial" w:eastAsia="Arial" w:hAnsi="Arial"/>
                <w:sz w:val="18"/>
                <w:szCs w:val="18"/>
                <w:color w:val="auto"/>
              </w:rPr>
              <w:t>Notices.</w:t>
            </w:r>
          </w:p>
        </w:tc>
        <w:tc>
          <w:tcPr>
            <w:tcW w:w="22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9200" w:type="dxa"/>
            <w:vAlign w:val="bottom"/>
            <w:gridSpan w:val="2"/>
          </w:tcPr>
          <w:p>
            <w:pPr>
              <w:ind w:left="660"/>
              <w:spacing w:after="0"/>
              <w:rPr>
                <w:sz w:val="20"/>
                <w:szCs w:val="20"/>
                <w:color w:val="auto"/>
              </w:rPr>
            </w:pPr>
            <w:r>
              <w:rPr>
                <w:rFonts w:ascii="Arial" w:cs="Arial" w:eastAsia="Arial" w:hAnsi="Arial"/>
                <w:sz w:val="18"/>
                <w:szCs w:val="18"/>
                <w:color w:val="auto"/>
              </w:rPr>
              <w:t>Section 10.13  No Personal Liability of Directors, Officers, Employees and Shareholders.</w:t>
            </w:r>
          </w:p>
        </w:tc>
        <w:tc>
          <w:tcPr>
            <w:tcW w:w="222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SECOND SUPPLEMENTAL INDENTURE</w:t>
      </w:r>
    </w:p>
    <w:p>
      <w:pPr>
        <w:spacing w:after="0" w:line="225" w:lineRule="exact"/>
        <w:rPr>
          <w:sz w:val="20"/>
          <w:szCs w:val="20"/>
          <w:color w:val="auto"/>
        </w:rPr>
      </w:pPr>
    </w:p>
    <w:p>
      <w:pPr>
        <w:ind w:right="120" w:firstLine="648"/>
        <w:spacing w:after="0" w:line="347" w:lineRule="auto"/>
        <w:rPr>
          <w:sz w:val="20"/>
          <w:szCs w:val="20"/>
          <w:color w:val="auto"/>
        </w:rPr>
      </w:pPr>
      <w:r>
        <w:rPr>
          <w:rFonts w:ascii="Arial" w:cs="Arial" w:eastAsia="Arial" w:hAnsi="Arial"/>
          <w:sz w:val="16"/>
          <w:szCs w:val="16"/>
          <w:b w:val="1"/>
          <w:bCs w:val="1"/>
          <w:color w:val="auto"/>
        </w:rPr>
        <w:t>THIS SECOND SUPPLEMENTAL INDENTURE</w:t>
      </w:r>
      <w:r>
        <w:rPr>
          <w:rFonts w:ascii="Arial" w:cs="Arial" w:eastAsia="Arial" w:hAnsi="Arial"/>
          <w:sz w:val="16"/>
          <w:szCs w:val="16"/>
          <w:color w:val="auto"/>
        </w:rPr>
        <w:t>, dated as of March 6, 2018 (the “</w:t>
      </w:r>
      <w:r>
        <w:rPr>
          <w:rFonts w:ascii="Arial" w:cs="Arial" w:eastAsia="Arial" w:hAnsi="Arial"/>
          <w:sz w:val="16"/>
          <w:szCs w:val="16"/>
          <w:u w:val="single" w:color="auto"/>
          <w:color w:val="auto"/>
        </w:rPr>
        <w:t>Second Supplemental Indenture</w:t>
      </w:r>
      <w:r>
        <w:rPr>
          <w:rFonts w:ascii="Arial" w:cs="Arial" w:eastAsia="Arial" w:hAnsi="Arial"/>
          <w:sz w:val="16"/>
          <w:szCs w:val="16"/>
          <w:color w:val="auto"/>
        </w:rPr>
        <w:t>”), to the Indenture (defined</w:t>
      </w:r>
      <w:r>
        <w:rPr>
          <w:rFonts w:ascii="Arial" w:cs="Arial" w:eastAsia="Arial" w:hAnsi="Arial"/>
          <w:sz w:val="16"/>
          <w:szCs w:val="16"/>
          <w:b w:val="1"/>
          <w:bCs w:val="1"/>
          <w:color w:val="auto"/>
        </w:rPr>
        <w:t xml:space="preserve"> </w:t>
      </w:r>
      <w:r>
        <w:rPr>
          <w:rFonts w:ascii="Arial" w:cs="Arial" w:eastAsia="Arial" w:hAnsi="Arial"/>
          <w:sz w:val="16"/>
          <w:szCs w:val="16"/>
          <w:color w:val="auto"/>
        </w:rPr>
        <w:t>below) between Fluidigm Corporation,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U.S. Bank National Association, as trustee (the “</w:t>
      </w:r>
      <w:r>
        <w:rPr>
          <w:rFonts w:ascii="Arial" w:cs="Arial" w:eastAsia="Arial" w:hAnsi="Arial"/>
          <w:sz w:val="16"/>
          <w:szCs w:val="16"/>
          <w:u w:val="single" w:color="auto"/>
          <w:color w:val="auto"/>
        </w:rPr>
        <w:t>Trustee</w:t>
      </w:r>
      <w:r>
        <w:rPr>
          <w:rFonts w:ascii="Arial" w:cs="Arial" w:eastAsia="Arial" w:hAnsi="Arial"/>
          <w:sz w:val="16"/>
          <w:szCs w:val="16"/>
          <w:color w:val="auto"/>
        </w:rPr>
        <w: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has heretofore executed and delivered to the Trustee an Indenture, dated as of February 4, 2014 (the “</w:t>
      </w:r>
      <w:r>
        <w:rPr>
          <w:rFonts w:ascii="Arial" w:cs="Arial" w:eastAsia="Arial" w:hAnsi="Arial"/>
          <w:sz w:val="18"/>
          <w:szCs w:val="18"/>
          <w:u w:val="single" w:color="auto"/>
          <w:color w:val="auto"/>
        </w:rPr>
        <w:t>Base Indenture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providing for the issuance from time to time of debentures, notes or other debt instruments of the Company, to be issued in one or more series as therein provided (“</w:t>
      </w:r>
      <w:r>
        <w:rPr>
          <w:rFonts w:ascii="Arial" w:cs="Arial" w:eastAsia="Arial" w:hAnsi="Arial"/>
          <w:sz w:val="18"/>
          <w:szCs w:val="18"/>
          <w:u w:val="single" w:color="auto"/>
          <w:color w:val="auto"/>
        </w:rPr>
        <w:t>Securities</w:t>
      </w:r>
      <w:r>
        <w:rPr>
          <w:rFonts w:ascii="Arial" w:cs="Arial" w:eastAsia="Arial" w:hAnsi="Arial"/>
          <w:sz w:val="18"/>
          <w:szCs w:val="18"/>
          <w:color w:val="auto"/>
        </w:rPr>
        <w:t>”);</w:t>
      </w:r>
    </w:p>
    <w:p>
      <w:pPr>
        <w:spacing w:after="0" w:line="176"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the terms of the Base Indenture, the Company desires to provide for the establishment of a new series of its Securities to be</w:t>
      </w:r>
      <w:r>
        <w:rPr>
          <w:rFonts w:ascii="Arial" w:cs="Arial" w:eastAsia="Arial" w:hAnsi="Arial"/>
          <w:sz w:val="18"/>
          <w:szCs w:val="18"/>
          <w:b w:val="1"/>
          <w:bCs w:val="1"/>
          <w:color w:val="auto"/>
        </w:rPr>
        <w:t xml:space="preserve"> </w:t>
      </w:r>
      <w:r>
        <w:rPr>
          <w:rFonts w:ascii="Arial" w:cs="Arial" w:eastAsia="Arial" w:hAnsi="Arial"/>
          <w:sz w:val="18"/>
          <w:szCs w:val="18"/>
          <w:color w:val="auto"/>
        </w:rPr>
        <w:t>known as its 2.75% Exchange Convertible Senior Notes due 2034 (the “</w:t>
      </w:r>
      <w:r>
        <w:rPr>
          <w:rFonts w:ascii="Arial" w:cs="Arial" w:eastAsia="Arial" w:hAnsi="Arial"/>
          <w:sz w:val="18"/>
          <w:szCs w:val="18"/>
          <w:u w:val="single" w:color="auto"/>
          <w:color w:val="auto"/>
        </w:rPr>
        <w:t>Notes</w:t>
      </w:r>
      <w:r>
        <w:rPr>
          <w:rFonts w:ascii="Arial" w:cs="Arial" w:eastAsia="Arial" w:hAnsi="Arial"/>
          <w:sz w:val="18"/>
          <w:szCs w:val="18"/>
          <w:color w:val="auto"/>
        </w:rPr>
        <w:t>”), the form and substance of such Notes and the terms, provisions and conditions thereof to be set forth as provided in the Base Indenture, as amended and supplemented by this Second Supplemental Indenture (the “</w:t>
      </w:r>
      <w:r>
        <w:rPr>
          <w:rFonts w:ascii="Arial" w:cs="Arial" w:eastAsia="Arial" w:hAnsi="Arial"/>
          <w:sz w:val="18"/>
          <w:szCs w:val="18"/>
          <w:u w:val="single" w:color="auto"/>
          <w:color w:val="auto"/>
        </w:rPr>
        <w:t>Indenture</w:t>
      </w:r>
      <w:r>
        <w:rPr>
          <w:rFonts w:ascii="Arial" w:cs="Arial" w:eastAsia="Arial" w:hAnsi="Arial"/>
          <w:sz w:val="18"/>
          <w:szCs w:val="18"/>
          <w:color w:val="auto"/>
        </w:rPr>
        <w:t>”); and</w:t>
      </w:r>
    </w:p>
    <w:p>
      <w:pPr>
        <w:spacing w:after="0" w:line="180"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has requested that the Trustee execute and deliver this Second Supplemental Indenture and all requirements necessary to</w:t>
      </w:r>
      <w:r>
        <w:rPr>
          <w:rFonts w:ascii="Arial" w:cs="Arial" w:eastAsia="Arial" w:hAnsi="Arial"/>
          <w:sz w:val="18"/>
          <w:szCs w:val="18"/>
          <w:b w:val="1"/>
          <w:bCs w:val="1"/>
          <w:color w:val="auto"/>
        </w:rPr>
        <w:t xml:space="preserve"> </w:t>
      </w:r>
      <w:r>
        <w:rPr>
          <w:rFonts w:ascii="Arial" w:cs="Arial" w:eastAsia="Arial" w:hAnsi="Arial"/>
          <w:sz w:val="18"/>
          <w:szCs w:val="18"/>
          <w:color w:val="auto"/>
        </w:rPr>
        <w:t>make this Second Supplemental Indenture a valid instrument in accordance with its terms, and to make the Notes, when executed by the Company and authenticated and delivered by the Trustee, the valid obligations of the Company, and all acts and things necessary have been done and performed to make this Second Supplemental Indenture enforceable in accordance with its terms, and the execution and delivery of this Second Supplemental Indenture has been duly authorized in all respects.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and in consideration of the premises contained herein, each party agrees for the benefit of each other party and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equal and ratable benefit of the Holders, as follows: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Capitalized Terms</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Capitalized terms used but not defined in this Second Supplemental Indenture shall have the meanings ascribed to them in the Base Indenture.</w:t>
      </w:r>
    </w:p>
    <w:p>
      <w:pPr>
        <w:spacing w:after="0" w:line="24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5"/>
          <w:szCs w:val="15"/>
          <w:u w:val="single" w:color="auto"/>
          <w:color w:val="auto"/>
        </w:rPr>
        <w:t>References</w:t>
      </w:r>
      <w:r>
        <w:rPr>
          <w:rFonts w:ascii="Arial" w:cs="Arial" w:eastAsia="Arial" w:hAnsi="Arial"/>
          <w:sz w:val="15"/>
          <w:szCs w:val="15"/>
          <w:color w:val="auto"/>
        </w:rPr>
        <w:t>.</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References in this Second Supplemental Indenture to article and section numbers shall be deemed to be references to article and section numbers of this Second Supplemental Indenture unless otherwise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9" w:name="page10"/>
    <w:bookmarkEnd w:id="9"/>
    <w:p>
      <w:pPr>
        <w:ind w:left="660"/>
        <w:spacing w:after="0"/>
        <w:tabs>
          <w:tab w:leader="none" w:pos="194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this Second Supplemental Indenture, the following terms have the meanings ascribed to them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Accreted Principal Amount</w:t>
      </w:r>
      <w:r>
        <w:rPr>
          <w:rFonts w:ascii="Arial" w:cs="Arial" w:eastAsia="Arial" w:hAnsi="Arial"/>
          <w:sz w:val="18"/>
          <w:szCs w:val="18"/>
          <w:color w:val="auto"/>
        </w:rPr>
        <w:t>” means the Original Principal Amount plus the principal accreted thereon pursuant to Section 2.07.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Interest</w:t>
      </w:r>
      <w:r>
        <w:rPr>
          <w:rFonts w:ascii="Arial" w:cs="Arial" w:eastAsia="Arial" w:hAnsi="Arial"/>
          <w:sz w:val="18"/>
          <w:szCs w:val="18"/>
          <w:color w:val="auto"/>
        </w:rPr>
        <w:t>” shall have the meaning provided in Section 6.03.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Shares</w:t>
      </w:r>
      <w:r>
        <w:rPr>
          <w:rFonts w:ascii="Arial" w:cs="Arial" w:eastAsia="Arial" w:hAnsi="Arial"/>
          <w:sz w:val="18"/>
          <w:szCs w:val="18"/>
          <w:color w:val="auto"/>
        </w:rPr>
        <w:t>” has the meaning provided in Section 5.07(a).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Indenture</w:t>
      </w:r>
      <w:r>
        <w:rPr>
          <w:rFonts w:ascii="Arial" w:cs="Arial" w:eastAsia="Arial" w:hAnsi="Arial"/>
          <w:sz w:val="18"/>
          <w:szCs w:val="18"/>
          <w:color w:val="auto"/>
        </w:rPr>
        <w:t>” has the meaning provided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w:t>
      </w:r>
      <w:r>
        <w:rPr>
          <w:rFonts w:ascii="Arial" w:cs="Arial" w:eastAsia="Arial" w:hAnsi="Arial"/>
          <w:sz w:val="18"/>
          <w:szCs w:val="18"/>
          <w:color w:val="auto"/>
        </w:rPr>
        <w:t>” has the meaning provided in Section 2.03.</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(x) a Saturday, (y) a Sunday or (z) a day on which state or federally chartered banking institutions in New York, New York are not required to be open.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Settlement</w:t>
      </w:r>
      <w:r>
        <w:rPr>
          <w:rFonts w:ascii="Arial" w:cs="Arial" w:eastAsia="Arial" w:hAnsi="Arial"/>
          <w:sz w:val="18"/>
          <w:szCs w:val="18"/>
          <w:color w:val="auto"/>
        </w:rPr>
        <w:t>” shall have the meaning provided in Section 5.03(a).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Close of Business</w:t>
      </w:r>
      <w:r>
        <w:rPr>
          <w:rFonts w:ascii="Arial" w:cs="Arial" w:eastAsia="Arial" w:hAnsi="Arial"/>
          <w:sz w:val="18"/>
          <w:szCs w:val="18"/>
          <w:color w:val="auto"/>
        </w:rPr>
        <w:t>” means 5:00 p.m., New York City time.</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Sale Price</w:t>
      </w:r>
      <w:r>
        <w:rPr>
          <w:rFonts w:ascii="Arial" w:cs="Arial" w:eastAsia="Arial" w:hAnsi="Arial"/>
          <w:sz w:val="16"/>
          <w:szCs w:val="16"/>
          <w:color w:val="auto"/>
        </w:rPr>
        <w:t>” of the Common Stock on any date means the closing per share sale price (or, if no closing sale price is reported, the average of the bid and ask prices or, if more than one in either case, the average of the average bid and the average ask prices) at 4:00 p.m., New York City time, on such date as reported in composite transactions for the Nasdaq Global Select Market or, if the Common Stock is not listed on the Nasdaq Global Select Market, the principal U.S. national or regional securities exchange on which the Common Stock is listed for trading or, if the Common Stock is not listed on a U.S. national or regional securities exchange, as reported by OTC Markets Group Inc. at 4:00 p.m., New York City time, on such date (or in either case the then-standard closing time for regular trading on the relevant exchange or trading system). If the closing sale price of the Common Stock is not so reported, the “Closing Sale Price” will be the average of the mid-point of the last bid and ask prices for the Common Stock on the relevant date from each of at least three nationally recognized independent investment banking firms selected by the Company for this purpose.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Combination Settlement</w:t>
      </w:r>
      <w:r>
        <w:rPr>
          <w:rFonts w:ascii="Arial" w:cs="Arial" w:eastAsia="Arial" w:hAnsi="Arial"/>
          <w:sz w:val="18"/>
          <w:szCs w:val="18"/>
          <w:color w:val="auto"/>
        </w:rPr>
        <w:t>” shall have the meaning provided in Section 5.03(a).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Company’s common stock, $0.001 par value per share.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Agent</w:t>
      </w:r>
      <w:r>
        <w:rPr>
          <w:rFonts w:ascii="Arial" w:cs="Arial" w:eastAsia="Arial" w:hAnsi="Arial"/>
          <w:sz w:val="18"/>
          <w:szCs w:val="18"/>
          <w:color w:val="auto"/>
        </w:rPr>
        <w:t>” has the meaning provided in Section 2.05.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Date</w:t>
      </w:r>
      <w:r>
        <w:rPr>
          <w:rFonts w:ascii="Arial" w:cs="Arial" w:eastAsia="Arial" w:hAnsi="Arial"/>
          <w:sz w:val="18"/>
          <w:szCs w:val="18"/>
          <w:color w:val="auto"/>
        </w:rPr>
        <w:t>” shall have the meaning provided in Section 5.03(c).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Notice</w:t>
      </w:r>
      <w:r>
        <w:rPr>
          <w:rFonts w:ascii="Arial" w:cs="Arial" w:eastAsia="Arial" w:hAnsi="Arial"/>
          <w:sz w:val="18"/>
          <w:szCs w:val="18"/>
          <w:color w:val="auto"/>
        </w:rPr>
        <w:t xml:space="preserve">” means a “Conversion Notice” in the form set forth in the global note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Obligation</w:t>
      </w:r>
      <w:r>
        <w:rPr>
          <w:rFonts w:ascii="Arial" w:cs="Arial" w:eastAsia="Arial" w:hAnsi="Arial"/>
          <w:sz w:val="18"/>
          <w:szCs w:val="18"/>
          <w:color w:val="auto"/>
        </w:rPr>
        <w:t>” shall have the meaning provided in Section 5.01.</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10" w:name="page11"/>
    <w:bookmarkEnd w:id="1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Price</w:t>
      </w:r>
      <w:r>
        <w:rPr>
          <w:rFonts w:ascii="Arial" w:cs="Arial" w:eastAsia="Arial" w:hAnsi="Arial"/>
          <w:sz w:val="18"/>
          <w:szCs w:val="18"/>
          <w:color w:val="auto"/>
        </w:rPr>
        <w:t>” of a Note at any time is equal to $1,000 divided by the Conversion Rate in effect at such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Rate</w:t>
      </w:r>
      <w:r>
        <w:rPr>
          <w:rFonts w:ascii="Arial" w:cs="Arial" w:eastAsia="Arial" w:hAnsi="Arial"/>
          <w:sz w:val="18"/>
          <w:szCs w:val="18"/>
          <w:color w:val="auto"/>
        </w:rPr>
        <w:t>” shall have the meaning provided in Section 5.01.</w:t>
      </w:r>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Custodian</w:t>
      </w:r>
      <w:r>
        <w:rPr>
          <w:rFonts w:ascii="Arial" w:cs="Arial" w:eastAsia="Arial" w:hAnsi="Arial"/>
          <w:sz w:val="18"/>
          <w:szCs w:val="18"/>
          <w:color w:val="auto"/>
        </w:rPr>
        <w:t>” means the Trustee, as custodian for DTC, with respect to the Global Notes, or any successor entity appointed by the Company as custodian for the Depositary under this Indenture.</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Conversion Value</w:t>
      </w:r>
      <w:r>
        <w:rPr>
          <w:rFonts w:ascii="Arial" w:cs="Arial" w:eastAsia="Arial" w:hAnsi="Arial"/>
          <w:sz w:val="18"/>
          <w:szCs w:val="18"/>
          <w:color w:val="auto"/>
        </w:rPr>
        <w:t>” means, for each of the 30 consecutive Trading Days during the Observation Period, one-thirtieth (1/30) of the product of (a) the Conversion Rate on such Trading Day and (b) the Daily VWAP for such Trading Day.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Measurement Value</w:t>
      </w:r>
      <w:r>
        <w:rPr>
          <w:rFonts w:ascii="Arial" w:cs="Arial" w:eastAsia="Arial" w:hAnsi="Arial"/>
          <w:sz w:val="18"/>
          <w:szCs w:val="18"/>
          <w:color w:val="auto"/>
        </w:rPr>
        <w:t>” means the Specified Dollar Amount (if any), divided by 30.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Settlement Amount</w:t>
      </w:r>
      <w:r>
        <w:rPr>
          <w:rFonts w:ascii="Arial" w:cs="Arial" w:eastAsia="Arial" w:hAnsi="Arial"/>
          <w:sz w:val="18"/>
          <w:szCs w:val="18"/>
          <w:color w:val="auto"/>
        </w:rPr>
        <w:t>,” for each of the 30 consecutive Trading Days during the Observation Period, shall consist of:</w:t>
      </w:r>
    </w:p>
    <w:p>
      <w:pPr>
        <w:spacing w:after="0" w:line="225" w:lineRule="exact"/>
        <w:rPr>
          <w:sz w:val="20"/>
          <w:szCs w:val="20"/>
          <w:color w:val="auto"/>
        </w:rPr>
      </w:pPr>
    </w:p>
    <w:p>
      <w:pPr>
        <w:ind w:left="1580" w:hanging="924"/>
        <w:spacing w:after="0"/>
        <w:tabs>
          <w:tab w:leader="none" w:pos="1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cash in an amount equal to the lesser of (i) the Daily Measurement Value and (ii) the Daily Conversion Value on such Trading Day; and</w:t>
      </w:r>
    </w:p>
    <w:p>
      <w:pPr>
        <w:spacing w:after="0" w:line="248" w:lineRule="exact"/>
        <w:rPr>
          <w:rFonts w:ascii="Arial" w:cs="Arial" w:eastAsia="Arial" w:hAnsi="Arial"/>
          <w:sz w:val="16"/>
          <w:szCs w:val="16"/>
          <w:color w:val="auto"/>
        </w:rPr>
      </w:pPr>
    </w:p>
    <w:p>
      <w:pPr>
        <w:ind w:right="120" w:firstLine="656"/>
        <w:spacing w:after="0" w:line="342" w:lineRule="auto"/>
        <w:tabs>
          <w:tab w:leader="none" w:pos="1533" w:val="left"/>
        </w:tabs>
        <w:numPr>
          <w:ilvl w:val="0"/>
          <w:numId w:val="2"/>
        </w:numPr>
        <w:rPr>
          <w:rFonts w:ascii="Arial" w:cs="Arial" w:eastAsia="Arial" w:hAnsi="Arial"/>
          <w:sz w:val="16"/>
          <w:szCs w:val="16"/>
          <w:color w:val="auto"/>
        </w:rPr>
      </w:pPr>
      <w:r>
        <w:rPr>
          <w:rFonts w:ascii="Arial" w:cs="Arial" w:eastAsia="Arial" w:hAnsi="Arial"/>
          <w:sz w:val="16"/>
          <w:szCs w:val="16"/>
          <w:color w:val="auto"/>
        </w:rPr>
        <w:t>if the Daily Conversion Value on such Trading Day exceeds the Daily Measurement Value, a number of shares of Common Stock equal to (i) the difference between the Daily Conversion Value and the Daily Measurement Value, divided by (ii) the Daily VWAP for such Trading Day.</w:t>
      </w:r>
    </w:p>
    <w:p>
      <w:pPr>
        <w:spacing w:after="0" w:line="12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Daily VWAP</w:t>
      </w:r>
      <w:r>
        <w:rPr>
          <w:rFonts w:ascii="Arial" w:cs="Arial" w:eastAsia="Arial" w:hAnsi="Arial"/>
          <w:sz w:val="17"/>
          <w:szCs w:val="17"/>
          <w:color w:val="auto"/>
        </w:rPr>
        <w:t>” means, for each of the 30 consecutive Trading Days during the relevant Observation Period, the per share volume-weighted average price as displayed under the heading “Bloomberg VWAP” on Bloomberg page “FLDM &lt;equity&gt; AQR” (or its equivalent successor if such Bloomberg page is not available) in respect of the period from the scheduled open of trading until the scheduled close of trading of the primary trading session on such Trading Day, up to and including the final closing print (which is indicated by Condition Code “6” in Bloomberg) (or if such volume-weighted average price is unavailable, the market value of one share of the Common Stock on such Trading Day reasonably determined, using a volume-weighted average method, by a nationally recognized independent investment banking firm retained for this purpose by the Company). The “</w:t>
      </w:r>
      <w:r>
        <w:rPr>
          <w:rFonts w:ascii="Arial" w:cs="Arial" w:eastAsia="Arial" w:hAnsi="Arial"/>
          <w:sz w:val="17"/>
          <w:szCs w:val="17"/>
          <w:u w:val="single" w:color="auto"/>
          <w:color w:val="auto"/>
        </w:rPr>
        <w:t>Daily VWAP</w:t>
      </w:r>
      <w:r>
        <w:rPr>
          <w:rFonts w:ascii="Arial" w:cs="Arial" w:eastAsia="Arial" w:hAnsi="Arial"/>
          <w:sz w:val="17"/>
          <w:szCs w:val="17"/>
          <w:color w:val="auto"/>
        </w:rPr>
        <w:t>” shall be determined without regard to after-hours trading or any other trading outside of the regular trading session trading hours.</w:t>
      </w:r>
    </w:p>
    <w:p>
      <w:pPr>
        <w:spacing w:after="0" w:line="17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Defaulted Amounts</w:t>
      </w:r>
      <w:r>
        <w:rPr>
          <w:rFonts w:ascii="Arial" w:cs="Arial" w:eastAsia="Arial" w:hAnsi="Arial"/>
          <w:sz w:val="18"/>
          <w:szCs w:val="18"/>
          <w:color w:val="auto"/>
        </w:rPr>
        <w:t>” means any amounts on any Note (including, without limitation, the Fundamental Change Repurchase Price, Accreted Principal Amount and interest) that are payable but are not punctually paid or duly provided for.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Depositary</w:t>
      </w:r>
      <w:r>
        <w:rPr>
          <w:rFonts w:ascii="Arial" w:cs="Arial" w:eastAsia="Arial" w:hAnsi="Arial"/>
          <w:sz w:val="18"/>
          <w:szCs w:val="18"/>
          <w:color w:val="auto"/>
        </w:rPr>
        <w:t>” has the meaning provided in Section 2.03.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Institution</w:t>
      </w:r>
      <w:r>
        <w:rPr>
          <w:rFonts w:ascii="Arial" w:cs="Arial" w:eastAsia="Arial" w:hAnsi="Arial"/>
          <w:sz w:val="18"/>
          <w:szCs w:val="18"/>
          <w:color w:val="auto"/>
        </w:rPr>
        <w:t>” has the meaning provided in Section 5.02.</w:t>
      </w:r>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DTC</w:t>
      </w:r>
      <w:r>
        <w:rPr>
          <w:rFonts w:ascii="Arial" w:cs="Arial" w:eastAsia="Arial" w:hAnsi="Arial"/>
          <w:sz w:val="18"/>
          <w:szCs w:val="18"/>
          <w:color w:val="auto"/>
        </w:rPr>
        <w:t>” means The Depository Trust Company, its nominees and their respective successors and assigns, or such other Depositary hereinafter appointed by the Company pursuant to the terms of the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provided in Section 5.07(b).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Market</w:t>
      </w:r>
      <w:r>
        <w:rPr>
          <w:rFonts w:ascii="Arial" w:cs="Arial" w:eastAsia="Arial" w:hAnsi="Arial"/>
          <w:sz w:val="18"/>
          <w:szCs w:val="18"/>
          <w:color w:val="auto"/>
        </w:rPr>
        <w:t>” has the meaning provided in Section 5.10(c)(ii).</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Conditions</w:t>
      </w:r>
      <w:r>
        <w:rPr>
          <w:rFonts w:ascii="Arial" w:cs="Arial" w:eastAsia="Arial" w:hAnsi="Arial"/>
          <w:sz w:val="18"/>
          <w:szCs w:val="18"/>
          <w:color w:val="auto"/>
        </w:rPr>
        <w:t>” has the meaning provided in Section 5.10(c).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Conditions Measuring Period</w:t>
      </w:r>
      <w:r>
        <w:rPr>
          <w:rFonts w:ascii="Arial" w:cs="Arial" w:eastAsia="Arial" w:hAnsi="Arial"/>
          <w:sz w:val="18"/>
          <w:szCs w:val="18"/>
          <w:color w:val="auto"/>
        </w:rPr>
        <w:t>” has the meaning provided in Section 5.10(c).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provided in Section 6.01.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Ex-Dividend Date</w:t>
      </w:r>
      <w:r>
        <w:rPr>
          <w:rFonts w:ascii="Arial" w:cs="Arial" w:eastAsia="Arial" w:hAnsi="Arial"/>
          <w:sz w:val="18"/>
          <w:szCs w:val="18"/>
          <w:color w:val="auto"/>
        </w:rPr>
        <w:t>” means the first date on which shares of the Common Stock trade on the applicable exchange or in the applicable market, regular way, without the right to receive the issuance, dividend or distribution in question, from the Company or, if applicable, from the seller of the Common Stock on such exchange or market (in the form of due bills or otherwise) as determined by such exchange or market.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Expiration Date</w:t>
      </w:r>
      <w:r>
        <w:rPr>
          <w:rFonts w:ascii="Arial" w:cs="Arial" w:eastAsia="Arial" w:hAnsi="Arial"/>
          <w:sz w:val="18"/>
          <w:szCs w:val="18"/>
          <w:color w:val="auto"/>
        </w:rPr>
        <w:t>” has the meaning provided in Section 5.05(e).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Expiration Time</w:t>
      </w:r>
      <w:r>
        <w:rPr>
          <w:rFonts w:ascii="Arial" w:cs="Arial" w:eastAsia="Arial" w:hAnsi="Arial"/>
          <w:sz w:val="18"/>
          <w:szCs w:val="18"/>
          <w:color w:val="auto"/>
        </w:rPr>
        <w:t>” has the meaning provided in Section 5.05(e).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w:t>
      </w:r>
      <w:r>
        <w:rPr>
          <w:rFonts w:ascii="Arial" w:cs="Arial" w:eastAsia="Arial" w:hAnsi="Arial"/>
          <w:sz w:val="17"/>
          <w:szCs w:val="17"/>
          <w:u w:val="single" w:color="auto"/>
          <w:color w:val="auto"/>
        </w:rPr>
        <w:t>Fundamental Change</w:t>
      </w:r>
      <w:r>
        <w:rPr>
          <w:rFonts w:ascii="Arial" w:cs="Arial" w:eastAsia="Arial" w:hAnsi="Arial"/>
          <w:sz w:val="17"/>
          <w:szCs w:val="17"/>
          <w:color w:val="auto"/>
        </w:rPr>
        <w:t>” will be deemed to have occurred if any of the following events occurs after the time the Notes are originally issued:</w:t>
      </w:r>
    </w:p>
    <w:p>
      <w:pPr>
        <w:spacing w:after="0" w:line="237" w:lineRule="exact"/>
        <w:rPr>
          <w:sz w:val="20"/>
          <w:szCs w:val="20"/>
          <w:color w:val="auto"/>
        </w:rPr>
      </w:pPr>
    </w:p>
    <w:p>
      <w:pPr>
        <w:ind w:right="140" w:firstLine="1953"/>
        <w:spacing w:after="0" w:line="257" w:lineRule="auto"/>
        <w:tabs>
          <w:tab w:leader="none" w:pos="283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“person” within the meaning of Section 13(d)(3) under the Exchange Act, other than us or our wholly-owned Subsidiaries, files a Schedule TO or any schedule, form or report under the Exchange Act disclosing that such person has become the direct or indirect “beneficial owner,” as defined in Rule 13d-3 under the Exchange Act, of shares of the Company’s Voting Stock representing 50% or more of the total voting power of all outstanding classes of the Company’s Voting Stock entitled to vote generally in elections of directors, or has the power, directly or indirectly, to elect a majority of the members of the Board of Directors;</w:t>
      </w:r>
    </w:p>
    <w:p>
      <w:pPr>
        <w:spacing w:after="0" w:line="188" w:lineRule="exact"/>
        <w:rPr>
          <w:rFonts w:ascii="Arial" w:cs="Arial" w:eastAsia="Arial" w:hAnsi="Arial"/>
          <w:sz w:val="18"/>
          <w:szCs w:val="18"/>
          <w:color w:val="auto"/>
        </w:rPr>
      </w:pPr>
    </w:p>
    <w:p>
      <w:pPr>
        <w:ind w:firstLine="1953"/>
        <w:spacing w:after="0" w:line="287" w:lineRule="auto"/>
        <w:tabs>
          <w:tab w:leader="none" w:pos="283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the consummation of (A) any recapitalization, reclassification or change of the Common Stock (other than changes resulting from a subdivision or combination or change in par value) as a result of which the Common Stock would be converted into, or exchanged for, stock, other securities, or other property or assets; (B) any consolidation, merger, combination or binding share exchange of the Company pursuant to which the Common Stock will be converted into, or exchanged for, cash, stock, other securities, or other property or assets; or (C) any sale, assignment, conveyance, transfer, lease or other disposition, in one transaction or a series of transactions, of all or substantially all of the consolidated assets of the Company and its Subsidiaries, taken as a whole, to any Person (it being agreed that that, for the avoidance of doubt, a pledge of assets pursuant to any agreement governing secured indebtedness shall be deemed not to be a sale, lease, transfer, conveyance or other disposition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transaction described in clause (A) or (B) above pursuant to which the Persons that “beneficially owned,” directly or indirectly, the shares of the Company’s Voting Stock immediately prior to such transaction “beneficially own,” directly or indirectly, shares of Voting Stock representing at least a majority of the total voting power of all outstanding classes of Voting Stock of the surviving or continuing corporation or transferee person or the parent thereof and such holders’ proportional voting power immediately after such transaction vis-à-vis each other with respect to the securities they receive in such transaction will be in substantially the same proportions as their respective voting power vis-à-vis each other immediately prior to such transaction will not constitute a “Fundamental Change”;</w:t>
      </w:r>
    </w:p>
    <w:p>
      <w:pPr>
        <w:spacing w:after="0" w:line="168" w:lineRule="exact"/>
        <w:rPr>
          <w:rFonts w:ascii="Arial" w:cs="Arial" w:eastAsia="Arial" w:hAnsi="Arial"/>
          <w:sz w:val="16"/>
          <w:szCs w:val="16"/>
          <w:color w:val="auto"/>
        </w:rPr>
      </w:pPr>
    </w:p>
    <w:p>
      <w:pPr>
        <w:ind w:left="2840" w:hanging="887"/>
        <w:spacing w:after="0"/>
        <w:tabs>
          <w:tab w:leader="none" w:pos="2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the Company (whether or not otherwise in</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compliance with the Indenture); or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2" w:name="page13"/>
    <w:bookmarkEnd w:id="12"/>
    <w:p>
      <w:pPr>
        <w:ind w:left="2840" w:hanging="887"/>
        <w:spacing w:after="0"/>
        <w:tabs>
          <w:tab w:leader="none" w:pos="2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Termination of Trading.</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For purposes of this definition of “Fundamental Change”, any transaction that constitutes a Fundamental Change pursuant to both clause (1) and clause (2) of this definition shall be deemed a fundamental change solely under clause (2) of this definition.</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However, notwithstanding the foregoing, a “Fundamental Change” will not be deemed to have occurred if at least 90% of the consideration paid for the Common Stock in a transaction or transactions described under clause (1) and/or (2) of this definition of Fundamental Change, excluding cash payments for any fractional share and cash payments made pursuant to dissenters’ appraisal rights, consists of shares of common stock traded on an Eligible Market (or any of their respective successors), or will be so traded immediately following such transaction, and, as a result therefrom, such consideration becomes the Reference Property for the Notes.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Fundamental Change Notice</w:t>
      </w:r>
      <w:r>
        <w:rPr>
          <w:rFonts w:ascii="Arial" w:cs="Arial" w:eastAsia="Arial" w:hAnsi="Arial"/>
          <w:sz w:val="18"/>
          <w:szCs w:val="18"/>
          <w:color w:val="auto"/>
        </w:rPr>
        <w:t>” has the meaning provided in Section 3.02(c).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Fundamental Change Repurchase Date</w:t>
      </w:r>
      <w:r>
        <w:rPr>
          <w:rFonts w:ascii="Arial" w:cs="Arial" w:eastAsia="Arial" w:hAnsi="Arial"/>
          <w:sz w:val="18"/>
          <w:szCs w:val="18"/>
          <w:color w:val="auto"/>
        </w:rPr>
        <w:t>” has the meaning provided in Section 3.02(a).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Fundamental Change Repurchase Notice</w:t>
      </w:r>
      <w:r>
        <w:rPr>
          <w:rFonts w:ascii="Arial" w:cs="Arial" w:eastAsia="Arial" w:hAnsi="Arial"/>
          <w:sz w:val="18"/>
          <w:szCs w:val="18"/>
          <w:color w:val="auto"/>
        </w:rPr>
        <w:t>” has the meaning provided in Section 3.02(b).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Fundamental Change Repurchase Price</w:t>
      </w:r>
      <w:r>
        <w:rPr>
          <w:rFonts w:ascii="Arial" w:cs="Arial" w:eastAsia="Arial" w:hAnsi="Arial"/>
          <w:sz w:val="18"/>
          <w:szCs w:val="18"/>
          <w:color w:val="auto"/>
        </w:rPr>
        <w:t>” means, with respect to any Notes to be repurchased by the Company under Section 3.02:</w:t>
      </w:r>
    </w:p>
    <w:p>
      <w:pPr>
        <w:spacing w:after="0" w:line="225" w:lineRule="exact"/>
        <w:rPr>
          <w:sz w:val="20"/>
          <w:szCs w:val="20"/>
          <w:color w:val="auto"/>
        </w:rPr>
      </w:pPr>
    </w:p>
    <w:p>
      <w:pPr>
        <w:ind w:left="1540" w:hanging="884"/>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100% of the Accreted Principal Amount of the Notes to be repurchased; plus</w:t>
      </w:r>
    </w:p>
    <w:p>
      <w:pPr>
        <w:spacing w:after="0" w:line="225" w:lineRule="exact"/>
        <w:rPr>
          <w:rFonts w:ascii="Arial" w:cs="Arial" w:eastAsia="Arial" w:hAnsi="Arial"/>
          <w:sz w:val="18"/>
          <w:szCs w:val="18"/>
          <w:color w:val="auto"/>
        </w:rPr>
      </w:pPr>
    </w:p>
    <w:p>
      <w:pPr>
        <w:ind w:right="140" w:firstLine="656"/>
        <w:spacing w:after="0" w:line="302" w:lineRule="auto"/>
        <w:tabs>
          <w:tab w:leader="none" w:pos="1533"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accrued and unpaid interest to, but excluding, the Fundamental Change Repurchase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Fundamental Change Repurchase Date shall be after a Regular Record Date and on or prior to the immediately succeeding Interest Payment Date, the Company shall instead pay the full amount of accrued and unpaid interest to, but excluding, such Interest Payment Date to the Holder of record as of the Close of Business on such Regular Record Date, and the repurchase price will be equal to 100% of the Accreted Principal Amount of the Notes subject to repurchase.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Fundamental Change Repurchase Right</w:t>
      </w:r>
      <w:r>
        <w:rPr>
          <w:rFonts w:ascii="Arial" w:cs="Arial" w:eastAsia="Arial" w:hAnsi="Arial"/>
          <w:sz w:val="18"/>
          <w:szCs w:val="18"/>
          <w:color w:val="auto"/>
        </w:rPr>
        <w:t>” has the meaning provided in Section 3.02(a).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a Person in whose name a Note is registered on the Registrar’s books.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 Option to Repurchase Notice</w:t>
      </w:r>
      <w:r>
        <w:rPr>
          <w:rFonts w:ascii="Arial" w:cs="Arial" w:eastAsia="Arial" w:hAnsi="Arial"/>
          <w:sz w:val="18"/>
          <w:szCs w:val="18"/>
          <w:color w:val="auto"/>
        </w:rPr>
        <w:t>” has the meaning provided in Section 3.03(c).</w:t>
      </w:r>
    </w:p>
    <w:p>
      <w:pPr>
        <w:spacing w:after="0" w:line="225"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without duplication, any obligations (other than non-recourse obligations) of the Company or any of its Significant Subsidiaries for borrowed money or evidenced by bonds, notes or similar instruments.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w:t>
      </w:r>
      <w:r>
        <w:rPr>
          <w:rFonts w:ascii="Arial" w:cs="Arial" w:eastAsia="Arial" w:hAnsi="Arial"/>
          <w:sz w:val="18"/>
          <w:szCs w:val="18"/>
          <w:color w:val="auto"/>
        </w:rPr>
        <w:t>” has the meaning provided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has the meaning provided in Section 2.04.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 Date</w:t>
      </w:r>
      <w:r>
        <w:rPr>
          <w:rFonts w:ascii="Arial" w:cs="Arial" w:eastAsia="Arial" w:hAnsi="Arial"/>
          <w:sz w:val="18"/>
          <w:szCs w:val="18"/>
          <w:color w:val="auto"/>
        </w:rPr>
        <w:t>” means March 6, 2018.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Issuer’s Conversion Date</w:t>
      </w:r>
      <w:r>
        <w:rPr>
          <w:rFonts w:ascii="Arial" w:cs="Arial" w:eastAsia="Arial" w:hAnsi="Arial"/>
          <w:sz w:val="18"/>
          <w:szCs w:val="18"/>
          <w:color w:val="auto"/>
        </w:rPr>
        <w:t>” has the meaning provided in Section 5.10(b).</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40"/>
          </w:cols>
          <w:pgMar w:left="240" w:top="692" w:right="319" w:bottom="1440" w:gutter="0" w:footer="0" w:header="0"/>
        </w:sectPr>
      </w:pPr>
    </w:p>
    <w:bookmarkStart w:id="13" w:name="page14"/>
    <w:bookmarkEnd w:id="1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Issuer’s Conversion Notice</w:t>
      </w:r>
      <w:r>
        <w:rPr>
          <w:rFonts w:ascii="Arial" w:cs="Arial" w:eastAsia="Arial" w:hAnsi="Arial"/>
          <w:sz w:val="18"/>
          <w:szCs w:val="18"/>
          <w:color w:val="auto"/>
        </w:rPr>
        <w:t>” has the meaning provided in Section 5.10(b).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Issuer’s Conversion Notice Date</w:t>
      </w:r>
      <w:r>
        <w:rPr>
          <w:rFonts w:ascii="Arial" w:cs="Arial" w:eastAsia="Arial" w:hAnsi="Arial"/>
          <w:sz w:val="18"/>
          <w:szCs w:val="18"/>
          <w:color w:val="auto"/>
        </w:rPr>
        <w:t>” has the meaning provided in Section 5.10(a).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Issuer’s Conversion Option</w:t>
      </w:r>
      <w:r>
        <w:rPr>
          <w:rFonts w:ascii="Arial" w:cs="Arial" w:eastAsia="Arial" w:hAnsi="Arial"/>
          <w:sz w:val="18"/>
          <w:szCs w:val="18"/>
          <w:color w:val="auto"/>
        </w:rPr>
        <w:t>” has the meaning provided in Section 5.10(a).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Issuer’s Conversion Trigger Event</w:t>
      </w:r>
      <w:r>
        <w:rPr>
          <w:rFonts w:ascii="Arial" w:cs="Arial" w:eastAsia="Arial" w:hAnsi="Arial"/>
          <w:sz w:val="18"/>
          <w:szCs w:val="18"/>
          <w:color w:val="auto"/>
        </w:rPr>
        <w:t>” has the meaning provided in Section 5.10(a).</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Make-Whole Fundamental Change</w:t>
      </w:r>
      <w:r>
        <w:rPr>
          <w:rFonts w:ascii="Arial" w:cs="Arial" w:eastAsia="Arial" w:hAnsi="Arial"/>
          <w:sz w:val="18"/>
          <w:szCs w:val="18"/>
          <w:color w:val="auto"/>
        </w:rPr>
        <w:t>” means a Fundamental Change (determined after giving effect to any exemptions or exclusions from such term, but without giving effect to the proviso in clause (2) of the definition thereof) that becomes effective prior to February 6, 2023.</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Make-Whole Fundamental Change Effective Date</w:t>
      </w:r>
      <w:r>
        <w:rPr>
          <w:rFonts w:ascii="Arial" w:cs="Arial" w:eastAsia="Arial" w:hAnsi="Arial"/>
          <w:sz w:val="18"/>
          <w:szCs w:val="18"/>
          <w:color w:val="auto"/>
        </w:rPr>
        <w:t>” has the meaning provided in Section 5.07(a).</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Market Disruption Event</w:t>
      </w:r>
      <w:r>
        <w:rPr>
          <w:rFonts w:ascii="Arial" w:cs="Arial" w:eastAsia="Arial" w:hAnsi="Arial"/>
          <w:sz w:val="17"/>
          <w:szCs w:val="17"/>
          <w:color w:val="auto"/>
        </w:rPr>
        <w:t>” means (1) a failure by the primary U.S. national or regional securities exchange or market on which the Company’s Common Stock is listed or admitted for trading during its regular trading session or (2) the occurrence or existence prior to 1:00 p.m., New York City time, on any Scheduled Trading Day for the Company’s Common Stock for more than one half-hour period in the aggregate during regular trading hours of any suspension or limitation imposed on trading (by reason of movement in price exceeding limits permitted by the relevant stock exchange or otherwise) in the Company’s Common Stock or in any options contracts or future contracts relating to the Company’s Common Stock.</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means February 1, 2034.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Event</w:t>
      </w:r>
      <w:r>
        <w:rPr>
          <w:rFonts w:ascii="Arial" w:cs="Arial" w:eastAsia="Arial" w:hAnsi="Arial"/>
          <w:sz w:val="18"/>
          <w:szCs w:val="18"/>
          <w:color w:val="auto"/>
        </w:rPr>
        <w:t>” shall have the meaning provided in Section 5.06.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has the meaning provided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Conversion</w:t>
      </w:r>
      <w:r>
        <w:rPr>
          <w:rFonts w:ascii="Arial" w:cs="Arial" w:eastAsia="Arial" w:hAnsi="Arial"/>
          <w:sz w:val="18"/>
          <w:szCs w:val="18"/>
          <w:color w:val="auto"/>
        </w:rPr>
        <w:t>” shall have the meaning provided in Section 5.03(b).</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Observation Period</w:t>
      </w:r>
      <w:r>
        <w:rPr>
          <w:rFonts w:ascii="Arial" w:cs="Arial" w:eastAsia="Arial" w:hAnsi="Arial"/>
          <w:sz w:val="16"/>
          <w:szCs w:val="16"/>
          <w:color w:val="auto"/>
        </w:rPr>
        <w:t>” with respect to any Note surrendered for conversion means: (i) in the case of a conversion of a Note called for redemption pursuant to Section 3.01(b) or the issuance of an Issuer’s Conversion Notice pursuant to Section 5.10, the 30 consecutive Trading Day period beginning on, and including, the 32nd Scheduled Trading Day prior to the Redemption Date or Issuer’s Conversion Date, as applicable; (ii) except as set forth in clause (i), if the relevant Conversion Date occurs prior to August 1, 2033, the 30 consecutive Trading Day period beginning on, and including, the second Trading Day immediately succeeding such Conversion Date; and (iii) except as set forth in clause (i), if the relevant Conversion Date occurs on or after August 1, 2033, the 30 consecutive Trading Days beginning on, and including, the 32nd Scheduled Trading Day immediately preceding the Maturity Date.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OID Legend</w:t>
      </w:r>
      <w:r>
        <w:rPr>
          <w:rFonts w:ascii="Arial" w:cs="Arial" w:eastAsia="Arial" w:hAnsi="Arial"/>
          <w:sz w:val="18"/>
          <w:szCs w:val="18"/>
          <w:color w:val="auto"/>
        </w:rPr>
        <w:t xml:space="preserve">” means the legend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Open of Business</w:t>
      </w:r>
      <w:r>
        <w:rPr>
          <w:rFonts w:ascii="Arial" w:cs="Arial" w:eastAsia="Arial" w:hAnsi="Arial"/>
          <w:sz w:val="18"/>
          <w:szCs w:val="18"/>
          <w:color w:val="auto"/>
        </w:rPr>
        <w:t>” means 9:00 a.m., New York City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Optional Redemption</w:t>
      </w:r>
      <w:r>
        <w:rPr>
          <w:rFonts w:ascii="Arial" w:cs="Arial" w:eastAsia="Arial" w:hAnsi="Arial"/>
          <w:sz w:val="18"/>
          <w:szCs w:val="18"/>
          <w:color w:val="auto"/>
        </w:rPr>
        <w:t>” has the meaning provided in Section 3.01(b).</w:t>
      </w:r>
    </w:p>
    <w:p>
      <w:pPr>
        <w:spacing w:after="0" w:line="225"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Original Principal Amount</w:t>
      </w:r>
      <w:r>
        <w:rPr>
          <w:rFonts w:ascii="Arial" w:cs="Arial" w:eastAsia="Arial" w:hAnsi="Arial"/>
          <w:sz w:val="17"/>
          <w:szCs w:val="17"/>
          <w:color w:val="auto"/>
        </w:rPr>
        <w:t>” means (a) with respect to the Notes issued on the Issue Date, the principal amount of the Notes on the Issue Date, which is $125,000,000, and (b) with respect to any additional Notes, the principal amount of such additional Notes on their date of issuance.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4" w:name="page15"/>
    <w:bookmarkEnd w:id="14"/>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partnership, joint venture, association, joint stock company, trust, unincorporated organization, limited liability company, government or any agency or political subdivision hereof or any other entity.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Physical Settlement</w:t>
      </w:r>
      <w:r>
        <w:rPr>
          <w:rFonts w:ascii="Arial" w:cs="Arial" w:eastAsia="Arial" w:hAnsi="Arial"/>
          <w:sz w:val="18"/>
          <w:szCs w:val="18"/>
          <w:color w:val="auto"/>
        </w:rPr>
        <w:t>” shall have the meaning provided in Section 5.03(a).</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 Date</w:t>
      </w:r>
      <w:r>
        <w:rPr>
          <w:rFonts w:ascii="Arial" w:cs="Arial" w:eastAsia="Arial" w:hAnsi="Arial"/>
          <w:sz w:val="18"/>
          <w:szCs w:val="18"/>
          <w:color w:val="auto"/>
        </w:rPr>
        <w:t>” means, with respect to any dividend, distribution or other transaction or event in which the holders of the Common Stock have the right to receive any cash, securities or other property or in which Common Stock (or other applicable security) is exchanged for or converted into any combination of cash, securities or other property, the date fixed for determination of holders of the Common Stock entitled to receive such cash, securities or other property (whether such date is fixed by the Board of Directors, statute, contract or otherwise).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Date</w:t>
      </w:r>
      <w:r>
        <w:rPr>
          <w:rFonts w:ascii="Arial" w:cs="Arial" w:eastAsia="Arial" w:hAnsi="Arial"/>
          <w:sz w:val="18"/>
          <w:szCs w:val="18"/>
          <w:color w:val="auto"/>
        </w:rPr>
        <w:t>” has the meaning provided in Section 3.01(b).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Notice</w:t>
      </w:r>
      <w:r>
        <w:rPr>
          <w:rFonts w:ascii="Arial" w:cs="Arial" w:eastAsia="Arial" w:hAnsi="Arial"/>
          <w:sz w:val="18"/>
          <w:szCs w:val="18"/>
          <w:color w:val="auto"/>
        </w:rPr>
        <w:t>” has the meaning provided in Section 3.01(c).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Price</w:t>
      </w:r>
      <w:r>
        <w:rPr>
          <w:rFonts w:ascii="Arial" w:cs="Arial" w:eastAsia="Arial" w:hAnsi="Arial"/>
          <w:sz w:val="18"/>
          <w:szCs w:val="18"/>
          <w:color w:val="auto"/>
        </w:rPr>
        <w:t>” means, with respect to any Notes to be redeemed by the Company under Section 3.01:</w:t>
      </w:r>
    </w:p>
    <w:p>
      <w:pPr>
        <w:spacing w:after="0" w:line="225" w:lineRule="exact"/>
        <w:rPr>
          <w:sz w:val="20"/>
          <w:szCs w:val="20"/>
          <w:color w:val="auto"/>
        </w:rPr>
      </w:pPr>
    </w:p>
    <w:p>
      <w:pPr>
        <w:ind w:left="1540" w:hanging="884"/>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100% of the Accreted Principal Amount of the Notes being redeemed; plus</w:t>
      </w:r>
    </w:p>
    <w:p>
      <w:pPr>
        <w:spacing w:after="0" w:line="225" w:lineRule="exact"/>
        <w:rPr>
          <w:rFonts w:ascii="Arial" w:cs="Arial" w:eastAsia="Arial" w:hAnsi="Arial"/>
          <w:sz w:val="18"/>
          <w:szCs w:val="18"/>
          <w:color w:val="auto"/>
        </w:rPr>
      </w:pPr>
    </w:p>
    <w:p>
      <w:pPr>
        <w:jc w:val="both"/>
        <w:ind w:right="100" w:firstLine="656"/>
        <w:spacing w:after="0" w:line="259" w:lineRule="auto"/>
        <w:tabs>
          <w:tab w:leader="none" w:pos="1533"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accrued and unpaid interest, if any, to, but excluding, such Redemption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Redemption Date shall be after a Regular Record Date and on or prior to the immediately succeeding Interest Payment Date, the Company shall instead pay the full amount of accrued and unpaid interest to the Holder of record as of the Close of Business on such Regular Record Date and the “Redemption Price” shall be 100% of the Accreted Principal Amount of the Notes to be redeemed.</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00"/>
          </w:cols>
          <w:pgMar w:left="240" w:top="692" w:right="359" w:bottom="1440" w:gutter="0" w:footer="0" w:header="0"/>
        </w:sectPr>
      </w:pPr>
    </w:p>
    <w:bookmarkStart w:id="15" w:name="page16"/>
    <w:bookmarkEnd w:id="1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Property</w:t>
      </w:r>
      <w:r>
        <w:rPr>
          <w:rFonts w:ascii="Arial" w:cs="Arial" w:eastAsia="Arial" w:hAnsi="Arial"/>
          <w:sz w:val="18"/>
          <w:szCs w:val="18"/>
          <w:color w:val="auto"/>
        </w:rPr>
        <w:t>” has the meaning provided in Section 5.06(c).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Regular Record Date</w:t>
      </w:r>
      <w:r>
        <w:rPr>
          <w:rFonts w:ascii="Arial" w:cs="Arial" w:eastAsia="Arial" w:hAnsi="Arial"/>
          <w:sz w:val="18"/>
          <w:szCs w:val="18"/>
          <w:color w:val="auto"/>
        </w:rPr>
        <w:t>” has the meaning provided in Section 2.04.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Distribution</w:t>
      </w:r>
      <w:r>
        <w:rPr>
          <w:rFonts w:ascii="Arial" w:cs="Arial" w:eastAsia="Arial" w:hAnsi="Arial"/>
          <w:sz w:val="18"/>
          <w:szCs w:val="18"/>
          <w:color w:val="auto"/>
        </w:rPr>
        <w:t>” has the meaning provided in Section 5.05(c).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Repurchase Date</w:t>
      </w:r>
      <w:r>
        <w:rPr>
          <w:rFonts w:ascii="Arial" w:cs="Arial" w:eastAsia="Arial" w:hAnsi="Arial"/>
          <w:sz w:val="18"/>
          <w:szCs w:val="18"/>
          <w:color w:val="auto"/>
        </w:rPr>
        <w:t>” has the meaning provided in Section 3.03(a).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Repurchase Notice</w:t>
      </w:r>
      <w:r>
        <w:rPr>
          <w:rFonts w:ascii="Arial" w:cs="Arial" w:eastAsia="Arial" w:hAnsi="Arial"/>
          <w:sz w:val="18"/>
          <w:szCs w:val="18"/>
          <w:color w:val="auto"/>
        </w:rPr>
        <w:t xml:space="preserve">” means a “Repurchase Notice” in the form set forth in the global note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Repurchase Price</w:t>
      </w:r>
      <w:r>
        <w:rPr>
          <w:rFonts w:ascii="Arial" w:cs="Arial" w:eastAsia="Arial" w:hAnsi="Arial"/>
          <w:sz w:val="18"/>
          <w:szCs w:val="18"/>
          <w:color w:val="auto"/>
        </w:rPr>
        <w:t>” means, with respect to any Notes to be repurchased by the Company under Section 3.03:</w:t>
      </w:r>
    </w:p>
    <w:p>
      <w:pPr>
        <w:spacing w:after="0" w:line="225" w:lineRule="exact"/>
        <w:rPr>
          <w:sz w:val="20"/>
          <w:szCs w:val="20"/>
          <w:color w:val="auto"/>
        </w:rPr>
      </w:pPr>
    </w:p>
    <w:p>
      <w:pPr>
        <w:ind w:left="1540" w:hanging="884"/>
        <w:spacing w:after="0"/>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100% of the Accreted Principal Amount of the Notes being repurchased; plus</w:t>
      </w:r>
    </w:p>
    <w:p>
      <w:pPr>
        <w:spacing w:after="0" w:line="225" w:lineRule="exact"/>
        <w:rPr>
          <w:rFonts w:ascii="Arial" w:cs="Arial" w:eastAsia="Arial" w:hAnsi="Arial"/>
          <w:sz w:val="18"/>
          <w:szCs w:val="18"/>
          <w:color w:val="auto"/>
        </w:rPr>
      </w:pPr>
    </w:p>
    <w:p>
      <w:pPr>
        <w:ind w:right="380" w:firstLine="656"/>
        <w:spacing w:after="0" w:line="259" w:lineRule="auto"/>
        <w:tabs>
          <w:tab w:leader="none" w:pos="1533"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accrued and unpaid interest, if any, to, but excluding, such Repurchase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Repurchase Date shall be after a Regular Record Date but on or prior to the immediately succeeding Interest Payment Date, the Company shall instead pay the full amount of accrued and unpaid interest to the Holder of record as of the Close of Business on such Regular Record Date and the repurchase price shall be 100% of the Accreted Principal Amount of the Notes to be repurchased.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Repurchase Right</w:t>
      </w:r>
      <w:r>
        <w:rPr>
          <w:rFonts w:ascii="Arial" w:cs="Arial" w:eastAsia="Arial" w:hAnsi="Arial"/>
          <w:sz w:val="18"/>
          <w:szCs w:val="18"/>
          <w:color w:val="auto"/>
        </w:rPr>
        <w:t>” has the meaning provided in Section 3.03(a).</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Scheduled Trading Day</w:t>
      </w:r>
      <w:r>
        <w:rPr>
          <w:rFonts w:ascii="Arial" w:cs="Arial" w:eastAsia="Arial" w:hAnsi="Arial"/>
          <w:sz w:val="18"/>
          <w:szCs w:val="18"/>
          <w:color w:val="auto"/>
        </w:rPr>
        <w:t>” means any day that is scheduled to be a trading day on the primary U.S. exchange or quotation system on which the Company’s Common Stock is listed or admitted for trading, or if the Company’s Common Stock is not so listed or admitted for trading, “Scheduled Trading Day” means a Business Day.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Supplemental Indenture</w:t>
      </w:r>
      <w:r>
        <w:rPr>
          <w:rFonts w:ascii="Arial" w:cs="Arial" w:eastAsia="Arial" w:hAnsi="Arial"/>
          <w:sz w:val="18"/>
          <w:szCs w:val="18"/>
          <w:color w:val="auto"/>
        </w:rPr>
        <w:t>” has the meaning provided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382 Limitation</w:t>
      </w:r>
      <w:r>
        <w:rPr>
          <w:rFonts w:ascii="Arial" w:cs="Arial" w:eastAsia="Arial" w:hAnsi="Arial"/>
          <w:sz w:val="18"/>
          <w:szCs w:val="18"/>
          <w:color w:val="auto"/>
        </w:rPr>
        <w:t>” has the meaning provided in Section 5.11.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has the meaning provided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Amount</w:t>
      </w:r>
      <w:r>
        <w:rPr>
          <w:rFonts w:ascii="Arial" w:cs="Arial" w:eastAsia="Arial" w:hAnsi="Arial"/>
          <w:sz w:val="18"/>
          <w:szCs w:val="18"/>
          <w:color w:val="auto"/>
        </w:rPr>
        <w:t>” has the meaning provided in Section 5.03(a)(iv).</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Method</w:t>
      </w:r>
      <w:r>
        <w:rPr>
          <w:rFonts w:ascii="Arial" w:cs="Arial" w:eastAsia="Arial" w:hAnsi="Arial"/>
          <w:sz w:val="18"/>
          <w:szCs w:val="18"/>
          <w:color w:val="auto"/>
        </w:rPr>
        <w:t>” means, with respect to any conversion of Notes, Physical Settlement, Cash Settlement or Combination Settlement, as elected (or deemed to have been elected) by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Notice</w:t>
      </w:r>
      <w:r>
        <w:rPr>
          <w:rFonts w:ascii="Arial" w:cs="Arial" w:eastAsia="Arial" w:hAnsi="Arial"/>
          <w:sz w:val="18"/>
          <w:szCs w:val="18"/>
          <w:color w:val="auto"/>
        </w:rPr>
        <w:t>” shall have the meaning provided in Section 5.03(a)(iii).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Significant Subsidiary</w:t>
      </w:r>
      <w:r>
        <w:rPr>
          <w:rFonts w:ascii="Arial" w:cs="Arial" w:eastAsia="Arial" w:hAnsi="Arial"/>
          <w:sz w:val="16"/>
          <w:szCs w:val="16"/>
          <w:color w:val="auto"/>
        </w:rPr>
        <w:t>” has the meaning provided to such term in Rule 1-02(w) of Regulation S-X under the Securities Act of 1933, as amended.</w:t>
      </w:r>
    </w:p>
    <w:p>
      <w:pPr>
        <w:spacing w:after="0" w:line="248"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Dollar Amount</w:t>
      </w:r>
      <w:r>
        <w:rPr>
          <w:rFonts w:ascii="Arial" w:cs="Arial" w:eastAsia="Arial" w:hAnsi="Arial"/>
          <w:sz w:val="18"/>
          <w:szCs w:val="18"/>
          <w:color w:val="auto"/>
        </w:rPr>
        <w:t>” means the maximum cash amount per $1,000 Original Principal Amount of Notes to be received upon conversion as specified (or deemed specified pursuant to this Indenture) in the Settlement Notice related to any converted Notes.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Spin-Off</w:t>
      </w:r>
      <w:r>
        <w:rPr>
          <w:rFonts w:ascii="Arial" w:cs="Arial" w:eastAsia="Arial" w:hAnsi="Arial"/>
          <w:sz w:val="18"/>
          <w:szCs w:val="18"/>
          <w:color w:val="auto"/>
        </w:rPr>
        <w:t>” has the meaning provided in Section 5.05(c)(B).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Price</w:t>
      </w:r>
      <w:r>
        <w:rPr>
          <w:rFonts w:ascii="Arial" w:cs="Arial" w:eastAsia="Arial" w:hAnsi="Arial"/>
          <w:sz w:val="18"/>
          <w:szCs w:val="18"/>
          <w:color w:val="auto"/>
        </w:rPr>
        <w:t>” has the meaning provided in Section 5.07(b).</w:t>
      </w:r>
    </w:p>
    <w:p>
      <w:pPr>
        <w:spacing w:after="0" w:line="225"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corporation of which at the time of determination by the Company, directly and/or indirectly through one or more Subsidiaries, owns more than 50% of the shares of Voting Stock.</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of Trading</w:t>
      </w:r>
      <w:r>
        <w:rPr>
          <w:rFonts w:ascii="Arial" w:cs="Arial" w:eastAsia="Arial" w:hAnsi="Arial"/>
          <w:sz w:val="18"/>
          <w:szCs w:val="18"/>
          <w:color w:val="auto"/>
        </w:rPr>
        <w:t>” means the Common Stock (or Reference Property into which the Notes are convertible) ceases to be listed or quoted on any Eligible Market (or any successors thereof).</w:t>
      </w:r>
    </w:p>
    <w:p>
      <w:pPr>
        <w:spacing w:after="0" w:line="17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Trading Day</w:t>
      </w:r>
      <w:r>
        <w:rPr>
          <w:rFonts w:ascii="Arial" w:cs="Arial" w:eastAsia="Arial" w:hAnsi="Arial"/>
          <w:sz w:val="16"/>
          <w:szCs w:val="16"/>
          <w:color w:val="auto"/>
        </w:rPr>
        <w:t>” means a day on which (i) the Nasdaq Global Select Market or, if the Common Stock is not listed on the Nasdaq Global Select Market, the principal other U.S. national or regional securities exchange on which the Common Stock is then listed is open for trading, in each case, with a scheduled closing time of 4:00 p.m. (New York City time) or the then-standard closing time for regular trading on the relevant exchange or market, or, if the Common Stock is not so listed, any Business Day, (ii) a Closing Sale Price for the Common Stock is available on such securities exchange or market and (iii) there is no Market Disruption Event. If the Common Stock is not so listed or traded, “</w:t>
      </w:r>
      <w:r>
        <w:rPr>
          <w:rFonts w:ascii="Arial" w:cs="Arial" w:eastAsia="Arial" w:hAnsi="Arial"/>
          <w:sz w:val="16"/>
          <w:szCs w:val="16"/>
          <w:u w:val="single" w:color="auto"/>
          <w:color w:val="auto"/>
        </w:rPr>
        <w:t>Trading Day</w:t>
      </w:r>
      <w:r>
        <w:rPr>
          <w:rFonts w:ascii="Arial" w:cs="Arial" w:eastAsia="Arial" w:hAnsi="Arial"/>
          <w:sz w:val="16"/>
          <w:szCs w:val="16"/>
          <w:color w:val="auto"/>
        </w:rPr>
        <w:t>” shall mean a Business Day.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has the meaning provided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Valuation Period</w:t>
      </w:r>
      <w:r>
        <w:rPr>
          <w:rFonts w:ascii="Arial" w:cs="Arial" w:eastAsia="Arial" w:hAnsi="Arial"/>
          <w:sz w:val="18"/>
          <w:szCs w:val="18"/>
          <w:color w:val="auto"/>
        </w:rPr>
        <w:t>” has the meaning provided in Section 5.05(c).</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6" w:name="page17"/>
    <w:bookmarkEnd w:id="16"/>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any class or classes of capital stock pursuant to which the holders thereof have the general voting power under ordinary circumstances to elect at least a majority of the board of directors, managers or trustees of any person (irrespective of whether or not, at the time, stock of any other class or classes shall have, or might have, voting power by reason of the happening of any contingency).</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u w:val="single" w:color="auto"/>
          <w:color w:val="auto"/>
        </w:rPr>
        <w:t>References to Interest</w:t>
      </w:r>
      <w:r>
        <w:rPr>
          <w:rFonts w:ascii="Arial" w:cs="Arial" w:eastAsia="Arial" w:hAnsi="Arial"/>
          <w:sz w:val="16"/>
          <w:szCs w:val="16"/>
          <w:color w:val="auto"/>
        </w:rPr>
        <w:t>.</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Any reference to interest on, or in respect of, any Note in this Indenture shall be deemed to include Additional Interest if, in such context, Additional Interest is, was or would be payable pursuant to Section 6.03. Any express mention of the payment of Additional Interest in any provision hereof shall not be construed as excluding Additional Interest in those provisions hereof where such express mention is not made. Any reference to interest on, or in respect of, any Notes does not include accretion of principal.</w:t>
      </w:r>
    </w:p>
    <w:p>
      <w:pPr>
        <w:spacing w:after="0" w:line="18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References to Principal Amount</w:t>
      </w:r>
      <w:r>
        <w:rPr>
          <w:rFonts w:ascii="Arial" w:cs="Arial" w:eastAsia="Arial" w:hAnsi="Arial"/>
          <w:sz w:val="18"/>
          <w:szCs w:val="18"/>
          <w:i w:val="1"/>
          <w:iCs w:val="1"/>
          <w:color w:val="auto"/>
        </w:rPr>
        <w:t>.</w:t>
      </w:r>
      <w:r>
        <w:rPr>
          <w:rFonts w:ascii="Arial" w:cs="Arial" w:eastAsia="Arial" w:hAnsi="Arial"/>
          <w:sz w:val="18"/>
          <w:szCs w:val="18"/>
          <w:color w:val="auto"/>
        </w:rPr>
        <w:t xml:space="preserve"> Unless otherwise expressly indicated in this Indenture, any reference to the principal amount of the Notes is to $1,000 Original Principal Amount of the Notes and references to the Conversion Price per $1,000 principal amount of Notes are to $1,000 Original Principal Amount of the Notes (and not the Accreted Principal Amount of the Notes on any particular date) divided by the applicable Conversion Rate.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GENERAL TERMS AND CONDITIONS OF THE NOTES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u w:val="single" w:color="auto"/>
          <w:color w:val="auto"/>
        </w:rPr>
        <w:t>Designation and Principal Amount</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 xml:space="preserve">The Notes are hereby authorized and are designated the “2.75% Exchange Convertible Senior Notes due 2034.” The Notes issued on the Issue Date pursuant to the terms of this Indenture will be in an initial aggregate principal amount of $125,000,000, which amount shall be set forth in a written order of the Company for the authentication and delivery of the Notes pursuant to Section 2.03 of the Base Indenture. In addition, the Company may from time to time, without the consent of the Holders, reopen the Indenture and issue additional Notes under the Indenture with the same terms (other than the date of issuance and, in some cases, the date from which interest will initially accrue or restrictions on the transferability of such additional Notes) as the Notes issued on the Issue Date in an unlimited aggregate principal amount;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any such additional Notes are not fungible with the Notes issued on the Issue Date for U.S. federal income tax purposes, such additional Notes will have a separate CUSIP number. The Notes issued on the Issue Date and any such additional Notes will be treated as a single class for all purposes under the Indenture and will vote together as one class on all matters with respect to the Notes.</w:t>
      </w:r>
    </w:p>
    <w:p>
      <w:pPr>
        <w:spacing w:after="0" w:line="19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7"/>
          <w:szCs w:val="17"/>
          <w:u w:val="single" w:color="auto"/>
          <w:color w:val="auto"/>
        </w:rPr>
        <w:t>Maturity</w:t>
      </w:r>
      <w:r>
        <w:rPr>
          <w:rFonts w:ascii="Arial" w:cs="Arial" w:eastAsia="Arial" w:hAnsi="Arial"/>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Accreted Principal Amount of the Notes will be payable on the Maturity Date.</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u w:val="single" w:color="auto"/>
          <w:color w:val="auto"/>
        </w:rPr>
        <w:t>Form and Payment</w:t>
      </w:r>
      <w:r>
        <w:rPr>
          <w:rFonts w:ascii="Arial" w:cs="Arial" w:eastAsia="Arial" w:hAnsi="Arial"/>
          <w:sz w:val="16"/>
          <w:szCs w:val="16"/>
          <w:color w:val="auto"/>
        </w:rPr>
        <w:t>.</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Notes will be issued as global notes, in fully registered book-entry form without coupons in minimum denominations of $1,000 and integral multiples of $1,000.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Principal and/or interest, if any, on the global notes representing the Notes will be made to DTC (the “</w:t>
      </w:r>
      <w:r>
        <w:rPr>
          <w:rFonts w:ascii="Arial" w:cs="Arial" w:eastAsia="Arial" w:hAnsi="Arial"/>
          <w:sz w:val="18"/>
          <w:szCs w:val="18"/>
          <w:u w:val="single" w:color="auto"/>
          <w:color w:val="auto"/>
        </w:rPr>
        <w:t>Depositary</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7" w:name="page18"/>
    <w:bookmarkEnd w:id="17"/>
    <w:p>
      <w:pPr>
        <w:jc w:val="both"/>
        <w:ind w:right="100" w:firstLine="648"/>
        <w:spacing w:after="0" w:line="286" w:lineRule="auto"/>
        <w:rPr>
          <w:sz w:val="20"/>
          <w:szCs w:val="20"/>
          <w:color w:val="auto"/>
        </w:rPr>
      </w:pPr>
      <w:r>
        <w:rPr>
          <w:rFonts w:ascii="Arial" w:cs="Arial" w:eastAsia="Arial" w:hAnsi="Arial"/>
          <w:sz w:val="17"/>
          <w:szCs w:val="17"/>
          <w:color w:val="auto"/>
        </w:rPr>
        <w:t>The global notes representing the Notes will be deposited with, or on behalf of, the Depositary and will be registered in the name of the Depositary or a nominee of the Depositary. No global note may be transferred except as a whole by a nominee of the Depositary to the Depositary or to another nominee of the Depositary, or by the Depositary or such nominee to a successor of the Depositary or a nominee of such successor.</w:t>
      </w:r>
    </w:p>
    <w:p>
      <w:pPr>
        <w:spacing w:after="0" w:line="166"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So long as the Depositary or its nominee is the registered owner of a global note, the Depositary or its nominee, as the case may be, will be the sole Holder of the Notes represented thereby for all purposes under the Indenture. Except as otherwise provided herein, each actual purchaser of each Note represented by a global note (“</w:t>
      </w:r>
      <w:r>
        <w:rPr>
          <w:rFonts w:ascii="Arial" w:cs="Arial" w:eastAsia="Arial" w:hAnsi="Arial"/>
          <w:sz w:val="16"/>
          <w:szCs w:val="16"/>
          <w:u w:val="single" w:color="auto"/>
          <w:color w:val="auto"/>
        </w:rPr>
        <w:t>Beneficial Owner</w:t>
      </w:r>
      <w:r>
        <w:rPr>
          <w:rFonts w:ascii="Arial" w:cs="Arial" w:eastAsia="Arial" w:hAnsi="Arial"/>
          <w:sz w:val="16"/>
          <w:szCs w:val="16"/>
          <w:color w:val="auto"/>
        </w:rPr>
        <w:t>”) will not be entitled to receive physical delivery of certificated Notes and will not be considered the Holders thereof for any purpose under the Indenture, and no global note representing the Notes shall be exchangeable or transferable. Accordingly, each Beneficial Owner must rely on the procedures of the Depositary and, if such Beneficial Owner is not a participant, on the procedures of the participant through which such Beneficial Owner owns its interest in order to exercise any rights of a Holder under such global note or the Indenture.</w:t>
      </w:r>
    </w:p>
    <w:p>
      <w:pPr>
        <w:spacing w:after="0" w:line="16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global notes representing the Notes will be exchangeable for certificated Notes of like tenor and terms and of differing authorized denominations aggregating a like principal amount, only if (i) the Depositary notifies the Company that it is unwilling or unable to continue as Depositary for the global notes representing the Notes and a successor to the Depositary is not appointed within 90 days, (ii) the Depositary ceases to be a clearing agency registered under the Exchange Act and a successor to the Depositary is not appointed by the Company within 90 days, (iii) the Company in its sole discretion determines that the global notes representing the Notes shall be exchangeable for certificated Notes and notifies the Trustee in writing of such determination or (iv) there shall have occurred and be continuing an Event of Default under the Indenture with respect to the Notes and any Beneficial Owner requests that its Notes be issued in physical, certificated form. Upon any such exchange, the certificated Notes shall be registered in the names of the Beneficial Owners of the global notes representing the Notes, which names shall be provided by the Depositary’s relevant participants (as identified by the Depositary) to the Trustee. In such event the Company will execute, and subject to Section 2.03 of the Base Indenture, the Trustee, upon receipt of an Officers’ Certificate evidencing such determination by the Company, will authenticate and deliver the Notes in definitive registered form without coupons, in authorized denominations, and in an aggregate principal amount equal to the principal amount of the global notes in exchange for such global notes. Upon the exchange of the global notes for such Notes in definitive registered form without coupons, in authorized denominations, the global notes shall be cancelled by the Trustee. Such Notes in definitive registered form issued in exchange for the global notes shall be registered in such names and in such authorized denominations as the Depositary, pursuant to instructions from its direct or indirect participants or otherwise, shall instruct the Trustee in writing. The Trustee shall deliver such Notes to the Depositary for delivery to the Persons in whose names such Notes are so registered.</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the extent applicable in the Company’s determination, the Notes initially issued hereunder and any Additional Notes will bear the OID Legend.</w:t>
      </w:r>
    </w:p>
    <w:p>
      <w:pPr>
        <w:spacing w:after="0" w:line="24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Original Principal Amount of the Notes shall bear interest at a rate equal to 2.75% per year. Interest on the Notes shall be computed on the basis of a 360-day year comprised of twelve 30-day months based on the Original Principal Amount, and shall accrue from February 1, 2018, or from the most recent Interest Payment Date to which interest has been paid or duly provided upon for the Notes, as the case may be. Interest on the Original Principal Amount of the Notes shall be payable semi-annually in arrears on February 1 and August 1, commencing August 1, 2018 (each an “</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to the persons in whose names the Notes are registered at the Close of Business on January 15 and July 15 (whether or not a Business Day), as the case may be, preceding such Interest Payment Date (a “</w:t>
      </w:r>
      <w:r>
        <w:rPr>
          <w:rFonts w:ascii="Arial" w:cs="Arial" w:eastAsia="Arial" w:hAnsi="Arial"/>
          <w:sz w:val="17"/>
          <w:szCs w:val="17"/>
          <w:u w:val="single" w:color="auto"/>
          <w:color w:val="auto"/>
        </w:rPr>
        <w:t>Regular Record Date</w:t>
      </w:r>
      <w:r>
        <w:rPr>
          <w:rFonts w:ascii="Arial" w:cs="Arial" w:eastAsia="Arial" w:hAnsi="Arial"/>
          <w:sz w:val="17"/>
          <w:szCs w:val="17"/>
          <w:color w:val="auto"/>
        </w:rPr>
        <w: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8" w:name="page19"/>
    <w:bookmarkEnd w:id="18"/>
    <w:p>
      <w:pPr>
        <w:ind w:firstLine="648"/>
        <w:spacing w:after="0" w:line="308" w:lineRule="auto"/>
        <w:rPr>
          <w:sz w:val="20"/>
          <w:szCs w:val="20"/>
          <w:color w:val="auto"/>
        </w:rPr>
      </w:pPr>
      <w:r>
        <w:rPr>
          <w:rFonts w:ascii="Arial" w:cs="Arial" w:eastAsia="Arial" w:hAnsi="Arial"/>
          <w:sz w:val="17"/>
          <w:szCs w:val="17"/>
          <w:color w:val="auto"/>
        </w:rPr>
        <w:t>Payments of the Fundamental Change Repurchase Price, Repurchase Price, Redemption Price, principal, Accreted Principal Amount and interest that are not made when due will accrue interest per annum at the then-applicable interest rate plus one percent from the required payment date.</w:t>
      </w:r>
    </w:p>
    <w:p>
      <w:pPr>
        <w:spacing w:after="0" w:line="14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6"/>
          <w:szCs w:val="16"/>
          <w:u w:val="single" w:color="auto"/>
          <w:color w:val="auto"/>
        </w:rPr>
        <w:t>Transfer, Exchange and Conversion</w:t>
      </w:r>
      <w:r>
        <w:rPr>
          <w:rFonts w:ascii="Arial" w:cs="Arial" w:eastAsia="Arial" w:hAnsi="Arial"/>
          <w:sz w:val="16"/>
          <w:szCs w:val="16"/>
          <w:color w:val="auto"/>
        </w:rPr>
        <w:t>.</w:t>
      </w:r>
    </w:p>
    <w:p>
      <w:pPr>
        <w:spacing w:after="0" w:line="225" w:lineRule="exact"/>
        <w:rPr>
          <w:sz w:val="20"/>
          <w:szCs w:val="20"/>
          <w:color w:val="auto"/>
        </w:rPr>
      </w:pPr>
    </w:p>
    <w:p>
      <w:pPr>
        <w:jc w:val="both"/>
        <w:ind w:right="440" w:firstLine="648"/>
        <w:spacing w:after="0" w:line="264" w:lineRule="auto"/>
        <w:rPr>
          <w:sz w:val="20"/>
          <w:szCs w:val="20"/>
          <w:color w:val="auto"/>
        </w:rPr>
      </w:pPr>
      <w:r>
        <w:rPr>
          <w:rFonts w:ascii="Arial" w:cs="Arial" w:eastAsia="Arial" w:hAnsi="Arial"/>
          <w:sz w:val="18"/>
          <w:szCs w:val="18"/>
          <w:color w:val="auto"/>
        </w:rPr>
        <w:t>In addition to its obligations under Section 2.04 of the Base Indenture, the Company shall also cause to be kept at one of the offices or agencies maintained pursuant to Section 2.04 of the Base Indenture an office in the United States where Notes may be presented for conversion (the “</w:t>
      </w:r>
      <w:r>
        <w:rPr>
          <w:rFonts w:ascii="Arial" w:cs="Arial" w:eastAsia="Arial" w:hAnsi="Arial"/>
          <w:sz w:val="18"/>
          <w:szCs w:val="18"/>
          <w:u w:val="single" w:color="auto"/>
          <w:color w:val="auto"/>
        </w:rPr>
        <w:t>Conversion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Agent</w:t>
      </w:r>
      <w:r>
        <w:rPr>
          <w:rFonts w:ascii="Arial" w:cs="Arial" w:eastAsia="Arial" w:hAnsi="Arial"/>
          <w:sz w:val="18"/>
          <w:szCs w:val="18"/>
          <w:color w:val="auto"/>
        </w:rPr>
        <w:t>”), transfer or exchange.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initially appoints the Trustee as Paying Agent, Registrar and Conversion Agent for the Notes.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reserves the right to:</w:t>
      </w:r>
    </w:p>
    <w:p>
      <w:pPr>
        <w:spacing w:after="0" w:line="225" w:lineRule="exact"/>
        <w:rPr>
          <w:sz w:val="20"/>
          <w:szCs w:val="20"/>
          <w:color w:val="auto"/>
        </w:rPr>
      </w:pPr>
    </w:p>
    <w:p>
      <w:pPr>
        <w:ind w:left="4540" w:hanging="706"/>
        <w:spacing w:after="0"/>
        <w:tabs>
          <w:tab w:leader="none" w:pos="4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vary or terminate the appointment of the Registrar, Paying Agent or Conversion Agent;</w:t>
      </w:r>
    </w:p>
    <w:p>
      <w:pPr>
        <w:spacing w:after="0" w:line="236" w:lineRule="exact"/>
        <w:rPr>
          <w:rFonts w:ascii="Arial" w:cs="Arial" w:eastAsia="Arial" w:hAnsi="Arial"/>
          <w:sz w:val="17"/>
          <w:szCs w:val="17"/>
          <w:color w:val="auto"/>
        </w:rPr>
      </w:pPr>
    </w:p>
    <w:p>
      <w:pPr>
        <w:ind w:left="4600" w:hanging="766"/>
        <w:spacing w:after="0"/>
        <w:tabs>
          <w:tab w:leader="none" w:pos="4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appoint additional Paying Agents or Conversion Agents; or</w:t>
      </w:r>
    </w:p>
    <w:p>
      <w:pPr>
        <w:spacing w:after="0" w:line="225" w:lineRule="exact"/>
        <w:rPr>
          <w:rFonts w:ascii="Arial" w:cs="Arial" w:eastAsia="Arial" w:hAnsi="Arial"/>
          <w:sz w:val="18"/>
          <w:szCs w:val="18"/>
          <w:color w:val="auto"/>
        </w:rPr>
      </w:pPr>
    </w:p>
    <w:p>
      <w:pPr>
        <w:ind w:left="4640" w:hanging="806"/>
        <w:spacing w:after="0"/>
        <w:tabs>
          <w:tab w:leader="none" w:pos="4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approve any change in the office through which any Registrar or any Paying Agent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Conversion Agent acts.</w:t>
      </w:r>
    </w:p>
    <w:p>
      <w:pPr>
        <w:spacing w:after="0" w:line="21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Company shall not be required to transfer or exchange any Note surrendered for repurchase or conversion except for any portion of that Note not being repurchased or converted, as the case may be.</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5"/>
          <w:szCs w:val="15"/>
          <w:u w:val="single" w:color="auto"/>
          <w:color w:val="auto"/>
        </w:rPr>
        <w:t>Repurchase and Cancellation</w:t>
      </w:r>
      <w:r>
        <w:rPr>
          <w:rFonts w:ascii="Arial" w:cs="Arial" w:eastAsia="Arial" w:hAnsi="Arial"/>
          <w:sz w:val="15"/>
          <w:szCs w:val="15"/>
          <w:color w:val="auto"/>
        </w:rPr>
        <w:t>.</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Each of the Registrar, Paying Agent and Conversion Agent (if other than the Trustee) will forward to the Trustee any Notes surrendered to it by Holders for transfer, exchange, payment or conversion. All Notes delivered to the Trustee shall be cancelled promptly by the Trustee in the manner provided in the Base Indenture and may not be reissued or resold. No Notes shall be authenticated in exchange for any Notes cancelled, except as provided in the Base Indenture.</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 may, to the extent permitted by law, directly or indirectly (regardless of whether such Notes are surrendered to the Company), repurchase Notes in the open market or otherwise, whether by the Company or its Subsidiaries or through private or public tender or exchange offers or through counterparties to private agreements, including cash-settled swaps or other derivatives. The Company shall cause any Notes so repurchased (other than Notes repurchased pursuant to cash-settled swaps or other derivatives) to be surrendered to the Trustee for cancellation, and such Notes will no longer be considered “outstanding” under the Indenture upon their repurchase.</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7"/>
          <w:szCs w:val="17"/>
          <w:u w:val="single" w:color="auto"/>
          <w:color w:val="auto"/>
        </w:rPr>
        <w:t>Accretion</w:t>
      </w:r>
      <w:r>
        <w:rPr>
          <w:rFonts w:ascii="Arial" w:cs="Arial" w:eastAsia="Arial" w:hAnsi="Arial"/>
          <w:sz w:val="17"/>
          <w:szCs w:val="17"/>
          <w:color w:val="auto"/>
        </w:rPr>
        <w:t>.</w:t>
      </w:r>
    </w:p>
    <w:p>
      <w:pPr>
        <w:spacing w:after="0" w:line="22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Schedule I hereto sets forth the Accreted Principal Amounts per $1,000 principal amount of Notes as of specified dates during the period from the Issue Date to February 6, 2023. Any reference in this Indenture to the Accreted Principal Amount as of a date on or after February 6, 2023 shall be determined based on the Accreted Principal Amount as of February 6, 2023. To the extent that a calculation of the Accreted Principal Amount is required at any given time, the Company will make such calculation determined as set forth on Schedule I, and will provide such calculations to the Trustee and the Holders.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REDEMPTION AND REPURCHASE</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6"/>
          <w:szCs w:val="16"/>
          <w:u w:val="single" w:color="auto"/>
          <w:color w:val="auto"/>
        </w:rPr>
        <w:t>Redemption</w:t>
      </w:r>
      <w:r>
        <w:rPr>
          <w:rFonts w:ascii="Arial" w:cs="Arial" w:eastAsia="Arial" w:hAnsi="Arial"/>
          <w:sz w:val="16"/>
          <w:szCs w:val="16"/>
          <w:color w:val="auto"/>
        </w:rPr>
        <w:t>.</w:t>
      </w:r>
    </w:p>
    <w:p>
      <w:pPr>
        <w:spacing w:after="0" w:line="225" w:lineRule="exact"/>
        <w:rPr>
          <w:sz w:val="20"/>
          <w:szCs w:val="20"/>
          <w:color w:val="auto"/>
        </w:rPr>
      </w:pPr>
    </w:p>
    <w:p>
      <w:pPr>
        <w:ind w:left="1580" w:hanging="924"/>
        <w:spacing w:after="0"/>
        <w:tabs>
          <w:tab w:leader="none" w:pos="1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300" w:firstLine="656"/>
        <w:spacing w:after="0" w:line="312" w:lineRule="auto"/>
        <w:tabs>
          <w:tab w:leader="none" w:pos="1533" w:val="left"/>
        </w:tabs>
        <w:numPr>
          <w:ilvl w:val="0"/>
          <w:numId w:val="9"/>
        </w:numPr>
        <w:rPr>
          <w:rFonts w:ascii="Arial" w:cs="Arial" w:eastAsia="Arial" w:hAnsi="Arial"/>
          <w:sz w:val="16"/>
          <w:szCs w:val="16"/>
          <w:color w:val="auto"/>
        </w:rPr>
      </w:pPr>
      <w:r>
        <w:rPr>
          <w:rFonts w:ascii="Arial" w:cs="Arial" w:eastAsia="Arial" w:hAnsi="Arial"/>
          <w:sz w:val="16"/>
          <w:szCs w:val="16"/>
          <w:color w:val="auto"/>
        </w:rPr>
        <w:t>On or after February 6, 2022, the Company may redeem any or all of the Notes (other than Notes for which the Company repurchase right provided under Section 3.02 have been exercised on or before the Close of Business on the Business Day immediately prior to the applicable Redemption Date) (such redemption, an “</w:t>
      </w:r>
      <w:r>
        <w:rPr>
          <w:rFonts w:ascii="Arial" w:cs="Arial" w:eastAsia="Arial" w:hAnsi="Arial"/>
          <w:sz w:val="16"/>
          <w:szCs w:val="16"/>
          <w:u w:val="single" w:color="auto"/>
          <w:color w:val="auto"/>
        </w:rPr>
        <w:t>Optional Redemption</w:t>
      </w:r>
      <w:r>
        <w:rPr>
          <w:rFonts w:ascii="Arial" w:cs="Arial" w:eastAsia="Arial" w:hAnsi="Arial"/>
          <w:sz w:val="16"/>
          <w:szCs w:val="16"/>
          <w:color w:val="auto"/>
        </w:rPr>
        <w:t>”) on any Business Day (a “</w:t>
      </w:r>
      <w:r>
        <w:rPr>
          <w:rFonts w:ascii="Arial" w:cs="Arial" w:eastAsia="Arial" w:hAnsi="Arial"/>
          <w:sz w:val="16"/>
          <w:szCs w:val="16"/>
          <w:u w:val="single" w:color="auto"/>
          <w:color w:val="auto"/>
        </w:rPr>
        <w:t>Redemption Date</w:t>
      </w:r>
      <w:r>
        <w:rPr>
          <w:rFonts w:ascii="Arial" w:cs="Arial" w:eastAsia="Arial" w:hAnsi="Arial"/>
          <w:sz w:val="16"/>
          <w:szCs w:val="16"/>
          <w:color w:val="auto"/>
        </w:rPr>
        <w:t>”) in cash at the Redemption Price.</w:t>
      </w:r>
    </w:p>
    <w:p>
      <w:pPr>
        <w:spacing w:after="0" w:line="146" w:lineRule="exact"/>
        <w:rPr>
          <w:rFonts w:ascii="Arial" w:cs="Arial" w:eastAsia="Arial" w:hAnsi="Arial"/>
          <w:sz w:val="16"/>
          <w:szCs w:val="16"/>
          <w:color w:val="auto"/>
        </w:rPr>
      </w:pPr>
    </w:p>
    <w:p>
      <w:pPr>
        <w:ind w:firstLine="656"/>
        <w:spacing w:after="0" w:line="257" w:lineRule="auto"/>
        <w:tabs>
          <w:tab w:leader="none" w:pos="1568"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Section 3.03 of the Base Indenture shall not apply to, and have no force and effect with respect to, the Notes and any reference to Section 3.03 of the Base Indenture with respect to the Notes shall be superseded by and references thereto shall be deemed to refer to this Section 3.01(c). The Company shall give notice of redemption not less than 30 nor more than 60 calendar days immediately preceding the Redemption Date to all Holders of Notes on the date of the redemption notice at their addresses shown in the Registrar’s books (such notice, a “</w:t>
      </w:r>
      <w:r>
        <w:rPr>
          <w:rFonts w:ascii="Arial" w:cs="Arial" w:eastAsia="Arial" w:hAnsi="Arial"/>
          <w:sz w:val="18"/>
          <w:szCs w:val="18"/>
          <w:u w:val="single" w:color="auto"/>
          <w:color w:val="auto"/>
        </w:rPr>
        <w:t>Redemption Notice</w:t>
      </w:r>
      <w:r>
        <w:rPr>
          <w:rFonts w:ascii="Arial" w:cs="Arial" w:eastAsia="Arial" w:hAnsi="Arial"/>
          <w:sz w:val="18"/>
          <w:szCs w:val="18"/>
          <w:color w:val="auto"/>
        </w:rPr>
        <w:t>”), with a copy to the Trustee and the Paying Agent.</w:t>
      </w:r>
    </w:p>
    <w:p>
      <w:pPr>
        <w:spacing w:after="0" w:line="18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Redemption Notice shall identify the Notes and the aggregate Original Principal Amount to be redeemed and the Accreted Principal Amount thereof as of the Redemption Date pursuant to the redemption and shall state:</w:t>
      </w:r>
    </w:p>
    <w:p>
      <w:pPr>
        <w:spacing w:after="0" w:line="170" w:lineRule="exact"/>
        <w:rPr>
          <w:sz w:val="20"/>
          <w:szCs w:val="20"/>
          <w:color w:val="auto"/>
        </w:rPr>
      </w:pPr>
    </w:p>
    <w:p>
      <w:pPr>
        <w:ind w:left="4540" w:hanging="706"/>
        <w:spacing w:after="0"/>
        <w:tabs>
          <w:tab w:leader="none" w:pos="4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4600" w:hanging="766"/>
        <w:spacing w:after="0"/>
        <w:tabs>
          <w:tab w:leader="none" w:pos="46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25" w:lineRule="exact"/>
        <w:rPr>
          <w:rFonts w:ascii="Arial" w:cs="Arial" w:eastAsia="Arial" w:hAnsi="Arial"/>
          <w:sz w:val="18"/>
          <w:szCs w:val="18"/>
          <w:color w:val="auto"/>
        </w:rPr>
      </w:pPr>
    </w:p>
    <w:p>
      <w:pPr>
        <w:ind w:left="4640" w:hanging="806"/>
        <w:spacing w:after="0"/>
        <w:tabs>
          <w:tab w:leader="none" w:pos="4640" w:val="left"/>
        </w:tabs>
        <w:numPr>
          <w:ilvl w:val="2"/>
          <w:numId w:val="10"/>
        </w:numPr>
        <w:rPr>
          <w:rFonts w:ascii="Arial" w:cs="Arial" w:eastAsia="Arial" w:hAnsi="Arial"/>
          <w:sz w:val="17"/>
          <w:szCs w:val="17"/>
          <w:color w:val="auto"/>
        </w:rPr>
      </w:pPr>
      <w:r>
        <w:rPr>
          <w:rFonts w:ascii="Arial" w:cs="Arial" w:eastAsia="Arial" w:hAnsi="Arial"/>
          <w:sz w:val="17"/>
          <w:szCs w:val="17"/>
          <w:color w:val="auto"/>
        </w:rPr>
        <w:t>the time at which the Holders’ right to convert the Notes called for redemption will expire,</w:t>
      </w:r>
    </w:p>
    <w:p>
      <w:pPr>
        <w:spacing w:after="0" w:line="34" w:lineRule="exact"/>
        <w:rPr>
          <w:rFonts w:ascii="Arial" w:cs="Arial" w:eastAsia="Arial" w:hAnsi="Arial"/>
          <w:sz w:val="17"/>
          <w:szCs w:val="17"/>
          <w:color w:val="auto"/>
        </w:rPr>
      </w:pPr>
    </w:p>
    <w:p>
      <w:pPr>
        <w:ind w:right="360"/>
        <w:spacing w:after="0" w:line="261" w:lineRule="auto"/>
        <w:rPr>
          <w:rFonts w:ascii="Arial" w:cs="Arial" w:eastAsia="Arial" w:hAnsi="Arial"/>
          <w:sz w:val="17"/>
          <w:szCs w:val="17"/>
          <w:color w:val="auto"/>
        </w:rPr>
      </w:pPr>
      <w:r>
        <w:rPr>
          <w:rFonts w:ascii="Arial" w:cs="Arial" w:eastAsia="Arial" w:hAnsi="Arial"/>
          <w:sz w:val="18"/>
          <w:szCs w:val="18"/>
          <w:color w:val="auto"/>
        </w:rPr>
        <w:t>which will be the close of business on the Business Day immediately preceding the Redemption Date (unless the Company defaults in the payment of the Redemption Price);</w:t>
      </w:r>
    </w:p>
    <w:p>
      <w:pPr>
        <w:spacing w:after="0" w:line="183" w:lineRule="exact"/>
        <w:rPr>
          <w:rFonts w:ascii="Arial" w:cs="Arial" w:eastAsia="Arial" w:hAnsi="Arial"/>
          <w:sz w:val="17"/>
          <w:szCs w:val="17"/>
          <w:color w:val="auto"/>
        </w:rPr>
      </w:pPr>
    </w:p>
    <w:p>
      <w:pPr>
        <w:ind w:left="4640" w:hanging="806"/>
        <w:spacing w:after="0"/>
        <w:tabs>
          <w:tab w:leader="none" w:pos="4640" w:val="left"/>
        </w:tabs>
        <w:numPr>
          <w:ilvl w:val="2"/>
          <w:numId w:val="10"/>
        </w:numPr>
        <w:rPr>
          <w:rFonts w:ascii="Arial" w:cs="Arial" w:eastAsia="Arial" w:hAnsi="Arial"/>
          <w:sz w:val="16"/>
          <w:szCs w:val="16"/>
          <w:color w:val="auto"/>
        </w:rPr>
      </w:pPr>
      <w:r>
        <w:rPr>
          <w:rFonts w:ascii="Arial" w:cs="Arial" w:eastAsia="Arial" w:hAnsi="Arial"/>
          <w:sz w:val="16"/>
          <w:szCs w:val="16"/>
          <w:color w:val="auto"/>
        </w:rPr>
        <w:t>that Holders have a right to convert the Notes called for redemption, the Conversion Rate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any adjustments thereto;</w:t>
      </w:r>
    </w:p>
    <w:p>
      <w:pPr>
        <w:spacing w:after="0" w:line="210" w:lineRule="exact"/>
        <w:rPr>
          <w:rFonts w:ascii="Arial" w:cs="Arial" w:eastAsia="Arial" w:hAnsi="Arial"/>
          <w:sz w:val="16"/>
          <w:szCs w:val="16"/>
          <w:color w:val="auto"/>
        </w:rPr>
      </w:pPr>
    </w:p>
    <w:p>
      <w:pPr>
        <w:ind w:left="4580" w:hanging="746"/>
        <w:spacing w:after="0"/>
        <w:tabs>
          <w:tab w:leader="none" w:pos="45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the names and addresses of the Paying Agent and the Conversion Agent;</w:t>
      </w:r>
    </w:p>
    <w:p>
      <w:pPr>
        <w:spacing w:after="0" w:line="225" w:lineRule="exact"/>
        <w:rPr>
          <w:rFonts w:ascii="Arial" w:cs="Arial" w:eastAsia="Arial" w:hAnsi="Arial"/>
          <w:sz w:val="18"/>
          <w:szCs w:val="18"/>
          <w:color w:val="auto"/>
        </w:rPr>
      </w:pPr>
    </w:p>
    <w:p>
      <w:pPr>
        <w:ind w:left="4640" w:hanging="806"/>
        <w:spacing w:after="0"/>
        <w:tabs>
          <w:tab w:leader="none" w:pos="4640" w:val="left"/>
        </w:tabs>
        <w:numPr>
          <w:ilvl w:val="2"/>
          <w:numId w:val="10"/>
        </w:numPr>
        <w:rPr>
          <w:rFonts w:ascii="Arial" w:cs="Arial" w:eastAsia="Arial" w:hAnsi="Arial"/>
          <w:sz w:val="18"/>
          <w:szCs w:val="18"/>
          <w:color w:val="auto"/>
        </w:rPr>
      </w:pPr>
      <w:r>
        <w:rPr>
          <w:rFonts w:ascii="Arial" w:cs="Arial" w:eastAsia="Arial" w:hAnsi="Arial"/>
          <w:sz w:val="18"/>
          <w:szCs w:val="18"/>
          <w:color w:val="auto"/>
        </w:rPr>
        <w:t>the procedures a Holder must follow to convert its Notes;</w:t>
      </w:r>
    </w:p>
    <w:p>
      <w:pPr>
        <w:spacing w:after="0" w:line="225" w:lineRule="exact"/>
        <w:rPr>
          <w:rFonts w:ascii="Arial" w:cs="Arial" w:eastAsia="Arial" w:hAnsi="Arial"/>
          <w:sz w:val="18"/>
          <w:szCs w:val="18"/>
          <w:color w:val="auto"/>
        </w:rPr>
      </w:pPr>
    </w:p>
    <w:p>
      <w:pPr>
        <w:ind w:left="4600" w:hanging="856"/>
        <w:spacing w:after="0"/>
        <w:tabs>
          <w:tab w:leader="none" w:pos="46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that Notes called for redemption must be surrendered to the Paying Agent to collect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Redemption Price therefor;</w:t>
      </w:r>
    </w:p>
    <w:p>
      <w:pPr>
        <w:spacing w:after="0" w:line="210" w:lineRule="exact"/>
        <w:rPr>
          <w:rFonts w:ascii="Arial" w:cs="Arial" w:eastAsia="Arial" w:hAnsi="Arial"/>
          <w:sz w:val="17"/>
          <w:szCs w:val="17"/>
          <w:color w:val="auto"/>
        </w:rPr>
      </w:pPr>
    </w:p>
    <w:p>
      <w:pPr>
        <w:ind w:left="4560" w:hanging="906"/>
        <w:spacing w:after="0"/>
        <w:tabs>
          <w:tab w:leader="none" w:pos="45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CUSIP number or numbers, as the case may be, of the Notes to be redeemed; and</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0" w:name="page21"/>
    <w:bookmarkEnd w:id="20"/>
    <w:p>
      <w:pPr>
        <w:ind w:left="4640" w:hanging="806"/>
        <w:spacing w:after="0"/>
        <w:tabs>
          <w:tab w:leader="none" w:pos="46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in case any Note is to be redeemed in part only, the portion of the principal amount thereof to</w:t>
      </w:r>
    </w:p>
    <w:p>
      <w:pPr>
        <w:spacing w:after="0" w:line="46" w:lineRule="exact"/>
        <w:rPr>
          <w:rFonts w:ascii="Arial" w:cs="Arial" w:eastAsia="Arial" w:hAnsi="Arial"/>
          <w:sz w:val="16"/>
          <w:szCs w:val="16"/>
          <w:color w:val="auto"/>
        </w:rPr>
      </w:pPr>
    </w:p>
    <w:p>
      <w:pPr>
        <w:ind w:right="520"/>
        <w:spacing w:after="0" w:line="261" w:lineRule="auto"/>
        <w:rPr>
          <w:rFonts w:ascii="Arial" w:cs="Arial" w:eastAsia="Arial" w:hAnsi="Arial"/>
          <w:sz w:val="16"/>
          <w:szCs w:val="16"/>
          <w:color w:val="auto"/>
        </w:rPr>
      </w:pPr>
      <w:r>
        <w:rPr>
          <w:rFonts w:ascii="Arial" w:cs="Arial" w:eastAsia="Arial" w:hAnsi="Arial"/>
          <w:sz w:val="18"/>
          <w:szCs w:val="18"/>
          <w:color w:val="auto"/>
        </w:rPr>
        <w:t>be redeemed and that on and after the Redemption Date, upon surrender of such Note, a new Note in principal amount equal to the unredeemed portion thereof shall be issued.</w:t>
      </w:r>
    </w:p>
    <w:p>
      <w:pPr>
        <w:spacing w:after="0" w:line="183" w:lineRule="exact"/>
        <w:rPr>
          <w:rFonts w:ascii="Arial" w:cs="Arial" w:eastAsia="Arial" w:hAnsi="Arial"/>
          <w:sz w:val="16"/>
          <w:szCs w:val="16"/>
          <w:color w:val="auto"/>
        </w:rPr>
      </w:pPr>
    </w:p>
    <w:p>
      <w:pPr>
        <w:ind w:firstLine="656"/>
        <w:spacing w:after="0" w:line="269" w:lineRule="auto"/>
        <w:tabs>
          <w:tab w:leader="none" w:pos="1533"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Section 3.02 of the Base Indenture shall not apply to, and have no force and effect with respect to, the Notes and any reference to Section 3.02 of the Base Indenture with respect to the Notes shall be superseded by and references thereto shall be deemed to refer to this Section 3.01(d). If the Company does not redeem all of the Notes, the Trustee shall select the Notes to be redeemed in principal amounts of $1,000 or integral multiples of $1,000, from Notes then outstanding and not already redeemed as a result of having previously been called for redemption, in accordance with the procedures of the Depositary. If the Trustee selects a portion of a Holder’s Notes for partial redemption and such Holder converts a portion of such Holder’s Note, the converted portion shall be deemed to be from the portion selected for redemption to the extent that the converted portion does not exceed the portion selected for redemption. The Trustee shall promptly notify the Company in writing of the Notes selected for redemption and the principal amount thereof to be redeemed. If any Notes are to be redeemed in part only, the Company shall issue new Notes in principal amount equal to the unredeemed principal portion thereof; </w:t>
      </w:r>
      <w:r>
        <w:rPr>
          <w:rFonts w:ascii="Arial" w:cs="Arial" w:eastAsia="Arial" w:hAnsi="Arial"/>
          <w:sz w:val="17"/>
          <w:szCs w:val="17"/>
          <w:i w:val="1"/>
          <w:iCs w:val="1"/>
          <w:color w:val="auto"/>
        </w:rPr>
        <w:t>provided</w:t>
      </w:r>
      <w:r>
        <w:rPr>
          <w:rFonts w:ascii="Arial" w:cs="Arial" w:eastAsia="Arial" w:hAnsi="Arial"/>
          <w:sz w:val="17"/>
          <w:szCs w:val="17"/>
          <w:color w:val="auto"/>
        </w:rPr>
        <w:t>, that the Company shall not be required to (i) issue, register the transfer of or exchange any Notes during a period beginning at the open of business 15 days before the mailing of a Redemption Notice and ending at the close of business on the earliest date on which the relevant Redemption Notice is deemed to have been given to all Holders of Notes to be redeemed or (ii) register the transfer of or exchange any Notes so selected for redemption, in whole or in part, except the unredeemed portion of any Notes being redeemed in part.</w:t>
      </w:r>
    </w:p>
    <w:p>
      <w:pPr>
        <w:spacing w:after="0" w:line="179" w:lineRule="exact"/>
        <w:rPr>
          <w:rFonts w:ascii="Arial" w:cs="Arial" w:eastAsia="Arial" w:hAnsi="Arial"/>
          <w:sz w:val="17"/>
          <w:szCs w:val="17"/>
          <w:color w:val="auto"/>
        </w:rPr>
      </w:pPr>
    </w:p>
    <w:p>
      <w:pPr>
        <w:ind w:left="1580" w:hanging="924"/>
        <w:spacing w:after="0"/>
        <w:tabs>
          <w:tab w:leader="none" w:pos="1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380" w:firstLine="656"/>
        <w:spacing w:after="0" w:line="277" w:lineRule="auto"/>
        <w:tabs>
          <w:tab w:leader="none" w:pos="15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Notes may be redeemed if the Accreted Principal Amount of the Notes has been accelerated, and such acceleration has not been rescinded, on or prior to the Redemption Date.</w:t>
      </w:r>
    </w:p>
    <w:p>
      <w:pPr>
        <w:spacing w:after="0" w:line="170" w:lineRule="exact"/>
        <w:rPr>
          <w:rFonts w:ascii="Arial" w:cs="Arial" w:eastAsia="Arial" w:hAnsi="Arial"/>
          <w:sz w:val="18"/>
          <w:szCs w:val="18"/>
          <w:color w:val="auto"/>
        </w:rPr>
      </w:pPr>
    </w:p>
    <w:p>
      <w:pPr>
        <w:ind w:right="20" w:firstLine="656"/>
        <w:spacing w:after="0" w:line="289" w:lineRule="auto"/>
        <w:tabs>
          <w:tab w:leader="none" w:pos="1578"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If, by 11:00 a.m., New York City time, on the applicable Redemption Date, the Paying Agent holds money sufficient to make payment of the Redemption Price on all the Notes or portions thereof that are to be redeemed on such Redemption Date, then (i) such Notes will cease to be outstanding, (ii) principal will cease to accrete (to the extent such principal is still accreting pursuant to this Indenture) and interest will cease to accrue on such Notes (whether or not book-entry transfer of the Notes has been made or the Notes have been delivered to the Trustee or Paying Agent) and (iii) all other rights of the Holders of such Notes will terminate (other than the right to receive the Redemption Price and previously accrued but unpaid interest); </w:t>
      </w:r>
      <w:r>
        <w:rPr>
          <w:rFonts w:ascii="Arial" w:cs="Arial" w:eastAsia="Arial" w:hAnsi="Arial"/>
          <w:sz w:val="16"/>
          <w:szCs w:val="16"/>
          <w:i w:val="1"/>
          <w:iCs w:val="1"/>
          <w:color w:val="auto"/>
        </w:rPr>
        <w:t>provided</w:t>
      </w:r>
      <w:r>
        <w:rPr>
          <w:rFonts w:ascii="Arial" w:cs="Arial" w:eastAsia="Arial" w:hAnsi="Arial"/>
          <w:sz w:val="16"/>
          <w:szCs w:val="16"/>
          <w:color w:val="auto"/>
        </w:rPr>
        <w:t>, that, if the Redemption Date is after a Regular Record Date and on or prior to the immediately following Interest Payment Date, then accrued and unpaid interest on such Notes to, but excluding, such Interest Payment Date shall be paid, on such Interest Payment Date, to the Holder of record of such Notes at the close of business on such Regular Record Date without any requirement to surrender such Notes to the Paying Agent. The Paying Agent shall return to the Company, as soon as practicable and upon receipt of written instructions, any money not required for that purpose.</w:t>
      </w:r>
    </w:p>
    <w:p>
      <w:pPr>
        <w:spacing w:after="0" w:line="166" w:lineRule="exact"/>
        <w:rPr>
          <w:rFonts w:ascii="Arial" w:cs="Arial" w:eastAsia="Arial" w:hAnsi="Arial"/>
          <w:sz w:val="16"/>
          <w:szCs w:val="16"/>
          <w:color w:val="auto"/>
        </w:rPr>
      </w:pPr>
    </w:p>
    <w:p>
      <w:pPr>
        <w:ind w:right="60" w:firstLine="656"/>
        <w:spacing w:after="0" w:line="264" w:lineRule="auto"/>
        <w:tabs>
          <w:tab w:leader="none" w:pos="1533"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Redemption Price of any Note shall not be fully and duly paid in accordance with this Section 3.01, the portion of the Redemption Price that is not so paid shall bear interest pursuant to Section 2.04, and such Note shall continue to be convertible pursuant to Article V of this Second Supplemental Indenture, until such Redemption Price and accrued interest have been paid.</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6"/>
          <w:szCs w:val="16"/>
          <w:u w:val="single" w:color="auto"/>
          <w:color w:val="auto"/>
        </w:rPr>
        <w:t>Repurchase at Option of Holders Upon a Fundamental Change</w:t>
      </w:r>
      <w:r>
        <w:rPr>
          <w:rFonts w:ascii="Arial" w:cs="Arial" w:eastAsia="Arial" w:hAnsi="Arial"/>
          <w:sz w:val="16"/>
          <w:szCs w:val="16"/>
          <w:color w:val="auto"/>
        </w:rPr>
        <w:t>.</w:t>
      </w:r>
    </w:p>
    <w:p>
      <w:pPr>
        <w:spacing w:after="0" w:line="225" w:lineRule="exact"/>
        <w:rPr>
          <w:sz w:val="20"/>
          <w:szCs w:val="20"/>
          <w:color w:val="auto"/>
        </w:rPr>
      </w:pPr>
    </w:p>
    <w:p>
      <w:pPr>
        <w:ind w:right="20" w:firstLine="656"/>
        <w:spacing w:after="0" w:line="257" w:lineRule="auto"/>
        <w:tabs>
          <w:tab w:leader="none" w:pos="1568" w:val="left"/>
        </w:tabs>
        <w:numPr>
          <w:ilvl w:val="0"/>
          <w:numId w:val="15"/>
        </w:numPr>
        <w:rPr>
          <w:rFonts w:ascii="Arial" w:cs="Arial" w:eastAsia="Arial" w:hAnsi="Arial"/>
          <w:sz w:val="18"/>
          <w:szCs w:val="18"/>
          <w:color w:val="auto"/>
        </w:rPr>
      </w:pPr>
      <w:r>
        <w:rPr>
          <w:rFonts w:ascii="Arial" w:cs="Arial" w:eastAsia="Arial" w:hAnsi="Arial"/>
          <w:sz w:val="18"/>
          <w:szCs w:val="18"/>
          <w:color w:val="auto"/>
        </w:rPr>
        <w:t>Upon the occurrence of a Fundamental Change prior to the Maturity Date, each Holder will have the option to require the Company to repurchase for cash (a “</w:t>
      </w:r>
      <w:r>
        <w:rPr>
          <w:rFonts w:ascii="Arial" w:cs="Arial" w:eastAsia="Arial" w:hAnsi="Arial"/>
          <w:sz w:val="18"/>
          <w:szCs w:val="18"/>
          <w:u w:val="single" w:color="auto"/>
          <w:color w:val="auto"/>
        </w:rPr>
        <w:t>Fundamental Change Repurchase Right</w:t>
      </w:r>
      <w:r>
        <w:rPr>
          <w:rFonts w:ascii="Arial" w:cs="Arial" w:eastAsia="Arial" w:hAnsi="Arial"/>
          <w:sz w:val="18"/>
          <w:szCs w:val="18"/>
          <w:color w:val="auto"/>
        </w:rPr>
        <w:t>”) all or any portion of the Original Principal Amount of such Holder’s Notes that is equal to $1,000, or an integral multiple of $1,000, on the day of the Company’s choosing that is not less than 20 or more than 35 Business Days after the later of the occurrence of such Fundamental Change and the date the Company gives notice of the Fundamental Change (such day, the “</w:t>
      </w:r>
      <w:r>
        <w:rPr>
          <w:rFonts w:ascii="Arial" w:cs="Arial" w:eastAsia="Arial" w:hAnsi="Arial"/>
          <w:sz w:val="18"/>
          <w:szCs w:val="18"/>
          <w:u w:val="single" w:color="auto"/>
          <w:color w:val="auto"/>
        </w:rPr>
        <w:t>Fundamental Change Repurchase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at the Fundamental Change Repurchase Price.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1" w:name="page22"/>
    <w:bookmarkEnd w:id="21"/>
    <w:p>
      <w:pPr>
        <w:ind w:firstLine="656"/>
        <w:spacing w:after="0" w:line="272" w:lineRule="auto"/>
        <w:tabs>
          <w:tab w:leader="none" w:pos="1533"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Holder must deliver written notice (a “</w:t>
      </w:r>
      <w:r>
        <w:rPr>
          <w:rFonts w:ascii="Arial" w:cs="Arial" w:eastAsia="Arial" w:hAnsi="Arial"/>
          <w:sz w:val="17"/>
          <w:szCs w:val="17"/>
          <w:u w:val="single" w:color="auto"/>
          <w:color w:val="auto"/>
        </w:rPr>
        <w:t>Fundamental Change Repurchase Notice</w:t>
      </w:r>
      <w:r>
        <w:rPr>
          <w:rFonts w:ascii="Arial" w:cs="Arial" w:eastAsia="Arial" w:hAnsi="Arial"/>
          <w:sz w:val="17"/>
          <w:szCs w:val="17"/>
          <w:color w:val="auto"/>
        </w:rPr>
        <w:t xml:space="preserve">”) of its exercise of this Fundamental Change Repurchase Right to the Paying Agent during the period between the delivery of the Fundamental Change Notice and the Close of Business on the Business Day immediately preceding the Fundamental Change Repurchase Date in the form set forth in the global note attached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this Indenture, in each case duly completed and signed, with appropriate signature guarantee, specifying the Notes for which the Fundamental Change Repurchase Right is being exercised. If a Holder wishes to withdraw this election, it must provide a written notice of withdrawal to the Paying Agent at any time until the Close of Business on the Business Day immediately preceding the Fundamental Change Repurchase Date. If the Notes are not in certificated form, the notice given by each Holder (and any withdrawal notice) must comply with applicable Depositary procedures.</w:t>
      </w:r>
    </w:p>
    <w:p>
      <w:pPr>
        <w:spacing w:after="0" w:line="177" w:lineRule="exact"/>
        <w:rPr>
          <w:rFonts w:ascii="Arial" w:cs="Arial" w:eastAsia="Arial" w:hAnsi="Arial"/>
          <w:sz w:val="17"/>
          <w:szCs w:val="17"/>
          <w:color w:val="auto"/>
        </w:rPr>
      </w:pPr>
    </w:p>
    <w:p>
      <w:pPr>
        <w:ind w:right="520" w:firstLine="656"/>
        <w:spacing w:after="0" w:line="308" w:lineRule="auto"/>
        <w:tabs>
          <w:tab w:leader="none" w:pos="1568"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Company shall mail to the Trustee and to each Holder a written notice of a Fundamental Change (the “</w:t>
      </w:r>
      <w:r>
        <w:rPr>
          <w:rFonts w:ascii="Arial" w:cs="Arial" w:eastAsia="Arial" w:hAnsi="Arial"/>
          <w:sz w:val="17"/>
          <w:szCs w:val="17"/>
          <w:u w:val="single" w:color="auto"/>
          <w:color w:val="auto"/>
        </w:rPr>
        <w:t>Fundamental Change</w:t>
      </w:r>
      <w:r>
        <w:rPr>
          <w:rFonts w:ascii="Arial" w:cs="Arial" w:eastAsia="Arial" w:hAnsi="Arial"/>
          <w:sz w:val="17"/>
          <w:szCs w:val="17"/>
          <w:color w:val="auto"/>
        </w:rPr>
        <w:t xml:space="preserve"> </w:t>
      </w:r>
      <w:r>
        <w:rPr>
          <w:rFonts w:ascii="Arial" w:cs="Arial" w:eastAsia="Arial" w:hAnsi="Arial"/>
          <w:sz w:val="17"/>
          <w:szCs w:val="17"/>
          <w:u w:val="single" w:color="auto"/>
          <w:color w:val="auto"/>
        </w:rPr>
        <w:t>Notice</w:t>
      </w:r>
      <w:r>
        <w:rPr>
          <w:rFonts w:ascii="Arial" w:cs="Arial" w:eastAsia="Arial" w:hAnsi="Arial"/>
          <w:sz w:val="17"/>
          <w:szCs w:val="17"/>
          <w:color w:val="auto"/>
        </w:rPr>
        <w:t>”) within ten Business Days after the occurrence of such Fundamental Change. This Fundamental Change Notice shall state:</w:t>
      </w:r>
    </w:p>
    <w:p>
      <w:pPr>
        <w:spacing w:after="0" w:line="146" w:lineRule="exact"/>
        <w:rPr>
          <w:rFonts w:ascii="Arial" w:cs="Arial" w:eastAsia="Arial" w:hAnsi="Arial"/>
          <w:sz w:val="17"/>
          <w:szCs w:val="17"/>
          <w:color w:val="auto"/>
        </w:rPr>
      </w:pPr>
    </w:p>
    <w:p>
      <w:pPr>
        <w:ind w:left="4540" w:hanging="706"/>
        <w:spacing w:after="0"/>
        <w:tabs>
          <w:tab w:leader="none" w:pos="45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events causing the Fundamental Change;</w:t>
      </w:r>
    </w:p>
    <w:p>
      <w:pPr>
        <w:spacing w:after="0" w:line="225" w:lineRule="exact"/>
        <w:rPr>
          <w:rFonts w:ascii="Arial" w:cs="Arial" w:eastAsia="Arial" w:hAnsi="Arial"/>
          <w:sz w:val="18"/>
          <w:szCs w:val="18"/>
          <w:color w:val="auto"/>
        </w:rPr>
      </w:pPr>
    </w:p>
    <w:p>
      <w:pPr>
        <w:ind w:left="4600" w:hanging="766"/>
        <w:spacing w:after="0"/>
        <w:tabs>
          <w:tab w:leader="none" w:pos="46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the effective date of the Fundamental Change, and whether the Fundamental Change is a</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Make-Whole Fundamental Change;</w:t>
      </w:r>
    </w:p>
    <w:p>
      <w:pPr>
        <w:spacing w:after="0" w:line="210" w:lineRule="exact"/>
        <w:rPr>
          <w:rFonts w:ascii="Arial" w:cs="Arial" w:eastAsia="Arial" w:hAnsi="Arial"/>
          <w:sz w:val="17"/>
          <w:szCs w:val="17"/>
          <w:color w:val="auto"/>
        </w:rPr>
      </w:pPr>
    </w:p>
    <w:p>
      <w:pPr>
        <w:ind w:left="4640" w:hanging="806"/>
        <w:spacing w:after="0"/>
        <w:tabs>
          <w:tab w:leader="none" w:pos="4640"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last date on which a Holder may exercise the Fundamental Change Repurchase Right;</w:t>
      </w:r>
    </w:p>
    <w:p>
      <w:pPr>
        <w:spacing w:after="0" w:line="248" w:lineRule="exact"/>
        <w:rPr>
          <w:rFonts w:ascii="Arial" w:cs="Arial" w:eastAsia="Arial" w:hAnsi="Arial"/>
          <w:sz w:val="16"/>
          <w:szCs w:val="16"/>
          <w:color w:val="auto"/>
        </w:rPr>
      </w:pPr>
    </w:p>
    <w:p>
      <w:pPr>
        <w:ind w:left="4640" w:hanging="806"/>
        <w:spacing w:after="0"/>
        <w:tabs>
          <w:tab w:leader="none" w:pos="46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Fundamental Change Repurchase Price;</w:t>
      </w:r>
    </w:p>
    <w:p>
      <w:pPr>
        <w:spacing w:after="0" w:line="225" w:lineRule="exact"/>
        <w:rPr>
          <w:rFonts w:ascii="Arial" w:cs="Arial" w:eastAsia="Arial" w:hAnsi="Arial"/>
          <w:sz w:val="18"/>
          <w:szCs w:val="18"/>
          <w:color w:val="auto"/>
        </w:rPr>
      </w:pPr>
    </w:p>
    <w:p>
      <w:pPr>
        <w:ind w:left="4580" w:hanging="746"/>
        <w:spacing w:after="0"/>
        <w:tabs>
          <w:tab w:leader="none" w:pos="45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Fundamental Change Repurchase Date;</w:t>
      </w:r>
    </w:p>
    <w:p>
      <w:pPr>
        <w:spacing w:after="0" w:line="225" w:lineRule="exact"/>
        <w:rPr>
          <w:rFonts w:ascii="Arial" w:cs="Arial" w:eastAsia="Arial" w:hAnsi="Arial"/>
          <w:sz w:val="18"/>
          <w:szCs w:val="18"/>
          <w:color w:val="auto"/>
        </w:rPr>
      </w:pPr>
    </w:p>
    <w:p>
      <w:pPr>
        <w:ind w:left="4640" w:hanging="806"/>
        <w:spacing w:after="0"/>
        <w:tabs>
          <w:tab w:leader="none" w:pos="46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the Conversion Rate and, in the case of any conversion of the Note in connection with a</w:t>
      </w:r>
    </w:p>
    <w:p>
      <w:pPr>
        <w:spacing w:after="0" w:line="34" w:lineRule="exact"/>
        <w:rPr>
          <w:rFonts w:ascii="Arial" w:cs="Arial" w:eastAsia="Arial" w:hAnsi="Arial"/>
          <w:sz w:val="17"/>
          <w:szCs w:val="17"/>
          <w:color w:val="auto"/>
        </w:rPr>
      </w:pPr>
    </w:p>
    <w:p>
      <w:pPr>
        <w:ind w:right="40"/>
        <w:spacing w:after="0" w:line="255" w:lineRule="auto"/>
        <w:rPr>
          <w:rFonts w:ascii="Arial" w:cs="Arial" w:eastAsia="Arial" w:hAnsi="Arial"/>
          <w:sz w:val="17"/>
          <w:szCs w:val="17"/>
          <w:color w:val="auto"/>
        </w:rPr>
      </w:pPr>
      <w:r>
        <w:rPr>
          <w:rFonts w:ascii="Arial" w:cs="Arial" w:eastAsia="Arial" w:hAnsi="Arial"/>
          <w:sz w:val="18"/>
          <w:szCs w:val="18"/>
          <w:color w:val="auto"/>
        </w:rPr>
        <w:t>Make-Whole Fundamental Change, the number of Additional Shares specified in Section 5.07 to be added to the Conversion Rate in connection with such Make-Whole Fundamental Change, and the procedures required for exercise of a Holder’s right to convert its Notes, including in the event of a Make-Whole Fundamental Change;</w:t>
      </w:r>
    </w:p>
    <w:p>
      <w:pPr>
        <w:spacing w:after="0" w:line="190" w:lineRule="exact"/>
        <w:rPr>
          <w:rFonts w:ascii="Arial" w:cs="Arial" w:eastAsia="Arial" w:hAnsi="Arial"/>
          <w:sz w:val="17"/>
          <w:szCs w:val="17"/>
          <w:color w:val="auto"/>
        </w:rPr>
      </w:pPr>
    </w:p>
    <w:p>
      <w:pPr>
        <w:ind w:left="4680" w:hanging="846"/>
        <w:spacing w:after="0"/>
        <w:tabs>
          <w:tab w:leader="none" w:pos="46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procedures required for exercise of the Fundamental Change Repurchase Right, and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procedures required for withdrawal of any such exercise; and</w:t>
      </w:r>
    </w:p>
    <w:p>
      <w:pPr>
        <w:spacing w:after="0" w:line="210" w:lineRule="exact"/>
        <w:rPr>
          <w:rFonts w:ascii="Arial" w:cs="Arial" w:eastAsia="Arial" w:hAnsi="Arial"/>
          <w:sz w:val="16"/>
          <w:szCs w:val="16"/>
          <w:color w:val="auto"/>
        </w:rPr>
      </w:pPr>
    </w:p>
    <w:p>
      <w:pPr>
        <w:ind w:left="4740" w:hanging="906"/>
        <w:spacing w:after="0"/>
        <w:tabs>
          <w:tab w:leader="none" w:pos="47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name and address of the Paying Agent and Conversion Agent.</w:t>
      </w:r>
    </w:p>
    <w:p>
      <w:pPr>
        <w:spacing w:after="0" w:line="22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No failure of the Company to give a Fundamental Change Notice shall limit any Holder’s right pursuant hereto to exercise its Fundamental Change Repurchase Right.</w:t>
      </w:r>
    </w:p>
    <w:p>
      <w:pPr>
        <w:spacing w:after="0" w:line="170" w:lineRule="exact"/>
        <w:rPr>
          <w:sz w:val="20"/>
          <w:szCs w:val="20"/>
          <w:color w:val="auto"/>
        </w:rPr>
      </w:pPr>
    </w:p>
    <w:p>
      <w:pPr>
        <w:ind w:right="40" w:firstLine="656"/>
        <w:spacing w:after="0" w:line="276" w:lineRule="auto"/>
        <w:tabs>
          <w:tab w:leader="none" w:pos="1533"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Company shall be required to repurchase Notes that have been validly surrendered for repurchase and not validly withdrawn on the Fundamental Change Repurchase Date. The Holder will receive payment of the Fundamental Change Repurchase Price on the later of the Fundamental Change Repurchase Date and the time of book-entry transfer or the delivery of such Holder’s Notes. If the Paying Agent as of 11:00 a.m., New York City time, on the Fundamental Change Repurchase Date holds money sufficient to pay the Fundamental Change Repurchase Price of the Notes for which a Fundamental Change Repurchase Notice has been submitted and not validly withdrawn, then:</w:t>
      </w:r>
    </w:p>
    <w:p>
      <w:pPr>
        <w:spacing w:after="0" w:line="3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692" w:right="299" w:bottom="1440" w:gutter="0" w:footer="0" w:header="0"/>
        </w:sectPr>
      </w:pPr>
    </w:p>
    <w:bookmarkStart w:id="22" w:name="page23"/>
    <w:bookmarkEnd w:id="22"/>
    <w:p>
      <w:pPr>
        <w:ind w:left="4540" w:hanging="706"/>
        <w:spacing w:after="0"/>
        <w:tabs>
          <w:tab w:leader="none" w:pos="45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such Notes shall cease to be outstanding, principal will cease to accrete (to the extent such</w:t>
      </w:r>
    </w:p>
    <w:p>
      <w:pPr>
        <w:spacing w:after="0" w:line="46" w:lineRule="exact"/>
        <w:rPr>
          <w:rFonts w:ascii="Arial" w:cs="Arial" w:eastAsia="Arial" w:hAnsi="Arial"/>
          <w:sz w:val="16"/>
          <w:szCs w:val="16"/>
          <w:color w:val="auto"/>
        </w:rPr>
      </w:pPr>
    </w:p>
    <w:p>
      <w:pPr>
        <w:ind w:right="80"/>
        <w:spacing w:after="0" w:line="261" w:lineRule="auto"/>
        <w:rPr>
          <w:rFonts w:ascii="Arial" w:cs="Arial" w:eastAsia="Arial" w:hAnsi="Arial"/>
          <w:sz w:val="16"/>
          <w:szCs w:val="16"/>
          <w:color w:val="auto"/>
        </w:rPr>
      </w:pPr>
      <w:r>
        <w:rPr>
          <w:rFonts w:ascii="Arial" w:cs="Arial" w:eastAsia="Arial" w:hAnsi="Arial"/>
          <w:sz w:val="18"/>
          <w:szCs w:val="18"/>
          <w:color w:val="auto"/>
        </w:rPr>
        <w:t>principal is still accreting pursuant to this Indenture) and interest will cease to accrue (whether or not book-entry transfer of the Notes is made or whether or not the Note is delivered to the Paying Agent); and</w:t>
      </w:r>
    </w:p>
    <w:p>
      <w:pPr>
        <w:spacing w:after="0" w:line="183" w:lineRule="exact"/>
        <w:rPr>
          <w:rFonts w:ascii="Arial" w:cs="Arial" w:eastAsia="Arial" w:hAnsi="Arial"/>
          <w:sz w:val="16"/>
          <w:szCs w:val="16"/>
          <w:color w:val="auto"/>
        </w:rPr>
      </w:pPr>
    </w:p>
    <w:p>
      <w:pPr>
        <w:ind w:right="160" w:firstLine="3834"/>
        <w:spacing w:after="0" w:line="286" w:lineRule="auto"/>
        <w:tabs>
          <w:tab w:leader="none" w:pos="4585"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other rights of the relevant Holders of such Notes shall terminate (other than the right to receive the Fundamental Change Repurchase Price and, if the Fundamental Change Repurchase Date is after a Regular Record Date and on or prior to the related Interest Payment Date, the right of the Holder on such Regular Record Date to receive the related interest payment).</w:t>
      </w:r>
    </w:p>
    <w:p>
      <w:pPr>
        <w:spacing w:after="0" w:line="165" w:lineRule="exact"/>
        <w:rPr>
          <w:rFonts w:ascii="Arial" w:cs="Arial" w:eastAsia="Arial" w:hAnsi="Arial"/>
          <w:sz w:val="17"/>
          <w:szCs w:val="17"/>
          <w:color w:val="auto"/>
        </w:rPr>
      </w:pPr>
    </w:p>
    <w:p>
      <w:pPr>
        <w:jc w:val="both"/>
        <w:ind w:right="40" w:firstLine="656"/>
        <w:spacing w:after="0" w:line="302" w:lineRule="auto"/>
        <w:tabs>
          <w:tab w:leader="none" w:pos="1568" w:val="left"/>
        </w:tabs>
        <w:numPr>
          <w:ilvl w:val="0"/>
          <w:numId w:val="19"/>
        </w:numPr>
        <w:rPr>
          <w:rFonts w:ascii="Arial" w:cs="Arial" w:eastAsia="Arial" w:hAnsi="Arial"/>
          <w:sz w:val="16"/>
          <w:szCs w:val="16"/>
          <w:color w:val="auto"/>
        </w:rPr>
      </w:pPr>
      <w:r>
        <w:rPr>
          <w:rFonts w:ascii="Arial" w:cs="Arial" w:eastAsia="Arial" w:hAnsi="Arial"/>
          <w:sz w:val="16"/>
          <w:szCs w:val="16"/>
          <w:color w:val="auto"/>
        </w:rPr>
        <w:t>No Notes may be repurchased by the Company at the option of Holders upon a Fundamental Change if the Accreted Principal Amount of the Notes has been accelerated, and such acceleration has not been rescinded, on or prior to the Fundamental Change Repurchase Date (except in the case of an acceleration resulting from a default by the Company in the payment of the Fundamental Change Repurchase Price with respect to such Notes). The Paying Agent shall promptly return to the respective Holders thereof any Notes held by it during the continuance of such an acceleration.</w:t>
      </w:r>
    </w:p>
    <w:p>
      <w:pPr>
        <w:spacing w:after="0" w:line="154" w:lineRule="exact"/>
        <w:rPr>
          <w:rFonts w:ascii="Arial" w:cs="Arial" w:eastAsia="Arial" w:hAnsi="Arial"/>
          <w:sz w:val="16"/>
          <w:szCs w:val="16"/>
          <w:color w:val="auto"/>
        </w:rPr>
      </w:pPr>
    </w:p>
    <w:p>
      <w:pPr>
        <w:ind w:left="1560" w:hanging="904"/>
        <w:spacing w:after="0"/>
        <w:tabs>
          <w:tab w:leader="none" w:pos="1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connection with any Fundamental Change Repurchase Right, the Company shall, to the extent applicable:</w:t>
      </w:r>
    </w:p>
    <w:p>
      <w:pPr>
        <w:spacing w:after="0" w:line="225" w:lineRule="exact"/>
        <w:rPr>
          <w:rFonts w:ascii="Arial" w:cs="Arial" w:eastAsia="Arial" w:hAnsi="Arial"/>
          <w:sz w:val="18"/>
          <w:szCs w:val="18"/>
          <w:color w:val="auto"/>
        </w:rPr>
      </w:pPr>
    </w:p>
    <w:p>
      <w:pPr>
        <w:ind w:left="4540" w:hanging="706"/>
        <w:spacing w:after="0"/>
        <w:tabs>
          <w:tab w:leader="none" w:pos="4540" w:val="left"/>
        </w:tabs>
        <w:numPr>
          <w:ilvl w:val="1"/>
          <w:numId w:val="19"/>
        </w:numPr>
        <w:rPr>
          <w:rFonts w:ascii="Arial" w:cs="Arial" w:eastAsia="Arial" w:hAnsi="Arial"/>
          <w:sz w:val="16"/>
          <w:szCs w:val="16"/>
          <w:color w:val="auto"/>
        </w:rPr>
      </w:pPr>
      <w:r>
        <w:rPr>
          <w:rFonts w:ascii="Arial" w:cs="Arial" w:eastAsia="Arial" w:hAnsi="Arial"/>
          <w:sz w:val="16"/>
          <w:szCs w:val="16"/>
          <w:color w:val="auto"/>
        </w:rPr>
        <w:t>comply with the provisions of Rule 13e-4, Rule 14e-1 and any other tender offer rules under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Exchange Act, to the extent such rules as applicable;</w:t>
      </w:r>
    </w:p>
    <w:p>
      <w:pPr>
        <w:spacing w:after="0" w:line="210" w:lineRule="exact"/>
        <w:rPr>
          <w:rFonts w:ascii="Arial" w:cs="Arial" w:eastAsia="Arial" w:hAnsi="Arial"/>
          <w:sz w:val="16"/>
          <w:szCs w:val="16"/>
          <w:color w:val="auto"/>
        </w:rPr>
      </w:pPr>
    </w:p>
    <w:p>
      <w:pPr>
        <w:ind w:left="4600" w:hanging="766"/>
        <w:spacing w:after="0"/>
        <w:tabs>
          <w:tab w:leader="none" w:pos="46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file a Schedule TO or any successor or similar schedule, if required, under the Exchange Act;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4640" w:hanging="806"/>
        <w:spacing w:after="0"/>
        <w:tabs>
          <w:tab w:leader="none" w:pos="46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otherwise comply with all applicable federal and state securities laws.</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u w:val="single" w:color="auto"/>
          <w:color w:val="auto"/>
        </w:rPr>
        <w:t>Repurchase at Option of Holders Upon Specified Dates</w:t>
      </w:r>
      <w:r>
        <w:rPr>
          <w:rFonts w:ascii="Arial" w:cs="Arial" w:eastAsia="Arial" w:hAnsi="Arial"/>
          <w:sz w:val="16"/>
          <w:szCs w:val="16"/>
          <w:color w:val="auto"/>
        </w:rPr>
        <w:t>.</w:t>
      </w:r>
    </w:p>
    <w:p>
      <w:pPr>
        <w:spacing w:after="0" w:line="225" w:lineRule="exact"/>
        <w:rPr>
          <w:sz w:val="20"/>
          <w:szCs w:val="20"/>
          <w:color w:val="auto"/>
        </w:rPr>
      </w:pPr>
    </w:p>
    <w:p>
      <w:pPr>
        <w:ind w:right="20" w:firstLine="656"/>
        <w:spacing w:after="0" w:line="259" w:lineRule="auto"/>
        <w:tabs>
          <w:tab w:leader="none" w:pos="1568"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Each Holder will have the option to require the Company to repurchase all or a portion of the Original Principal Amount of their Notes for cash (“</w:t>
      </w:r>
      <w:r>
        <w:rPr>
          <w:rFonts w:ascii="Arial" w:cs="Arial" w:eastAsia="Arial" w:hAnsi="Arial"/>
          <w:sz w:val="18"/>
          <w:szCs w:val="18"/>
          <w:u w:val="single" w:color="auto"/>
          <w:color w:val="auto"/>
        </w:rPr>
        <w:t>Repurchase Right</w:t>
      </w:r>
      <w:r>
        <w:rPr>
          <w:rFonts w:ascii="Arial" w:cs="Arial" w:eastAsia="Arial" w:hAnsi="Arial"/>
          <w:sz w:val="18"/>
          <w:szCs w:val="18"/>
          <w:color w:val="auto"/>
        </w:rPr>
        <w:t>”) on February 6, 2023, February 6, 2026, and February 6, 2029 (each a “</w:t>
      </w:r>
      <w:r>
        <w:rPr>
          <w:rFonts w:ascii="Arial" w:cs="Arial" w:eastAsia="Arial" w:hAnsi="Arial"/>
          <w:sz w:val="18"/>
          <w:szCs w:val="18"/>
          <w:u w:val="single" w:color="auto"/>
          <w:color w:val="auto"/>
        </w:rPr>
        <w:t>Repurchase Date</w:t>
      </w:r>
      <w:r>
        <w:rPr>
          <w:rFonts w:ascii="Arial" w:cs="Arial" w:eastAsia="Arial" w:hAnsi="Arial"/>
          <w:sz w:val="18"/>
          <w:szCs w:val="18"/>
          <w:color w:val="auto"/>
        </w:rPr>
        <w:t>” and together, the “</w:t>
      </w:r>
      <w:r>
        <w:rPr>
          <w:rFonts w:ascii="Arial" w:cs="Arial" w:eastAsia="Arial" w:hAnsi="Arial"/>
          <w:sz w:val="18"/>
          <w:szCs w:val="18"/>
          <w:u w:val="single" w:color="auto"/>
          <w:color w:val="auto"/>
        </w:rPr>
        <w:t>Repurchase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Dates</w:t>
      </w:r>
      <w:r>
        <w:rPr>
          <w:rFonts w:ascii="Arial" w:cs="Arial" w:eastAsia="Arial" w:hAnsi="Arial"/>
          <w:sz w:val="18"/>
          <w:szCs w:val="18"/>
          <w:color w:val="auto"/>
        </w:rPr>
        <w:t>”) at the Repurchase Price. The Repurchase Price will be payable in cash and the Company will be required to repurchase any outstanding Notes for which a Holder delivers a written Repurchase Notice to the Paying Agent.</w:t>
      </w:r>
    </w:p>
    <w:p>
      <w:pPr>
        <w:spacing w:after="0" w:line="186" w:lineRule="exact"/>
        <w:rPr>
          <w:rFonts w:ascii="Arial" w:cs="Arial" w:eastAsia="Arial" w:hAnsi="Arial"/>
          <w:sz w:val="18"/>
          <w:szCs w:val="18"/>
          <w:color w:val="auto"/>
        </w:rPr>
      </w:pPr>
    </w:p>
    <w:p>
      <w:pPr>
        <w:ind w:firstLine="656"/>
        <w:spacing w:after="0" w:line="276" w:lineRule="auto"/>
        <w:tabs>
          <w:tab w:leader="none" w:pos="1533"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Holder must deliver a written Repurchase Notice of its exercise of this Repurchase Right to the Paying Agent during the period beginning at the Open of Business on the date that is 20 Business Days prior to the Repurchase Date until the Close of Business on the Business Day immediately preceding the Repurchase Date. If a Holder wishes to withdraw this election, it must provide a written notice of withdrawal to the Paying Agent at any time until the Close of Business on the Business Day immediately preceding the Repurchase Date. If the Notes are not in certificated form, the notice given by each Holder (and any withdrawal notice) must comply with applicable Depositary procedures.</w:t>
      </w:r>
    </w:p>
    <w:p>
      <w:pPr>
        <w:spacing w:after="0" w:line="3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20"/>
          </w:cols>
          <w:pgMar w:left="240" w:top="692" w:right="339" w:bottom="1440" w:gutter="0" w:footer="0" w:header="0"/>
        </w:sectPr>
      </w:pPr>
    </w:p>
    <w:bookmarkStart w:id="23" w:name="page24"/>
    <w:bookmarkEnd w:id="23"/>
    <w:p>
      <w:pPr>
        <w:ind w:right="240" w:firstLine="656"/>
        <w:spacing w:after="0" w:line="342" w:lineRule="auto"/>
        <w:tabs>
          <w:tab w:leader="none" w:pos="1568"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Company shall mail to the Trustee and to each Holder a written notice (the “</w:t>
      </w:r>
      <w:r>
        <w:rPr>
          <w:rFonts w:ascii="Arial" w:cs="Arial" w:eastAsia="Arial" w:hAnsi="Arial"/>
          <w:sz w:val="16"/>
          <w:szCs w:val="16"/>
          <w:u w:val="single" w:color="auto"/>
          <w:color w:val="auto"/>
        </w:rPr>
        <w:t>Holder Option to Repurchase Notice</w:t>
      </w:r>
      <w:r>
        <w:rPr>
          <w:rFonts w:ascii="Arial" w:cs="Arial" w:eastAsia="Arial" w:hAnsi="Arial"/>
          <w:sz w:val="16"/>
          <w:szCs w:val="16"/>
          <w:color w:val="auto"/>
        </w:rPr>
        <w:t>”) on a date not less than 20 Business Days prior to each Repurchase Date. This Holder Option to Repurchase Notice shall state certain specified information, including:</w:t>
      </w:r>
    </w:p>
    <w:p>
      <w:pPr>
        <w:spacing w:after="0" w:line="123" w:lineRule="exact"/>
        <w:rPr>
          <w:rFonts w:ascii="Arial" w:cs="Arial" w:eastAsia="Arial" w:hAnsi="Arial"/>
          <w:sz w:val="16"/>
          <w:szCs w:val="16"/>
          <w:color w:val="auto"/>
        </w:rPr>
      </w:pPr>
    </w:p>
    <w:p>
      <w:pPr>
        <w:ind w:left="4540" w:hanging="706"/>
        <w:spacing w:after="0"/>
        <w:tabs>
          <w:tab w:leader="none" w:pos="45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that Holders have a right to require the Company to repurchase the Notes upon satisfaction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requirements set forth in this Section 3.03;</w:t>
      </w:r>
    </w:p>
    <w:p>
      <w:pPr>
        <w:spacing w:after="0" w:line="210" w:lineRule="exact"/>
        <w:rPr>
          <w:rFonts w:ascii="Arial" w:cs="Arial" w:eastAsia="Arial" w:hAnsi="Arial"/>
          <w:sz w:val="16"/>
          <w:szCs w:val="16"/>
          <w:color w:val="auto"/>
        </w:rPr>
      </w:pPr>
    </w:p>
    <w:p>
      <w:pPr>
        <w:ind w:left="4600" w:hanging="766"/>
        <w:spacing w:after="0"/>
        <w:tabs>
          <w:tab w:leader="none" w:pos="46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Repurchase Date;</w:t>
      </w:r>
    </w:p>
    <w:p>
      <w:pPr>
        <w:spacing w:after="0" w:line="225" w:lineRule="exact"/>
        <w:rPr>
          <w:rFonts w:ascii="Arial" w:cs="Arial" w:eastAsia="Arial" w:hAnsi="Arial"/>
          <w:sz w:val="18"/>
          <w:szCs w:val="18"/>
          <w:color w:val="auto"/>
        </w:rPr>
      </w:pPr>
    </w:p>
    <w:p>
      <w:pPr>
        <w:ind w:left="4640" w:hanging="806"/>
        <w:spacing w:after="0"/>
        <w:tabs>
          <w:tab w:leader="none" w:pos="46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Repurchase Price;</w:t>
      </w:r>
    </w:p>
    <w:p>
      <w:pPr>
        <w:spacing w:after="0" w:line="225" w:lineRule="exact"/>
        <w:rPr>
          <w:rFonts w:ascii="Arial" w:cs="Arial" w:eastAsia="Arial" w:hAnsi="Arial"/>
          <w:sz w:val="18"/>
          <w:szCs w:val="18"/>
          <w:color w:val="auto"/>
        </w:rPr>
      </w:pPr>
    </w:p>
    <w:p>
      <w:pPr>
        <w:ind w:left="4640" w:hanging="806"/>
        <w:spacing w:after="0"/>
        <w:tabs>
          <w:tab w:leader="none" w:pos="46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that Notes with respect to which a Repurchase Notice is given by a Holder may be converted</w:t>
      </w:r>
    </w:p>
    <w:p>
      <w:pPr>
        <w:spacing w:after="0" w:line="46" w:lineRule="exact"/>
        <w:rPr>
          <w:rFonts w:ascii="Arial" w:cs="Arial" w:eastAsia="Arial" w:hAnsi="Arial"/>
          <w:sz w:val="16"/>
          <w:szCs w:val="16"/>
          <w:color w:val="auto"/>
        </w:rPr>
      </w:pPr>
    </w:p>
    <w:p>
      <w:pPr>
        <w:ind w:right="220"/>
        <w:spacing w:after="0" w:line="261" w:lineRule="auto"/>
        <w:rPr>
          <w:rFonts w:ascii="Arial" w:cs="Arial" w:eastAsia="Arial" w:hAnsi="Arial"/>
          <w:sz w:val="16"/>
          <w:szCs w:val="16"/>
          <w:color w:val="auto"/>
        </w:rPr>
      </w:pPr>
      <w:r>
        <w:rPr>
          <w:rFonts w:ascii="Arial" w:cs="Arial" w:eastAsia="Arial" w:hAnsi="Arial"/>
          <w:sz w:val="18"/>
          <w:szCs w:val="18"/>
          <w:color w:val="auto"/>
        </w:rPr>
        <w:t>pursuant to Article V of this Second Supplemental Indenture only if such Repurchase Notice has been withdrawn in accordance with this Section 3.03 or if there shall be a default in the payment of such Repurchase Price payable as herein provided;</w:t>
      </w:r>
    </w:p>
    <w:p>
      <w:pPr>
        <w:spacing w:after="0" w:line="183" w:lineRule="exact"/>
        <w:rPr>
          <w:rFonts w:ascii="Arial" w:cs="Arial" w:eastAsia="Arial" w:hAnsi="Arial"/>
          <w:sz w:val="16"/>
          <w:szCs w:val="16"/>
          <w:color w:val="auto"/>
        </w:rPr>
      </w:pPr>
    </w:p>
    <w:p>
      <w:pPr>
        <w:ind w:left="4580" w:hanging="746"/>
        <w:spacing w:after="0"/>
        <w:tabs>
          <w:tab w:leader="none" w:pos="45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Conversion Rate;</w:t>
      </w:r>
    </w:p>
    <w:p>
      <w:pPr>
        <w:spacing w:after="0" w:line="225" w:lineRule="exact"/>
        <w:rPr>
          <w:rFonts w:ascii="Arial" w:cs="Arial" w:eastAsia="Arial" w:hAnsi="Arial"/>
          <w:sz w:val="18"/>
          <w:szCs w:val="18"/>
          <w:color w:val="auto"/>
        </w:rPr>
      </w:pPr>
    </w:p>
    <w:p>
      <w:pPr>
        <w:ind w:left="4640" w:hanging="806"/>
        <w:spacing w:after="0"/>
        <w:tabs>
          <w:tab w:leader="none" w:pos="46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names and addresses of the Paying Agent and the Conversion Agent;</w:t>
      </w:r>
    </w:p>
    <w:p>
      <w:pPr>
        <w:spacing w:after="0" w:line="225" w:lineRule="exact"/>
        <w:rPr>
          <w:rFonts w:ascii="Arial" w:cs="Arial" w:eastAsia="Arial" w:hAnsi="Arial"/>
          <w:sz w:val="18"/>
          <w:szCs w:val="18"/>
          <w:color w:val="auto"/>
        </w:rPr>
      </w:pPr>
    </w:p>
    <w:p>
      <w:pPr>
        <w:ind w:left="4680" w:hanging="846"/>
        <w:spacing w:after="0"/>
        <w:tabs>
          <w:tab w:leader="none" w:pos="46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procedures a Holder must follow for exercise of the Repurchase Right and the procedures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required for withdrawal of any such exercise;</w:t>
      </w:r>
    </w:p>
    <w:p>
      <w:pPr>
        <w:spacing w:after="0" w:line="210" w:lineRule="exact"/>
        <w:rPr>
          <w:rFonts w:ascii="Arial" w:cs="Arial" w:eastAsia="Arial" w:hAnsi="Arial"/>
          <w:sz w:val="16"/>
          <w:szCs w:val="16"/>
          <w:color w:val="auto"/>
        </w:rPr>
      </w:pPr>
    </w:p>
    <w:p>
      <w:pPr>
        <w:ind w:left="4740" w:hanging="906"/>
        <w:spacing w:after="0"/>
        <w:tabs>
          <w:tab w:leader="none" w:pos="4740" w:val="left"/>
        </w:tabs>
        <w:numPr>
          <w:ilvl w:val="1"/>
          <w:numId w:val="21"/>
        </w:numPr>
        <w:rPr>
          <w:rFonts w:ascii="Arial" w:cs="Arial" w:eastAsia="Arial" w:hAnsi="Arial"/>
          <w:sz w:val="17"/>
          <w:szCs w:val="17"/>
          <w:color w:val="auto"/>
        </w:rPr>
      </w:pPr>
      <w:r>
        <w:rPr>
          <w:rFonts w:ascii="Arial" w:cs="Arial" w:eastAsia="Arial" w:hAnsi="Arial"/>
          <w:sz w:val="17"/>
          <w:szCs w:val="17"/>
          <w:color w:val="auto"/>
        </w:rPr>
        <w:t>that Notes to be repurchased must be surrendered to the Paying Agent to collect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Repurchase Price therefor; and</w:t>
      </w:r>
    </w:p>
    <w:p>
      <w:pPr>
        <w:spacing w:after="0" w:line="210" w:lineRule="exact"/>
        <w:rPr>
          <w:rFonts w:ascii="Arial" w:cs="Arial" w:eastAsia="Arial" w:hAnsi="Arial"/>
          <w:sz w:val="17"/>
          <w:szCs w:val="17"/>
          <w:color w:val="auto"/>
        </w:rPr>
      </w:pPr>
    </w:p>
    <w:p>
      <w:pPr>
        <w:ind w:left="4640" w:hanging="806"/>
        <w:spacing w:after="0"/>
        <w:tabs>
          <w:tab w:leader="none" w:pos="46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CUSIP number or numbers, as the case may be, of the Notes to be repurchased.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No failure of the Company to give a Holder Option to Repurchase Notice shall limit any Holder’s right pursuant hereto to exercise its Repurchase Right.</w:t>
      </w:r>
    </w:p>
    <w:p>
      <w:pPr>
        <w:spacing w:after="0" w:line="237" w:lineRule="exact"/>
        <w:rPr>
          <w:sz w:val="20"/>
          <w:szCs w:val="20"/>
          <w:color w:val="auto"/>
        </w:rPr>
      </w:pPr>
    </w:p>
    <w:p>
      <w:pPr>
        <w:ind w:right="80" w:firstLine="656"/>
        <w:spacing w:after="0" w:line="302" w:lineRule="auto"/>
        <w:tabs>
          <w:tab w:leader="none" w:pos="1533"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Company shall be required to repurchase Notes that have been validly surrendered for repurchase and not validly withdrawn on the Repurchase Date. The Holder will receive payment of the Repurchase Price on the later of the Repurchase Date and the time of book-entry transfer or the delivery of such Holder’s Notes. If the Paying Agent as of 11:00 a.m., New York City time, on the Repurchase Date holds money sufficient to pay the Repurchase Price of the Notes for which a Repurchase Notice pursuant to this Section 3.03 has been submitted and not validly withdrawn, then:</w:t>
      </w:r>
    </w:p>
    <w:p>
      <w:pPr>
        <w:spacing w:after="0" w:line="154" w:lineRule="exact"/>
        <w:rPr>
          <w:rFonts w:ascii="Arial" w:cs="Arial" w:eastAsia="Arial" w:hAnsi="Arial"/>
          <w:sz w:val="16"/>
          <w:szCs w:val="16"/>
          <w:color w:val="auto"/>
        </w:rPr>
      </w:pPr>
    </w:p>
    <w:p>
      <w:pPr>
        <w:ind w:left="4540" w:hanging="706"/>
        <w:spacing w:after="0"/>
        <w:tabs>
          <w:tab w:leader="none" w:pos="4540" w:val="left"/>
        </w:tabs>
        <w:numPr>
          <w:ilvl w:val="1"/>
          <w:numId w:val="22"/>
        </w:numPr>
        <w:rPr>
          <w:rFonts w:ascii="Arial" w:cs="Arial" w:eastAsia="Arial" w:hAnsi="Arial"/>
          <w:sz w:val="17"/>
          <w:szCs w:val="17"/>
          <w:color w:val="auto"/>
        </w:rPr>
      </w:pPr>
      <w:r>
        <w:rPr>
          <w:rFonts w:ascii="Arial" w:cs="Arial" w:eastAsia="Arial" w:hAnsi="Arial"/>
          <w:sz w:val="17"/>
          <w:szCs w:val="17"/>
          <w:color w:val="auto"/>
        </w:rPr>
        <w:t>such Notes shall cease to be outstanding, principal will cease to accrete (to the extent such</w:t>
      </w:r>
    </w:p>
    <w:p>
      <w:pPr>
        <w:spacing w:after="0" w:line="34" w:lineRule="exact"/>
        <w:rPr>
          <w:rFonts w:ascii="Arial" w:cs="Arial" w:eastAsia="Arial" w:hAnsi="Arial"/>
          <w:sz w:val="17"/>
          <w:szCs w:val="17"/>
          <w:color w:val="auto"/>
        </w:rPr>
      </w:pPr>
    </w:p>
    <w:p>
      <w:pPr>
        <w:ind w:right="160"/>
        <w:spacing w:after="0" w:line="261" w:lineRule="auto"/>
        <w:rPr>
          <w:rFonts w:ascii="Arial" w:cs="Arial" w:eastAsia="Arial" w:hAnsi="Arial"/>
          <w:sz w:val="17"/>
          <w:szCs w:val="17"/>
          <w:color w:val="auto"/>
        </w:rPr>
      </w:pPr>
      <w:r>
        <w:rPr>
          <w:rFonts w:ascii="Arial" w:cs="Arial" w:eastAsia="Arial" w:hAnsi="Arial"/>
          <w:sz w:val="18"/>
          <w:szCs w:val="18"/>
          <w:color w:val="auto"/>
        </w:rPr>
        <w:t>principal is still accreting pursuant to this Indenture) and interest will cease to accrue (whether or not book-entry transfer of the Notes is made or whether or not the Note is delivered to the Paying Agent); and</w:t>
      </w:r>
    </w:p>
    <w:p>
      <w:pPr>
        <w:spacing w:after="0" w:line="183" w:lineRule="exact"/>
        <w:rPr>
          <w:rFonts w:ascii="Arial" w:cs="Arial" w:eastAsia="Arial" w:hAnsi="Arial"/>
          <w:sz w:val="17"/>
          <w:szCs w:val="17"/>
          <w:color w:val="auto"/>
        </w:rPr>
      </w:pPr>
    </w:p>
    <w:p>
      <w:pPr>
        <w:ind w:left="4600" w:hanging="766"/>
        <w:spacing w:after="0"/>
        <w:tabs>
          <w:tab w:leader="none" w:pos="46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other rights of the relevant Holders of such Notes shall terminate (other than the right to</w:t>
      </w:r>
    </w:p>
    <w:p>
      <w:pPr>
        <w:spacing w:after="0" w:line="34" w:lineRule="exact"/>
        <w:rPr>
          <w:rFonts w:ascii="Arial" w:cs="Arial" w:eastAsia="Arial" w:hAnsi="Arial"/>
          <w:sz w:val="17"/>
          <w:szCs w:val="17"/>
          <w:color w:val="auto"/>
        </w:rPr>
      </w:pPr>
    </w:p>
    <w:p>
      <w:pPr>
        <w:ind w:right="140"/>
        <w:spacing w:after="0" w:line="261" w:lineRule="auto"/>
        <w:rPr>
          <w:rFonts w:ascii="Arial" w:cs="Arial" w:eastAsia="Arial" w:hAnsi="Arial"/>
          <w:sz w:val="17"/>
          <w:szCs w:val="17"/>
          <w:color w:val="auto"/>
        </w:rPr>
      </w:pPr>
      <w:r>
        <w:rPr>
          <w:rFonts w:ascii="Arial" w:cs="Arial" w:eastAsia="Arial" w:hAnsi="Arial"/>
          <w:sz w:val="18"/>
          <w:szCs w:val="18"/>
          <w:color w:val="auto"/>
        </w:rPr>
        <w:t>receive the Repurchase Price and, if the Repurchase Date is after a Regular Record Date and on or prior to the related Interest Payment Date, the right of the Holder on such Regular Record Date to receive the related interest payment).</w:t>
      </w:r>
    </w:p>
    <w:p>
      <w:pPr>
        <w:spacing w:after="0" w:line="183" w:lineRule="exact"/>
        <w:rPr>
          <w:rFonts w:ascii="Arial" w:cs="Arial" w:eastAsia="Arial" w:hAnsi="Arial"/>
          <w:sz w:val="17"/>
          <w:szCs w:val="17"/>
          <w:color w:val="auto"/>
        </w:rPr>
      </w:pPr>
    </w:p>
    <w:p>
      <w:pPr>
        <w:ind w:right="180" w:firstLine="656"/>
        <w:spacing w:after="0" w:line="279" w:lineRule="auto"/>
        <w:tabs>
          <w:tab w:leader="none" w:pos="1568" w:val="left"/>
        </w:tabs>
        <w:numPr>
          <w:ilvl w:val="0"/>
          <w:numId w:val="22"/>
        </w:numPr>
        <w:rPr>
          <w:rFonts w:ascii="Arial" w:cs="Arial" w:eastAsia="Arial" w:hAnsi="Arial"/>
          <w:sz w:val="17"/>
          <w:szCs w:val="17"/>
          <w:color w:val="auto"/>
        </w:rPr>
      </w:pPr>
      <w:r>
        <w:rPr>
          <w:rFonts w:ascii="Arial" w:cs="Arial" w:eastAsia="Arial" w:hAnsi="Arial"/>
          <w:sz w:val="17"/>
          <w:szCs w:val="17"/>
          <w:color w:val="auto"/>
        </w:rPr>
        <w:t>No Notes may be repurchased by the Company at the option of Holders upon their exercise of a Repurchase Right if the Accreted Principal Amount of the Notes has been accelerated, and such acceleration has not been rescinded, on or prior to the Repurchase Date (except in the case of an acceleration resulting from a default by the Company in the payment of the Repurchase Price with respect to such Notes). The Paying Agent shall promptly return to the respective Holders thereof any Notes held by it during the continuance of such an acceleration.</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24" w:name="page25"/>
    <w:bookmarkEnd w:id="24"/>
    <w:p>
      <w:pPr>
        <w:ind w:left="1560" w:hanging="904"/>
        <w:spacing w:after="0"/>
        <w:tabs>
          <w:tab w:leader="none" w:pos="15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connection with any repurchase by the Company upon a Holder’s exercise of its Repurchase Right, the Company shall, to the extent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applicable:</w:t>
      </w:r>
    </w:p>
    <w:p>
      <w:pPr>
        <w:spacing w:after="0" w:line="210" w:lineRule="exact"/>
        <w:rPr>
          <w:rFonts w:ascii="Arial" w:cs="Arial" w:eastAsia="Arial" w:hAnsi="Arial"/>
          <w:sz w:val="16"/>
          <w:szCs w:val="16"/>
          <w:color w:val="auto"/>
        </w:rPr>
      </w:pPr>
    </w:p>
    <w:p>
      <w:pPr>
        <w:ind w:left="4540" w:hanging="706"/>
        <w:spacing w:after="0"/>
        <w:tabs>
          <w:tab w:leader="none" w:pos="4540" w:val="left"/>
        </w:tabs>
        <w:numPr>
          <w:ilvl w:val="1"/>
          <w:numId w:val="23"/>
        </w:numPr>
        <w:rPr>
          <w:rFonts w:ascii="Arial" w:cs="Arial" w:eastAsia="Arial" w:hAnsi="Arial"/>
          <w:sz w:val="16"/>
          <w:szCs w:val="16"/>
          <w:color w:val="auto"/>
        </w:rPr>
      </w:pPr>
      <w:r>
        <w:rPr>
          <w:rFonts w:ascii="Arial" w:cs="Arial" w:eastAsia="Arial" w:hAnsi="Arial"/>
          <w:sz w:val="16"/>
          <w:szCs w:val="16"/>
          <w:color w:val="auto"/>
        </w:rPr>
        <w:t>comply with the provisions of Rule 13e-4, Rule 14e-1 and any other tender offer rules under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Exchange Act, to the extent such rules as applicable;</w:t>
      </w:r>
    </w:p>
    <w:p>
      <w:pPr>
        <w:spacing w:after="0" w:line="210" w:lineRule="exact"/>
        <w:rPr>
          <w:rFonts w:ascii="Arial" w:cs="Arial" w:eastAsia="Arial" w:hAnsi="Arial"/>
          <w:sz w:val="16"/>
          <w:szCs w:val="16"/>
          <w:color w:val="auto"/>
        </w:rPr>
      </w:pPr>
    </w:p>
    <w:p>
      <w:pPr>
        <w:ind w:left="4600" w:hanging="766"/>
        <w:spacing w:after="0"/>
        <w:tabs>
          <w:tab w:leader="none" w:pos="46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file a Schedule TO or any successor or similar schedule, if required, under the Exchange Act;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4640" w:hanging="806"/>
        <w:spacing w:after="0"/>
        <w:tabs>
          <w:tab w:leader="none" w:pos="46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otherwise comply with all applicable federal and state securities laws.</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u w:val="single" w:color="auto"/>
          <w:color w:val="auto"/>
        </w:rPr>
        <w:t>No Sinking Fund</w:t>
      </w:r>
      <w:r>
        <w:rPr>
          <w:rFonts w:ascii="Arial" w:cs="Arial" w:eastAsia="Arial" w:hAnsi="Arial"/>
          <w:sz w:val="16"/>
          <w:szCs w:val="16"/>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sinking fund is provided for the Notes, and Article XI of the Base Indenture is inapplicable with respect to the Notes.</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CONSOLIDATION, MERGER AND SALE OF ASSETS</w:t>
      </w:r>
    </w:p>
    <w:p>
      <w:pPr>
        <w:spacing w:after="0" w:line="211"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Article V of the Base Indenture shall not apply to, and have no force and effect with respect to, the Notes and any reference to Article VIII of the Base Indenture with respect to the Notes shall be superseded by and references thereto shall be deemed to refer to this Article IV.</w:t>
      </w:r>
    </w:p>
    <w:p>
      <w:pPr>
        <w:spacing w:after="0" w:line="14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Company shall not consolidate with, or merge with or into, enter into any combination or binding share exchange with, another Person or sell, assign, convey, transfer, lease or otherwise dispose in one transaction or a series of transactions of all or substantially all of the consolidated assets of the Company and its Subsidiaries, taken as a whole, to any successor Person unless:</w:t>
      </w:r>
    </w:p>
    <w:p>
      <w:pPr>
        <w:spacing w:after="0" w:line="181" w:lineRule="exact"/>
        <w:rPr>
          <w:sz w:val="20"/>
          <w:szCs w:val="20"/>
          <w:color w:val="auto"/>
        </w:rPr>
      </w:pPr>
    </w:p>
    <w:p>
      <w:pPr>
        <w:ind w:left="4540" w:hanging="706"/>
        <w:spacing w:after="0"/>
        <w:tabs>
          <w:tab w:leader="none" w:pos="45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successor Person, if any, is a corporation organized and existing under the laws of the</w:t>
      </w:r>
    </w:p>
    <w:p>
      <w:pPr>
        <w:spacing w:after="0" w:line="34" w:lineRule="exact"/>
        <w:rPr>
          <w:rFonts w:ascii="Arial" w:cs="Arial" w:eastAsia="Arial" w:hAnsi="Arial"/>
          <w:sz w:val="17"/>
          <w:szCs w:val="17"/>
          <w:color w:val="auto"/>
        </w:rPr>
      </w:pPr>
    </w:p>
    <w:p>
      <w:pPr>
        <w:ind w:right="680"/>
        <w:spacing w:after="0" w:line="261" w:lineRule="auto"/>
        <w:rPr>
          <w:rFonts w:ascii="Arial" w:cs="Arial" w:eastAsia="Arial" w:hAnsi="Arial"/>
          <w:sz w:val="17"/>
          <w:szCs w:val="17"/>
          <w:color w:val="auto"/>
        </w:rPr>
      </w:pPr>
      <w:r>
        <w:rPr>
          <w:rFonts w:ascii="Arial" w:cs="Arial" w:eastAsia="Arial" w:hAnsi="Arial"/>
          <w:sz w:val="18"/>
          <w:szCs w:val="18"/>
          <w:color w:val="auto"/>
        </w:rPr>
        <w:t>United States of America or any state thereof or the District of Columbia and expressly assumes by supplemental indenture all the obligations of the Company under the Notes and the Indenture;</w:t>
      </w:r>
    </w:p>
    <w:p>
      <w:pPr>
        <w:spacing w:after="0" w:line="183" w:lineRule="exact"/>
        <w:rPr>
          <w:rFonts w:ascii="Arial" w:cs="Arial" w:eastAsia="Arial" w:hAnsi="Arial"/>
          <w:sz w:val="17"/>
          <w:szCs w:val="17"/>
          <w:color w:val="auto"/>
        </w:rPr>
      </w:pPr>
    </w:p>
    <w:p>
      <w:pPr>
        <w:ind w:left="4600" w:hanging="766"/>
        <w:spacing w:after="0"/>
        <w:tabs>
          <w:tab w:leader="none" w:pos="46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immediately after giving effect to the transaction, no Default or Event of Default with respect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the Notes shall have occurred and be continuing; and</w:t>
      </w:r>
    </w:p>
    <w:p>
      <w:pPr>
        <w:spacing w:after="0" w:line="210" w:lineRule="exact"/>
        <w:rPr>
          <w:rFonts w:ascii="Arial" w:cs="Arial" w:eastAsia="Arial" w:hAnsi="Arial"/>
          <w:sz w:val="16"/>
          <w:szCs w:val="16"/>
          <w:color w:val="auto"/>
        </w:rPr>
      </w:pPr>
    </w:p>
    <w:p>
      <w:pPr>
        <w:ind w:left="4640" w:hanging="806"/>
        <w:spacing w:after="0"/>
        <w:tabs>
          <w:tab w:leader="none" w:pos="4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shall deliver to the Trustee prior to the consummation of the proposed</w:t>
      </w:r>
    </w:p>
    <w:p>
      <w:pPr>
        <w:spacing w:after="0" w:line="23" w:lineRule="exact"/>
        <w:rPr>
          <w:rFonts w:ascii="Arial" w:cs="Arial" w:eastAsia="Arial" w:hAnsi="Arial"/>
          <w:sz w:val="18"/>
          <w:szCs w:val="18"/>
          <w:color w:val="auto"/>
        </w:rPr>
      </w:pPr>
    </w:p>
    <w:p>
      <w:pPr>
        <w:ind w:right="80"/>
        <w:spacing w:after="0" w:line="255" w:lineRule="auto"/>
        <w:rPr>
          <w:rFonts w:ascii="Arial" w:cs="Arial" w:eastAsia="Arial" w:hAnsi="Arial"/>
          <w:sz w:val="18"/>
          <w:szCs w:val="18"/>
          <w:color w:val="auto"/>
        </w:rPr>
      </w:pPr>
      <w:r>
        <w:rPr>
          <w:rFonts w:ascii="Arial" w:cs="Arial" w:eastAsia="Arial" w:hAnsi="Arial"/>
          <w:sz w:val="18"/>
          <w:szCs w:val="18"/>
          <w:color w:val="auto"/>
        </w:rPr>
        <w:t>transaction an Officers’ Certificate to the foregoing effect and an Opinion of Counsel (which may rely upon such Officers’ Certificate as to the absence of Defaults and Events of Default) stating that the proposed transaction and such supplemental indenture will, upon consummation of the proposed transaction, comply with this Indenture.</w:t>
      </w:r>
    </w:p>
    <w:p>
      <w:pPr>
        <w:spacing w:after="0" w:line="19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Upon any such consolidation, merger, combination, binding share exchange, or sale, assignment, conveyance, transfer, lease or other disposition, the resulting, surviving or transferee corporation (if not the Company) shall succeed to the Company, and may exercise every right and power of the Company, under this Indenture, and the Company shall be discharged from its obligations under the Notes and this Indenture except in the case of any such lease. For purposes of the foregoing, any sale, assignment, conveyance, transfer, lease or other disposition of the assets of one or more of the Company’s Subsidiaries that would, if the Company had held such assets directly, have constituted the sale, assignment, conveyance, transfer, lease or other disposition of all or substantially all of the consolidated assets of the Company and its Subsidiaries, taken as a whole, will be treated as such under this Indenture.</w:t>
      </w: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692" w:right="29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CONVERSION OF NOTES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u w:val="single" w:color="auto"/>
          <w:color w:val="auto"/>
        </w:rPr>
        <w:t>Right to Convert</w:t>
      </w:r>
      <w:r>
        <w:rPr>
          <w:rFonts w:ascii="Arial" w:cs="Arial" w:eastAsia="Arial" w:hAnsi="Arial"/>
          <w:sz w:val="16"/>
          <w:szCs w:val="16"/>
          <w:color w:val="auto"/>
        </w:rPr>
        <w:t>.</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At any time prior to the Close of Business on the Business Day immediately preceding the Maturity Date, a Holder may convert all or any portion of the Original Principal Amount of its Notes at the Conversion Rate in effect on the Conversion Date, at an initial conversion rate of 126.9438 shares of Common Stock (subject to adjustment as provided in this Article 5, the “</w:t>
      </w:r>
      <w:r>
        <w:rPr>
          <w:rFonts w:ascii="Arial" w:cs="Arial" w:eastAsia="Arial" w:hAnsi="Arial"/>
          <w:sz w:val="18"/>
          <w:szCs w:val="18"/>
          <w:u w:val="single" w:color="auto"/>
          <w:color w:val="auto"/>
        </w:rPr>
        <w:t>Conversion Rate</w:t>
      </w:r>
      <w:r>
        <w:rPr>
          <w:rFonts w:ascii="Arial" w:cs="Arial" w:eastAsia="Arial" w:hAnsi="Arial"/>
          <w:sz w:val="18"/>
          <w:szCs w:val="18"/>
          <w:color w:val="auto"/>
        </w:rPr>
        <w:t>”) per $1,000 Original Principal Amount of Notes (subject to, and in accordance with, the settlement provisions of Section 5.03 and as may be increased by any Additional Shares pursuant to Section 5.07, the “</w:t>
      </w:r>
      <w:r>
        <w:rPr>
          <w:rFonts w:ascii="Arial" w:cs="Arial" w:eastAsia="Arial" w:hAnsi="Arial"/>
          <w:sz w:val="18"/>
          <w:szCs w:val="18"/>
          <w:u w:val="single" w:color="auto"/>
          <w:color w:val="auto"/>
        </w:rPr>
        <w:t>Conversion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Obligation</w:t>
      </w:r>
      <w:r>
        <w:rPr>
          <w:rFonts w:ascii="Arial" w:cs="Arial" w:eastAsia="Arial" w:hAnsi="Arial"/>
          <w:sz w:val="18"/>
          <w:szCs w:val="18"/>
          <w:color w:val="auto"/>
        </w:rPr>
        <w:t>”). A Holder may convert fewer than all of such Holder’s Notes so long as the Notes converted are in an integral multiple of $1,000 Original Principal Amount. Upon such conversion pursuant to this Section 5.01, the remaining Accreted Principal Amount in excess of the Original Principal Amount converted shall be deemed to be extinguished.</w:t>
      </w:r>
    </w:p>
    <w:p>
      <w:pPr>
        <w:spacing w:after="0" w:line="18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6"/>
          <w:szCs w:val="16"/>
          <w:u w:val="single" w:color="auto"/>
          <w:color w:val="auto"/>
        </w:rPr>
        <w:t>Exchange in Lieu of Conversion</w:t>
      </w:r>
      <w:r>
        <w:rPr>
          <w:rFonts w:ascii="Arial" w:cs="Arial" w:eastAsia="Arial" w:hAnsi="Arial"/>
          <w:sz w:val="16"/>
          <w:szCs w:val="16"/>
          <w:color w:val="auto"/>
        </w:rPr>
        <w:t>.</w:t>
      </w:r>
    </w:p>
    <w:p>
      <w:pPr>
        <w:spacing w:after="0" w:line="225" w:lineRule="exact"/>
        <w:rPr>
          <w:sz w:val="20"/>
          <w:szCs w:val="20"/>
          <w:color w:val="auto"/>
        </w:rPr>
      </w:pPr>
    </w:p>
    <w:p>
      <w:pPr>
        <w:ind w:left="1580" w:hanging="924"/>
        <w:spacing w:after="0"/>
        <w:tabs>
          <w:tab w:leader="none" w:pos="1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at any time when a Holder surrenders Notes for conversion prior to the Maturity Date of the Notes, the Company:</w:t>
      </w:r>
    </w:p>
    <w:p>
      <w:pPr>
        <w:spacing w:after="0" w:line="225" w:lineRule="exact"/>
        <w:rPr>
          <w:rFonts w:ascii="Arial" w:cs="Arial" w:eastAsia="Arial" w:hAnsi="Arial"/>
          <w:sz w:val="18"/>
          <w:szCs w:val="18"/>
          <w:color w:val="auto"/>
        </w:rPr>
      </w:pPr>
    </w:p>
    <w:p>
      <w:pPr>
        <w:ind w:left="4720" w:hanging="706"/>
        <w:spacing w:after="0"/>
        <w:tabs>
          <w:tab w:leader="none" w:pos="4720" w:val="left"/>
        </w:tabs>
        <w:numPr>
          <w:ilvl w:val="2"/>
          <w:numId w:val="25"/>
        </w:numPr>
        <w:rPr>
          <w:rFonts w:ascii="Arial" w:cs="Arial" w:eastAsia="Arial" w:hAnsi="Arial"/>
          <w:sz w:val="18"/>
          <w:szCs w:val="18"/>
          <w:color w:val="auto"/>
        </w:rPr>
      </w:pPr>
      <w:r>
        <w:rPr>
          <w:rFonts w:ascii="Arial" w:cs="Arial" w:eastAsia="Arial" w:hAnsi="Arial"/>
          <w:sz w:val="18"/>
          <w:szCs w:val="18"/>
          <w:color w:val="auto"/>
        </w:rPr>
        <w:t>has designated a financial institution, which shall be a direct or indirect Depositary</w:t>
      </w:r>
    </w:p>
    <w:p>
      <w:pPr>
        <w:spacing w:after="0" w:line="23" w:lineRule="exact"/>
        <w:rPr>
          <w:rFonts w:ascii="Arial" w:cs="Arial" w:eastAsia="Arial" w:hAnsi="Arial"/>
          <w:sz w:val="18"/>
          <w:szCs w:val="18"/>
          <w:color w:val="auto"/>
        </w:rPr>
      </w:pPr>
    </w:p>
    <w:p>
      <w:pPr>
        <w:ind w:right="640"/>
        <w:spacing w:after="0" w:line="261" w:lineRule="auto"/>
        <w:rPr>
          <w:rFonts w:ascii="Arial" w:cs="Arial" w:eastAsia="Arial" w:hAnsi="Arial"/>
          <w:sz w:val="18"/>
          <w:szCs w:val="18"/>
          <w:color w:val="auto"/>
        </w:rPr>
      </w:pPr>
      <w:r>
        <w:rPr>
          <w:rFonts w:ascii="Arial" w:cs="Arial" w:eastAsia="Arial" w:hAnsi="Arial"/>
          <w:sz w:val="18"/>
          <w:szCs w:val="18"/>
          <w:color w:val="auto"/>
        </w:rPr>
        <w:t>participant (a “</w:t>
      </w:r>
      <w:r>
        <w:rPr>
          <w:rFonts w:ascii="Arial" w:cs="Arial" w:eastAsia="Arial" w:hAnsi="Arial"/>
          <w:sz w:val="18"/>
          <w:szCs w:val="18"/>
          <w:u w:val="single" w:color="auto"/>
          <w:color w:val="auto"/>
        </w:rPr>
        <w:t>Designated Institution</w:t>
      </w:r>
      <w:r>
        <w:rPr>
          <w:rFonts w:ascii="Arial" w:cs="Arial" w:eastAsia="Arial" w:hAnsi="Arial"/>
          <w:sz w:val="18"/>
          <w:szCs w:val="18"/>
          <w:color w:val="auto"/>
        </w:rPr>
        <w:t>”), to accept such Notes in exchange for the cash, shares of Common Stock or combination of cash and shares of Common Stock (including cash for any fractional shares) due upon conversion as provided in Section 5.03; and</w:t>
      </w:r>
    </w:p>
    <w:p>
      <w:pPr>
        <w:spacing w:after="0" w:line="183" w:lineRule="exact"/>
        <w:rPr>
          <w:rFonts w:ascii="Arial" w:cs="Arial" w:eastAsia="Arial" w:hAnsi="Arial"/>
          <w:sz w:val="18"/>
          <w:szCs w:val="18"/>
          <w:color w:val="auto"/>
        </w:rPr>
      </w:pPr>
    </w:p>
    <w:p>
      <w:pPr>
        <w:ind w:right="140" w:firstLine="3924"/>
        <w:spacing w:after="0" w:line="259" w:lineRule="auto"/>
        <w:tabs>
          <w:tab w:leader="none" w:pos="4675" w:val="left"/>
        </w:tabs>
        <w:numPr>
          <w:ilvl w:val="1"/>
          <w:numId w:val="25"/>
        </w:numPr>
        <w:rPr>
          <w:rFonts w:ascii="Arial" w:cs="Arial" w:eastAsia="Arial" w:hAnsi="Arial"/>
          <w:sz w:val="18"/>
          <w:szCs w:val="18"/>
          <w:color w:val="auto"/>
        </w:rPr>
      </w:pPr>
      <w:r>
        <w:rPr>
          <w:rFonts w:ascii="Arial" w:cs="Arial" w:eastAsia="Arial" w:hAnsi="Arial"/>
          <w:sz w:val="18"/>
          <w:szCs w:val="18"/>
          <w:color w:val="auto"/>
        </w:rPr>
        <w:t>notifies the Holder surrendering such Notes for conversion by the second Trading Day after the applicable Conversion Date, that it has directed the Designated Institution to make an exchange in lieu of conversion, then, notwithstanding anything in this Indenture to the contrary, the Company may direct the Conversion Agent to surrender such Notes to the Designated Institution for exchange in lieu of conversion.</w:t>
      </w:r>
    </w:p>
    <w:p>
      <w:pPr>
        <w:spacing w:after="0" w:line="186" w:lineRule="exact"/>
        <w:rPr>
          <w:rFonts w:ascii="Arial" w:cs="Arial" w:eastAsia="Arial" w:hAnsi="Arial"/>
          <w:sz w:val="18"/>
          <w:szCs w:val="18"/>
          <w:color w:val="auto"/>
        </w:rPr>
      </w:pPr>
    </w:p>
    <w:p>
      <w:pPr>
        <w:ind w:right="20" w:firstLine="656"/>
        <w:spacing w:after="0" w:line="257" w:lineRule="auto"/>
        <w:tabs>
          <w:tab w:leader="none" w:pos="1533"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the Designated Institution accepts Notes surrendered for exchange, it shall deliver the cash, shares of Common Stock or a combination of cash and shares of Common Stock (including cash for any fractional shares), to the Conversion Agent and the Conversion Agent will deliver such cash, shares of Common Stock or a combination of cash and shares of Common Stock (including cash for any fractional shares) to such Holder on the third Business Day immediately following the Conversion Date. Any Notes so exchanged by such Designated Institution shall remain outstanding for all purposes under this Indenture.</w:t>
      </w:r>
    </w:p>
    <w:p>
      <w:pPr>
        <w:spacing w:after="0" w:line="188" w:lineRule="exact"/>
        <w:rPr>
          <w:rFonts w:ascii="Arial" w:cs="Arial" w:eastAsia="Arial" w:hAnsi="Arial"/>
          <w:sz w:val="18"/>
          <w:szCs w:val="18"/>
          <w:color w:val="auto"/>
        </w:rPr>
      </w:pPr>
    </w:p>
    <w:p>
      <w:pPr>
        <w:ind w:right="540" w:firstLine="656"/>
        <w:spacing w:after="0" w:line="259" w:lineRule="auto"/>
        <w:tabs>
          <w:tab w:leader="none" w:pos="1568"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the Designated Institution agrees to accept any Notes for exchange but does not timely deliver the related consideration to the Conversion Agent, or if the Designated Institution does not accept such Notes for exchange, the Company shall, within the time period specified in Section 5.03(c), convert such Notes into cash, shares of Common Stock or a combination of cash and shares of Common Stock (including cash for any fractional shares) in accordance with the provisions of Section 5.03.</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avoidance of doubt, in no event will the Company’s designation of a financial institution pursuant to this Section 5.02 require such financial institution to accept any Notes for exchange.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6" w:name="page27"/>
    <w:bookmarkEnd w:id="26"/>
    <w:p>
      <w:pPr>
        <w:ind w:left="660"/>
        <w:spacing w:after="0"/>
        <w:tabs>
          <w:tab w:leader="none" w:pos="1940" w:val="left"/>
        </w:tabs>
        <w:rPr>
          <w:sz w:val="20"/>
          <w:szCs w:val="20"/>
          <w:color w:val="auto"/>
        </w:rPr>
      </w:pPr>
      <w:r>
        <w:rPr>
          <w:rFonts w:ascii="Arial" w:cs="Arial" w:eastAsia="Arial" w:hAnsi="Arial"/>
          <w:sz w:val="18"/>
          <w:szCs w:val="18"/>
          <w:color w:val="auto"/>
        </w:rPr>
        <w:t>Section 5.03</w:t>
      </w:r>
      <w:r>
        <w:rPr>
          <w:sz w:val="20"/>
          <w:szCs w:val="20"/>
          <w:color w:val="auto"/>
        </w:rPr>
        <w:tab/>
      </w:r>
      <w:r>
        <w:rPr>
          <w:rFonts w:ascii="Arial" w:cs="Arial" w:eastAsia="Arial" w:hAnsi="Arial"/>
          <w:sz w:val="16"/>
          <w:szCs w:val="16"/>
          <w:u w:val="single" w:color="auto"/>
          <w:color w:val="auto"/>
        </w:rPr>
        <w:t>Settlement upon Conversion</w:t>
      </w:r>
      <w:r>
        <w:rPr>
          <w:rFonts w:ascii="Arial" w:cs="Arial" w:eastAsia="Arial" w:hAnsi="Arial"/>
          <w:sz w:val="16"/>
          <w:szCs w:val="16"/>
          <w:color w:val="auto"/>
        </w:rPr>
        <w:t>.</w:t>
      </w:r>
    </w:p>
    <w:p>
      <w:pPr>
        <w:spacing w:after="0" w:line="225" w:lineRule="exact"/>
        <w:rPr>
          <w:sz w:val="20"/>
          <w:szCs w:val="20"/>
          <w:color w:val="auto"/>
        </w:rPr>
      </w:pPr>
    </w:p>
    <w:p>
      <w:pPr>
        <w:ind w:right="40" w:firstLine="656"/>
        <w:spacing w:after="0" w:line="297" w:lineRule="auto"/>
        <w:tabs>
          <w:tab w:leader="none" w:pos="1568" w:val="left"/>
        </w:tabs>
        <w:numPr>
          <w:ilvl w:val="0"/>
          <w:numId w:val="26"/>
        </w:numPr>
        <w:rPr>
          <w:rFonts w:ascii="Arial" w:cs="Arial" w:eastAsia="Arial" w:hAnsi="Arial"/>
          <w:sz w:val="16"/>
          <w:szCs w:val="16"/>
          <w:color w:val="auto"/>
        </w:rPr>
      </w:pPr>
      <w:r>
        <w:rPr>
          <w:rFonts w:ascii="Arial" w:cs="Arial" w:eastAsia="Arial" w:hAnsi="Arial"/>
          <w:sz w:val="16"/>
          <w:szCs w:val="16"/>
          <w:color w:val="auto"/>
        </w:rPr>
        <w:t>Subject to this Section 5.03, Section 5.06 and Section 5.07, upon conversion of any Note, the Company shall pay or deliver, as the case may be, to the converting Holder in respect of each $1,000 Original Principal Amount of Notes being converted, cash (“</w:t>
      </w:r>
      <w:r>
        <w:rPr>
          <w:rFonts w:ascii="Arial" w:cs="Arial" w:eastAsia="Arial" w:hAnsi="Arial"/>
          <w:sz w:val="16"/>
          <w:szCs w:val="16"/>
          <w:u w:val="single" w:color="auto"/>
          <w:color w:val="auto"/>
        </w:rPr>
        <w:t>Cash Settlement</w:t>
      </w:r>
      <w:r>
        <w:rPr>
          <w:rFonts w:ascii="Arial" w:cs="Arial" w:eastAsia="Arial" w:hAnsi="Arial"/>
          <w:sz w:val="16"/>
          <w:szCs w:val="16"/>
          <w:color w:val="auto"/>
        </w:rPr>
        <w:t>”), shares of Common Stock, together with cash, if applicable, in lieu of delivering any fractional share of Common Stock in accordance with subsection (j) of this Section 5.03 (“</w:t>
      </w:r>
      <w:r>
        <w:rPr>
          <w:rFonts w:ascii="Arial" w:cs="Arial" w:eastAsia="Arial" w:hAnsi="Arial"/>
          <w:sz w:val="16"/>
          <w:szCs w:val="16"/>
          <w:u w:val="single" w:color="auto"/>
          <w:color w:val="auto"/>
        </w:rPr>
        <w:t>Physical Settlement</w:t>
      </w:r>
      <w:r>
        <w:rPr>
          <w:rFonts w:ascii="Arial" w:cs="Arial" w:eastAsia="Arial" w:hAnsi="Arial"/>
          <w:sz w:val="16"/>
          <w:szCs w:val="16"/>
          <w:color w:val="auto"/>
        </w:rPr>
        <w:t>”) or a combination of cash and shares of Common Stock, together with cash, if applicable, in lieu of delivering any fractional share of Common Stock in accordance with subsection (j) of this Section 5.03 (“</w:t>
      </w:r>
      <w:r>
        <w:rPr>
          <w:rFonts w:ascii="Arial" w:cs="Arial" w:eastAsia="Arial" w:hAnsi="Arial"/>
          <w:sz w:val="16"/>
          <w:szCs w:val="16"/>
          <w:u w:val="single" w:color="auto"/>
          <w:color w:val="auto"/>
        </w:rPr>
        <w:t>Combination Settlement</w:t>
      </w:r>
      <w:r>
        <w:rPr>
          <w:rFonts w:ascii="Arial" w:cs="Arial" w:eastAsia="Arial" w:hAnsi="Arial"/>
          <w:sz w:val="16"/>
          <w:szCs w:val="16"/>
          <w:color w:val="auto"/>
        </w:rPr>
        <w:t>”), at its election, as set forth in this Section 5.03.</w:t>
      </w:r>
    </w:p>
    <w:p>
      <w:pPr>
        <w:spacing w:after="0" w:line="158" w:lineRule="exact"/>
        <w:rPr>
          <w:rFonts w:ascii="Arial" w:cs="Arial" w:eastAsia="Arial" w:hAnsi="Arial"/>
          <w:sz w:val="16"/>
          <w:szCs w:val="16"/>
          <w:color w:val="auto"/>
        </w:rPr>
      </w:pPr>
    </w:p>
    <w:p>
      <w:pPr>
        <w:ind w:left="4540" w:hanging="706"/>
        <w:spacing w:after="0"/>
        <w:tabs>
          <w:tab w:leader="none" w:pos="4540" w:val="left"/>
        </w:tabs>
        <w:numPr>
          <w:ilvl w:val="2"/>
          <w:numId w:val="26"/>
        </w:numPr>
        <w:rPr>
          <w:rFonts w:ascii="Arial" w:cs="Arial" w:eastAsia="Arial" w:hAnsi="Arial"/>
          <w:sz w:val="16"/>
          <w:szCs w:val="16"/>
          <w:color w:val="auto"/>
        </w:rPr>
      </w:pPr>
      <w:r>
        <w:rPr>
          <w:rFonts w:ascii="Arial" w:cs="Arial" w:eastAsia="Arial" w:hAnsi="Arial"/>
          <w:sz w:val="16"/>
          <w:szCs w:val="16"/>
          <w:color w:val="auto"/>
        </w:rPr>
        <w:t>All conversions for which the relevant Conversion Date occurs on or after August 1, 2033 shall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 settled using the same Settlement Method.</w:t>
      </w:r>
    </w:p>
    <w:p>
      <w:pPr>
        <w:spacing w:after="0" w:line="210" w:lineRule="exact"/>
        <w:rPr>
          <w:rFonts w:ascii="Arial" w:cs="Arial" w:eastAsia="Arial" w:hAnsi="Arial"/>
          <w:sz w:val="16"/>
          <w:szCs w:val="16"/>
          <w:color w:val="auto"/>
        </w:rPr>
      </w:pPr>
    </w:p>
    <w:p>
      <w:pPr>
        <w:jc w:val="both"/>
        <w:ind w:right="80" w:firstLine="3834"/>
        <w:spacing w:after="0" w:line="264" w:lineRule="auto"/>
        <w:tabs>
          <w:tab w:leader="none" w:pos="4585" w:val="left"/>
        </w:tabs>
        <w:numPr>
          <w:ilvl w:val="2"/>
          <w:numId w:val="26"/>
        </w:numPr>
        <w:rPr>
          <w:rFonts w:ascii="Arial" w:cs="Arial" w:eastAsia="Arial" w:hAnsi="Arial"/>
          <w:sz w:val="18"/>
          <w:szCs w:val="18"/>
          <w:color w:val="auto"/>
        </w:rPr>
      </w:pPr>
      <w:r>
        <w:rPr>
          <w:rFonts w:ascii="Arial" w:cs="Arial" w:eastAsia="Arial" w:hAnsi="Arial"/>
          <w:sz w:val="18"/>
          <w:szCs w:val="18"/>
          <w:color w:val="auto"/>
        </w:rPr>
        <w:t>Except for any conversions for which the relevant Conversion Date occurs on or after August 1, 2033, the Company shall use the same Settlement Method for all conversions occurring on the same Conversion Date, but the Company shall not have any obligation to use the same Settlement Method with respect to conversions with different Conversion Dates.</w:t>
      </w:r>
    </w:p>
    <w:p>
      <w:pPr>
        <w:spacing w:after="0" w:line="181" w:lineRule="exact"/>
        <w:rPr>
          <w:rFonts w:ascii="Arial" w:cs="Arial" w:eastAsia="Arial" w:hAnsi="Arial"/>
          <w:sz w:val="18"/>
          <w:szCs w:val="18"/>
          <w:color w:val="auto"/>
        </w:rPr>
      </w:pPr>
    </w:p>
    <w:p>
      <w:pPr>
        <w:ind w:left="4640" w:hanging="806"/>
        <w:spacing w:after="0"/>
        <w:tabs>
          <w:tab w:leader="none" w:pos="4640" w:val="left"/>
        </w:tabs>
        <w:numPr>
          <w:ilvl w:val="2"/>
          <w:numId w:val="26"/>
        </w:numPr>
        <w:rPr>
          <w:rFonts w:ascii="Arial" w:cs="Arial" w:eastAsia="Arial" w:hAnsi="Arial"/>
          <w:sz w:val="18"/>
          <w:szCs w:val="18"/>
          <w:color w:val="auto"/>
        </w:rPr>
      </w:pPr>
      <w:r>
        <w:rPr>
          <w:rFonts w:ascii="Arial" w:cs="Arial" w:eastAsia="Arial" w:hAnsi="Arial"/>
          <w:sz w:val="18"/>
          <w:szCs w:val="18"/>
          <w:color w:val="auto"/>
        </w:rPr>
        <w:t>If, in respect of any Conversion Date (or the period described in the third immediately</w:t>
      </w:r>
    </w:p>
    <w:p>
      <w:pPr>
        <w:spacing w:after="0" w:line="23" w:lineRule="exact"/>
        <w:rPr>
          <w:rFonts w:ascii="Arial" w:cs="Arial" w:eastAsia="Arial" w:hAnsi="Arial"/>
          <w:sz w:val="18"/>
          <w:szCs w:val="18"/>
          <w:color w:val="auto"/>
        </w:rPr>
      </w:pPr>
    </w:p>
    <w:p>
      <w:pPr>
        <w:spacing w:after="0" w:line="267" w:lineRule="auto"/>
        <w:rPr>
          <w:rFonts w:ascii="Arial" w:cs="Arial" w:eastAsia="Arial" w:hAnsi="Arial"/>
          <w:sz w:val="18"/>
          <w:szCs w:val="18"/>
          <w:color w:val="auto"/>
        </w:rPr>
      </w:pPr>
      <w:r>
        <w:rPr>
          <w:rFonts w:ascii="Arial" w:cs="Arial" w:eastAsia="Arial" w:hAnsi="Arial"/>
          <w:sz w:val="17"/>
          <w:szCs w:val="17"/>
          <w:color w:val="auto"/>
        </w:rPr>
        <w:t>succeeding set of parentheses, as the case may be), the Company elects to deliver a notice (the “</w:t>
      </w:r>
      <w:r>
        <w:rPr>
          <w:rFonts w:ascii="Arial" w:cs="Arial" w:eastAsia="Arial" w:hAnsi="Arial"/>
          <w:sz w:val="17"/>
          <w:szCs w:val="17"/>
          <w:u w:val="single" w:color="auto"/>
          <w:color w:val="auto"/>
        </w:rPr>
        <w:t>Settlement Notice</w:t>
      </w:r>
      <w:r>
        <w:rPr>
          <w:rFonts w:ascii="Arial" w:cs="Arial" w:eastAsia="Arial" w:hAnsi="Arial"/>
          <w:sz w:val="17"/>
          <w:szCs w:val="17"/>
          <w:color w:val="auto"/>
        </w:rPr>
        <w:t>”) of the relevant Settlement Method in respect of such Conversion Date (or such period, as the case may be), the Company shall deliver such Settlement Notice to converting Holders (with a copy to the Trustee and the Conversion Agent) no later than the close of business on the Trading Day immediately following the relevant Conversion Date (or, in the case of any conversions for which the relevant Conversion Date occurs on or after August 1, 2033, no later than the close of business on Scheduled Trading Day immediately preceding August 1, 2033). If the Company does not elect a Settlement Method prior to the deadline set forth in the immediately preceding sentence, the Company shall no longer have the right to elect Cash Settlement or Combination Settlement with respect to such conversion or during such period and the Company shall be deemed to have elected Physical Settlement in respect of its Conversion Obligation. Such Settlement Notice shall specify the relevant Settlement Method and in the case of an election of Combination Settlement, the relevant Settlement Notice shall indicate the Specified Dollar Amount per $1,000 Original Principal Amount of Notes. If the Company delivers a Settlement Notice electing Combination Settlement in respect of its Conversion Obligation but does not indicate a Specified Dollar Amount per $1,000 Original Principal Amount of Notes in such Settlement Notice, the Specified Dollar Amount per $1,000 Original Principal Amount of Notes shall be deemed to be $1,000.</w:t>
      </w:r>
    </w:p>
    <w:p>
      <w:pPr>
        <w:spacing w:after="0" w:line="186" w:lineRule="exact"/>
        <w:rPr>
          <w:rFonts w:ascii="Arial" w:cs="Arial" w:eastAsia="Arial" w:hAnsi="Arial"/>
          <w:sz w:val="18"/>
          <w:szCs w:val="18"/>
          <w:color w:val="auto"/>
        </w:rPr>
      </w:pPr>
    </w:p>
    <w:p>
      <w:pPr>
        <w:ind w:left="4640" w:hanging="806"/>
        <w:spacing w:after="0"/>
        <w:tabs>
          <w:tab w:leader="none" w:pos="4640" w:val="left"/>
        </w:tabs>
        <w:numPr>
          <w:ilvl w:val="2"/>
          <w:numId w:val="26"/>
        </w:numPr>
        <w:rPr>
          <w:rFonts w:ascii="Arial" w:cs="Arial" w:eastAsia="Arial" w:hAnsi="Arial"/>
          <w:sz w:val="16"/>
          <w:szCs w:val="16"/>
          <w:color w:val="auto"/>
        </w:rPr>
      </w:pPr>
      <w:r>
        <w:rPr>
          <w:rFonts w:ascii="Arial" w:cs="Arial" w:eastAsia="Arial" w:hAnsi="Arial"/>
          <w:sz w:val="16"/>
          <w:szCs w:val="16"/>
          <w:color w:val="auto"/>
        </w:rPr>
        <w:t>The cash, shares of Common Stock or combination of cash and shares of Common Stock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respect of any conversion of Notes (the “</w:t>
      </w:r>
      <w:r>
        <w:rPr>
          <w:rFonts w:ascii="Arial" w:cs="Arial" w:eastAsia="Arial" w:hAnsi="Arial"/>
          <w:sz w:val="18"/>
          <w:szCs w:val="18"/>
          <w:u w:val="single" w:color="auto"/>
          <w:color w:val="auto"/>
        </w:rPr>
        <w:t>Settlement Amount</w:t>
      </w:r>
      <w:r>
        <w:rPr>
          <w:rFonts w:ascii="Arial" w:cs="Arial" w:eastAsia="Arial" w:hAnsi="Arial"/>
          <w:sz w:val="18"/>
          <w:szCs w:val="18"/>
          <w:color w:val="auto"/>
        </w:rPr>
        <w:t>”) shall be computed as follows:</w:t>
      </w:r>
    </w:p>
    <w:p>
      <w:pPr>
        <w:spacing w:after="0" w:line="210" w:lineRule="exact"/>
        <w:rPr>
          <w:rFonts w:ascii="Arial" w:cs="Arial" w:eastAsia="Arial" w:hAnsi="Arial"/>
          <w:sz w:val="16"/>
          <w:szCs w:val="16"/>
          <w:color w:val="auto"/>
        </w:rPr>
      </w:pPr>
    </w:p>
    <w:p>
      <w:pPr>
        <w:ind w:right="60" w:firstLine="1953"/>
        <w:spacing w:after="0" w:line="264" w:lineRule="auto"/>
        <w:tabs>
          <w:tab w:leader="none" w:pos="2825" w:val="left"/>
        </w:tabs>
        <w:numPr>
          <w:ilvl w:val="1"/>
          <w:numId w:val="26"/>
        </w:numPr>
        <w:rPr>
          <w:rFonts w:ascii="Arial" w:cs="Arial" w:eastAsia="Arial" w:hAnsi="Arial"/>
          <w:sz w:val="18"/>
          <w:szCs w:val="18"/>
          <w:color w:val="auto"/>
        </w:rPr>
      </w:pPr>
      <w:r>
        <w:rPr>
          <w:rFonts w:ascii="Arial" w:cs="Arial" w:eastAsia="Arial" w:hAnsi="Arial"/>
          <w:sz w:val="18"/>
          <w:szCs w:val="18"/>
          <w:color w:val="auto"/>
        </w:rPr>
        <w:t>if the Company elects (or is deemed to have elected) to satisfy its Conversion Obligation in respect of such conversion by Physical Settlement, the Company shall deliver to the converting Holder in respect of each $1,000 Original Principal Amount of Notes being converted a number of shares of Common Stock equal to the Conversion Rate in effect on the Conversion Date;</w:t>
      </w:r>
    </w:p>
    <w:p>
      <w:pPr>
        <w:spacing w:after="0" w:line="181" w:lineRule="exact"/>
        <w:rPr>
          <w:rFonts w:ascii="Arial" w:cs="Arial" w:eastAsia="Arial" w:hAnsi="Arial"/>
          <w:sz w:val="18"/>
          <w:szCs w:val="18"/>
          <w:color w:val="auto"/>
        </w:rPr>
      </w:pPr>
    </w:p>
    <w:p>
      <w:pPr>
        <w:ind w:right="300" w:firstLine="1953"/>
        <w:spacing w:after="0" w:line="286" w:lineRule="auto"/>
        <w:tabs>
          <w:tab w:leader="none" w:pos="2815" w:val="left"/>
        </w:tabs>
        <w:numPr>
          <w:ilvl w:val="1"/>
          <w:numId w:val="26"/>
        </w:numPr>
        <w:rPr>
          <w:rFonts w:ascii="Arial" w:cs="Arial" w:eastAsia="Arial" w:hAnsi="Arial"/>
          <w:sz w:val="17"/>
          <w:szCs w:val="17"/>
          <w:color w:val="auto"/>
        </w:rPr>
      </w:pPr>
      <w:r>
        <w:rPr>
          <w:rFonts w:ascii="Arial" w:cs="Arial" w:eastAsia="Arial" w:hAnsi="Arial"/>
          <w:sz w:val="17"/>
          <w:szCs w:val="17"/>
          <w:color w:val="auto"/>
        </w:rPr>
        <w:t>if the Company elects to satisfy its Conversion Obligation in respect of such conversion by Cash Settlement, the Company shall pay to the converting Holder in respect of each $1,000 Original Principal Amount of Notes being converted cash in an amount equal to the sum of the Daily Conversion Values for each of the 30 consecutive Trading Days during the related Observation Period; and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7" w:name="page28"/>
    <w:bookmarkEnd w:id="27"/>
    <w:p>
      <w:pPr>
        <w:jc w:val="both"/>
        <w:ind w:right="180" w:firstLine="1953"/>
        <w:spacing w:after="0" w:line="312" w:lineRule="auto"/>
        <w:tabs>
          <w:tab w:leader="none" w:pos="2815" w:val="left"/>
        </w:tabs>
        <w:numPr>
          <w:ilvl w:val="1"/>
          <w:numId w:val="27"/>
        </w:numPr>
        <w:rPr>
          <w:rFonts w:ascii="Arial" w:cs="Arial" w:eastAsia="Arial" w:hAnsi="Arial"/>
          <w:sz w:val="16"/>
          <w:szCs w:val="16"/>
          <w:color w:val="auto"/>
        </w:rPr>
      </w:pPr>
      <w:r>
        <w:rPr>
          <w:rFonts w:ascii="Arial" w:cs="Arial" w:eastAsia="Arial" w:hAnsi="Arial"/>
          <w:sz w:val="16"/>
          <w:szCs w:val="16"/>
          <w:color w:val="auto"/>
        </w:rPr>
        <w:t>if the Company elects to satisfy its Conversion Obligation in respect of such conversion by Combination Settlement, the Company shall pay or deliver, as the case may be, in respect of each $1,000 Original Principal Amount of Notes being converted, a Settlement Amount equal to the sum of the Daily Settlement Amounts for each of the 30 consecutive Trading Days during the related Observation Period.</w:t>
      </w:r>
    </w:p>
    <w:p>
      <w:pPr>
        <w:spacing w:after="0" w:line="146" w:lineRule="exact"/>
        <w:rPr>
          <w:rFonts w:ascii="Arial" w:cs="Arial" w:eastAsia="Arial" w:hAnsi="Arial"/>
          <w:sz w:val="16"/>
          <w:szCs w:val="16"/>
          <w:color w:val="auto"/>
        </w:rPr>
      </w:pPr>
    </w:p>
    <w:p>
      <w:pPr>
        <w:ind w:left="4580" w:hanging="746"/>
        <w:spacing w:after="0"/>
        <w:tabs>
          <w:tab w:leader="none" w:pos="4580" w:val="left"/>
        </w:tabs>
        <w:numPr>
          <w:ilvl w:val="2"/>
          <w:numId w:val="27"/>
        </w:numPr>
        <w:rPr>
          <w:rFonts w:ascii="Arial" w:cs="Arial" w:eastAsia="Arial" w:hAnsi="Arial"/>
          <w:sz w:val="16"/>
          <w:szCs w:val="16"/>
          <w:color w:val="auto"/>
        </w:rPr>
      </w:pPr>
      <w:r>
        <w:rPr>
          <w:rFonts w:ascii="Arial" w:cs="Arial" w:eastAsia="Arial" w:hAnsi="Arial"/>
          <w:sz w:val="16"/>
          <w:szCs w:val="16"/>
          <w:color w:val="auto"/>
        </w:rPr>
        <w:t>The Daily Settlement Amounts (if applicable) and the Daily Conversion Values (if applicable)</w:t>
      </w:r>
    </w:p>
    <w:p>
      <w:pPr>
        <w:spacing w:after="0" w:line="46" w:lineRule="exact"/>
        <w:rPr>
          <w:rFonts w:ascii="Arial" w:cs="Arial" w:eastAsia="Arial" w:hAnsi="Arial"/>
          <w:sz w:val="16"/>
          <w:szCs w:val="16"/>
          <w:color w:val="auto"/>
        </w:rPr>
      </w:pPr>
    </w:p>
    <w:p>
      <w:pPr>
        <w:ind w:right="20"/>
        <w:spacing w:after="0" w:line="253" w:lineRule="auto"/>
        <w:rPr>
          <w:rFonts w:ascii="Arial" w:cs="Arial" w:eastAsia="Arial" w:hAnsi="Arial"/>
          <w:sz w:val="16"/>
          <w:szCs w:val="16"/>
          <w:color w:val="auto"/>
        </w:rPr>
      </w:pPr>
      <w:r>
        <w:rPr>
          <w:rFonts w:ascii="Arial" w:cs="Arial" w:eastAsia="Arial" w:hAnsi="Arial"/>
          <w:sz w:val="18"/>
          <w:szCs w:val="18"/>
          <w:color w:val="auto"/>
        </w:rPr>
        <w:t>shall be determined by the Company promptly following the last day of the Observation Period. Promptly after such determination of the Daily Settlement Amounts or the Daily Conversion Values, as the case may be, and the amount of cash payable in lieu of delivering any fractional share of Common Stock, the Company shall notify the Trustee and the Conversion Agent (if other than the Trustee) of the Daily Settlement Amounts or the Daily Conversion Values, as the case may be, and the amount of cash payable in lieu of delivering fractional shares of Common Stock. The Trustee and the Conversion Agent (if other than the Trustee) shall have no responsibility for any such determination.</w:t>
      </w:r>
    </w:p>
    <w:p>
      <w:pPr>
        <w:spacing w:after="0" w:line="191" w:lineRule="exact"/>
        <w:rPr>
          <w:rFonts w:ascii="Arial" w:cs="Arial" w:eastAsia="Arial" w:hAnsi="Arial"/>
          <w:sz w:val="16"/>
          <w:szCs w:val="16"/>
          <w:color w:val="auto"/>
        </w:rPr>
      </w:pPr>
    </w:p>
    <w:p>
      <w:pPr>
        <w:ind w:left="4640" w:hanging="806"/>
        <w:spacing w:after="0"/>
        <w:tabs>
          <w:tab w:leader="none" w:pos="4640" w:val="left"/>
        </w:tabs>
        <w:numPr>
          <w:ilvl w:val="2"/>
          <w:numId w:val="27"/>
        </w:numPr>
        <w:rPr>
          <w:rFonts w:ascii="Arial" w:cs="Arial" w:eastAsia="Arial" w:hAnsi="Arial"/>
          <w:sz w:val="16"/>
          <w:szCs w:val="16"/>
          <w:color w:val="auto"/>
        </w:rPr>
      </w:pPr>
      <w:r>
        <w:rPr>
          <w:rFonts w:ascii="Arial" w:cs="Arial" w:eastAsia="Arial" w:hAnsi="Arial"/>
          <w:sz w:val="16"/>
          <w:szCs w:val="16"/>
          <w:color w:val="auto"/>
        </w:rPr>
        <w:t>At any time prior to August 1, 2033, the Company may irrevocably elect Cash Settlement to</w:t>
      </w:r>
    </w:p>
    <w:p>
      <w:pPr>
        <w:spacing w:after="0" w:line="46" w:lineRule="exact"/>
        <w:rPr>
          <w:rFonts w:ascii="Arial" w:cs="Arial" w:eastAsia="Arial" w:hAnsi="Arial"/>
          <w:sz w:val="16"/>
          <w:szCs w:val="16"/>
          <w:color w:val="auto"/>
        </w:rPr>
      </w:pPr>
    </w:p>
    <w:p>
      <w:pPr>
        <w:ind w:right="160"/>
        <w:spacing w:after="0" w:line="252" w:lineRule="auto"/>
        <w:rPr>
          <w:rFonts w:ascii="Arial" w:cs="Arial" w:eastAsia="Arial" w:hAnsi="Arial"/>
          <w:sz w:val="16"/>
          <w:szCs w:val="16"/>
          <w:color w:val="auto"/>
        </w:rPr>
      </w:pPr>
      <w:r>
        <w:rPr>
          <w:rFonts w:ascii="Arial" w:cs="Arial" w:eastAsia="Arial" w:hAnsi="Arial"/>
          <w:sz w:val="18"/>
          <w:szCs w:val="18"/>
          <w:color w:val="auto"/>
        </w:rPr>
        <w:t>satisfy its Conversion Obligation in respect of Notes to be converted after the date of such election, or irrevocably elect Combination Settlement and a Specified Dollar Amount (which amount shall be at least $1,000 per $1,000 Original Principal Amount of Notes) to satisfy its Conversion Obligation in respect of Notes to be converted after the date of such election, or irrevocably elect Physical Settlement to satisfy its Conversion Obligation in respect of Notes to be converted after the date of such election. Upon making any election pursuant to this Section 5.03(a)(vi), the Company shall promptly (A) use its reasonable efforts to post information relating to such election on its website or otherwise publicly disclose such information, and (B) give written notice of such election to the Holders of the Notes.</w:t>
      </w:r>
    </w:p>
    <w:p>
      <w:pPr>
        <w:spacing w:after="0" w:line="194" w:lineRule="exact"/>
        <w:rPr>
          <w:rFonts w:ascii="Arial" w:cs="Arial" w:eastAsia="Arial" w:hAnsi="Arial"/>
          <w:sz w:val="16"/>
          <w:szCs w:val="16"/>
          <w:color w:val="auto"/>
        </w:rPr>
      </w:pPr>
    </w:p>
    <w:p>
      <w:pPr>
        <w:ind w:firstLine="656"/>
        <w:spacing w:after="0" w:line="287" w:lineRule="auto"/>
        <w:tabs>
          <w:tab w:leader="none" w:pos="1533" w:val="left"/>
        </w:tabs>
        <w:numPr>
          <w:ilvl w:val="0"/>
          <w:numId w:val="28"/>
        </w:numPr>
        <w:rPr>
          <w:rFonts w:ascii="Arial" w:cs="Arial" w:eastAsia="Arial" w:hAnsi="Arial"/>
          <w:sz w:val="16"/>
          <w:szCs w:val="16"/>
          <w:color w:val="auto"/>
        </w:rPr>
      </w:pPr>
      <w:r>
        <w:rPr>
          <w:rFonts w:ascii="Arial" w:cs="Arial" w:eastAsia="Arial" w:hAnsi="Arial"/>
          <w:sz w:val="16"/>
          <w:szCs w:val="16"/>
          <w:color w:val="auto"/>
        </w:rPr>
        <w:t>Subject to Section 5.03(e), before any Holder of a Note shall be entitled to convert a Note as set forth above, such Holder shall (i) in the case of a global note, comply with the procedures of the Depositary in effect at that time and, if required, pay funds equal to interest payable on the next Interest Payment Date to which such Holder is not entitled as set forth in Section 5.03(h) and (ii) in the case of a certificated Note (1) complete, manually sign and deliver an irrevocable notice to the Conversion Agent as set forth in the Form of Notice of Conversion (or a facsimile thereof) (a “</w:t>
      </w:r>
      <w:r>
        <w:rPr>
          <w:rFonts w:ascii="Arial" w:cs="Arial" w:eastAsia="Arial" w:hAnsi="Arial"/>
          <w:sz w:val="16"/>
          <w:szCs w:val="16"/>
          <w:u w:val="single" w:color="auto"/>
          <w:color w:val="auto"/>
        </w:rPr>
        <w:t>Notice of Conversion</w:t>
      </w:r>
      <w:r>
        <w:rPr>
          <w:rFonts w:ascii="Arial" w:cs="Arial" w:eastAsia="Arial" w:hAnsi="Arial"/>
          <w:sz w:val="16"/>
          <w:szCs w:val="16"/>
          <w:color w:val="auto"/>
        </w:rPr>
        <w:t>”) at the office of the Conversion Agent and state in writing therein the principal amount of Notes to be converted and the name or names (with addresses) in which such Holder wishes the certificate or certificates for any shares of Common Stock to be delivered upon settlement of the Conversion Obligation to be registered, (2) surrender such Notes, duly endorsed to the Company or in blank (and accompanied by appropriate endorsement and transfer documents), at the office of the Conversion Agent, (3) if required, furnish appropriate endorsements and transfer documents and (4) if required, pay funds equal to interest payable on the next Interest Payment Date to which such Holder is not entitled as set forth in Section 5.03(h). The Trustee (and, if different, the Conversion Agent) shall notify the Company of any conversion pursuant to this Article 5 on the Conversion Date for such conversion. No Notice of Conversion with respect to any Notes may be surrendered by a Holder thereof if such Holder has also delivered a Fundamental Change Repurchase Notice to the Company in respect of such Notes and has not validly withdrawn such Fundamental Change Repurchase Notice in accordance with Section 3.02.</w:t>
      </w:r>
    </w:p>
    <w:p>
      <w:pPr>
        <w:spacing w:after="0" w:line="169"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If more than one Note shall be surrendered for conversion at one time by the same Holder, the Conversion Obligation with respect to such Notes shall be computed on the basis of the aggregate principal amount of the Notes (or specified portions thereof to the extent permitted thereby) so surrendered.</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28" w:name="page29"/>
    <w:bookmarkEnd w:id="28"/>
    <w:p>
      <w:pPr>
        <w:ind w:left="-20" w:right="40" w:firstLine="656"/>
        <w:spacing w:after="0" w:line="289" w:lineRule="auto"/>
        <w:tabs>
          <w:tab w:leader="none" w:pos="1548" w:val="left"/>
        </w:tabs>
        <w:numPr>
          <w:ilvl w:val="0"/>
          <w:numId w:val="29"/>
        </w:numPr>
        <w:rPr>
          <w:rFonts w:ascii="Arial" w:cs="Arial" w:eastAsia="Arial" w:hAnsi="Arial"/>
          <w:sz w:val="16"/>
          <w:szCs w:val="16"/>
          <w:color w:val="auto"/>
        </w:rPr>
      </w:pPr>
      <w:r>
        <w:rPr>
          <w:rFonts w:ascii="Arial" w:cs="Arial" w:eastAsia="Arial" w:hAnsi="Arial"/>
          <w:sz w:val="16"/>
          <w:szCs w:val="16"/>
          <w:color w:val="auto"/>
        </w:rPr>
        <w:t>A Note shall be deemed to have been converted immediately prior to the close of business on the date (the “</w:t>
      </w:r>
      <w:r>
        <w:rPr>
          <w:rFonts w:ascii="Arial" w:cs="Arial" w:eastAsia="Arial" w:hAnsi="Arial"/>
          <w:sz w:val="16"/>
          <w:szCs w:val="16"/>
          <w:u w:val="single" w:color="auto"/>
          <w:color w:val="auto"/>
        </w:rPr>
        <w:t>Conversion Date</w:t>
      </w:r>
      <w:r>
        <w:rPr>
          <w:rFonts w:ascii="Arial" w:cs="Arial" w:eastAsia="Arial" w:hAnsi="Arial"/>
          <w:sz w:val="16"/>
          <w:szCs w:val="16"/>
          <w:color w:val="auto"/>
        </w:rPr>
        <w:t>”) that the Holder has complied with the requirements set forth in subsection (b) above. The Company shall pay or deliver, as the case may be, the consideration due in respect of the Conversion Obligation on the third Business Day immediately following the relevant Conversion Date, if the Company elects Physical Settlement, or on the third Business Day immediately following the last Trading Day of the relevant Observation Period, in the case of Cash Settlement or Combination Settlement, unless such Conversion Date occurs following the Regular Record Date immediately preceding the Maturity Date, in which case the Company shall make such delivery (and payment, if applicable) of the consideration due in respect of the Conversion Obligation on the Maturity Date. If any shares of Common Stock are due to converting Holders, the Company shall issue or cause to be issued, and deliver to the Conversion Agent or to such Holder, or such Holder’s nominee or nominees, certificates or a book-entry transfer through the Depositary for the full number of shares of Common Stock to which such Holder shall be entitled in satisfaction of the Company’s Conversion Obligation.</w:t>
      </w:r>
    </w:p>
    <w:p>
      <w:pPr>
        <w:spacing w:after="0" w:line="166" w:lineRule="exact"/>
        <w:rPr>
          <w:rFonts w:ascii="Arial" w:cs="Arial" w:eastAsia="Arial" w:hAnsi="Arial"/>
          <w:sz w:val="16"/>
          <w:szCs w:val="16"/>
          <w:color w:val="auto"/>
        </w:rPr>
      </w:pPr>
    </w:p>
    <w:p>
      <w:pPr>
        <w:ind w:left="-20" w:firstLine="656"/>
        <w:spacing w:after="0" w:line="273" w:lineRule="auto"/>
        <w:tabs>
          <w:tab w:leader="none" w:pos="1513"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 case any Note shall be surrendered for partial conversion, the Company shall execute and the Trustee shall authenticate and deliver to or upon the written order of the Holder of the Note so surrendered a new Note or Notes in authorized denominations in an aggregate principal amount equal to the unconverted portion of the surrendered Note, without payment of any service charge by the converting Holder but, if required by the Company or Trustee, with payment of a sum sufficient to cover any documentary, stamp or similar issue or transfer tax or similar governmental charge required by law or that may be imposed in connection therewith as a result of the name of the Holder of the new Notes issued upon such conversion being different from the name of the Holder of the old Notes surrendered for such conversion.</w:t>
      </w:r>
    </w:p>
    <w:p>
      <w:pPr>
        <w:spacing w:after="0" w:line="178" w:lineRule="exact"/>
        <w:rPr>
          <w:rFonts w:ascii="Arial" w:cs="Arial" w:eastAsia="Arial" w:hAnsi="Arial"/>
          <w:sz w:val="17"/>
          <w:szCs w:val="17"/>
          <w:color w:val="auto"/>
        </w:rPr>
      </w:pPr>
    </w:p>
    <w:p>
      <w:pPr>
        <w:ind w:left="-20" w:right="140" w:firstLine="656"/>
        <w:spacing w:after="0" w:line="276" w:lineRule="auto"/>
        <w:tabs>
          <w:tab w:leader="none" w:pos="1548" w:val="left"/>
        </w:tabs>
        <w:numPr>
          <w:ilvl w:val="0"/>
          <w:numId w:val="29"/>
        </w:numPr>
        <w:rPr>
          <w:rFonts w:ascii="Arial" w:cs="Arial" w:eastAsia="Arial" w:hAnsi="Arial"/>
          <w:sz w:val="17"/>
          <w:szCs w:val="17"/>
          <w:color w:val="auto"/>
        </w:rPr>
      </w:pPr>
      <w:r>
        <w:rPr>
          <w:rFonts w:ascii="Arial" w:cs="Arial" w:eastAsia="Arial" w:hAnsi="Arial"/>
          <w:sz w:val="17"/>
          <w:szCs w:val="17"/>
          <w:color w:val="auto"/>
        </w:rPr>
        <w:t>If a Holder submits a Note for conversion, the Company shall pay any documentary, stamp or similar issue or transfer tax due on the issue of any shares of Common Stock upon conversion, unless the tax is due because the Holder requests such shares to be issued in a name other than the Holder’s name, in which case the Holder shall be required to pay that tax. The Conversion Agent may refuse to deliver or refuse to instruct the stock transfer agent to deliver the certificates representing the shares of Common Stock being issued in a name other than the Holder’s name until the Trustee receives a sum sufficient to pay any tax that is due by such Holder in accordance with the immediately preceding sentence.</w:t>
      </w:r>
    </w:p>
    <w:p>
      <w:pPr>
        <w:spacing w:after="0" w:line="172" w:lineRule="exact"/>
        <w:rPr>
          <w:rFonts w:ascii="Arial" w:cs="Arial" w:eastAsia="Arial" w:hAnsi="Arial"/>
          <w:sz w:val="17"/>
          <w:szCs w:val="17"/>
          <w:color w:val="auto"/>
        </w:rPr>
      </w:pPr>
    </w:p>
    <w:p>
      <w:pPr>
        <w:ind w:left="-20" w:right="660" w:firstLine="656"/>
        <w:spacing w:after="0" w:line="277" w:lineRule="auto"/>
        <w:tabs>
          <w:tab w:leader="none" w:pos="15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Except as provided in Section 5.05, no adjustment shall be made for dividends on any shares of Common Stock issued upon the conversion of any Note as provided in this Article 5.</w:t>
      </w:r>
    </w:p>
    <w:p>
      <w:pPr>
        <w:spacing w:after="0" w:line="170" w:lineRule="exact"/>
        <w:rPr>
          <w:rFonts w:ascii="Arial" w:cs="Arial" w:eastAsia="Arial" w:hAnsi="Arial"/>
          <w:sz w:val="18"/>
          <w:szCs w:val="18"/>
          <w:color w:val="auto"/>
        </w:rPr>
      </w:pPr>
    </w:p>
    <w:p>
      <w:pPr>
        <w:ind w:left="-20" w:firstLine="656"/>
        <w:spacing w:after="0" w:line="264" w:lineRule="auto"/>
        <w:tabs>
          <w:tab w:leader="none" w:pos="1558" w:val="left"/>
        </w:tabs>
        <w:numPr>
          <w:ilvl w:val="0"/>
          <w:numId w:val="29"/>
        </w:numPr>
        <w:rPr>
          <w:rFonts w:ascii="Arial" w:cs="Arial" w:eastAsia="Arial" w:hAnsi="Arial"/>
          <w:sz w:val="18"/>
          <w:szCs w:val="18"/>
          <w:color w:val="auto"/>
        </w:rPr>
      </w:pPr>
      <w:r>
        <w:rPr>
          <w:rFonts w:ascii="Arial" w:cs="Arial" w:eastAsia="Arial" w:hAnsi="Arial"/>
          <w:sz w:val="18"/>
          <w:szCs w:val="18"/>
          <w:color w:val="auto"/>
        </w:rPr>
        <w:t>Upon the conversion of an interest in a global note, the Trustee, or the Custodian at the direction of the Trustee, shall make a notation on such global note as to the reduction in the principal amount represented thereby. The Company shall notify the Trustee in writing of any conversion of Notes effected through any Conversion Agent other than the Trustee.</w:t>
      </w:r>
    </w:p>
    <w:p>
      <w:pPr>
        <w:spacing w:after="0" w:line="181" w:lineRule="exact"/>
        <w:rPr>
          <w:rFonts w:ascii="Arial" w:cs="Arial" w:eastAsia="Arial" w:hAnsi="Arial"/>
          <w:sz w:val="18"/>
          <w:szCs w:val="18"/>
          <w:color w:val="auto"/>
        </w:rPr>
      </w:pPr>
    </w:p>
    <w:p>
      <w:pPr>
        <w:ind w:left="-20" w:right="20" w:firstLine="656"/>
        <w:spacing w:after="0" w:line="285" w:lineRule="auto"/>
        <w:tabs>
          <w:tab w:leader="none" w:pos="1513" w:val="left"/>
        </w:tabs>
        <w:numPr>
          <w:ilvl w:val="0"/>
          <w:numId w:val="29"/>
        </w:numPr>
        <w:rPr>
          <w:rFonts w:ascii="Arial" w:cs="Arial" w:eastAsia="Arial" w:hAnsi="Arial"/>
          <w:sz w:val="16"/>
          <w:szCs w:val="16"/>
          <w:color w:val="auto"/>
        </w:rPr>
      </w:pPr>
      <w:r>
        <w:rPr>
          <w:rFonts w:ascii="Arial" w:cs="Arial" w:eastAsia="Arial" w:hAnsi="Arial"/>
          <w:sz w:val="16"/>
          <w:szCs w:val="16"/>
          <w:color w:val="auto"/>
        </w:rPr>
        <w:t>Upon conversion, a Holder shall not receive any separate cash payment for accrued and unpaid interest, if any, except as set forth below. The Company’s settlement of the full Conversion Obligation shall be deemed to satisfy in full its obligation to pay the principal amount (and Accreted Principal Amount) of the Note and accrued and unpaid interest, if any, to, but excluding, the relevant Conversion Date. As a result, accrued and unpaid interest, if any, to, but excluding, the relevant Conversion Date shall be deemed to be paid in full rather than canceled, extinguished or forfeited. Upon a conversion of Notes into a combination of cash and shares of Common Stock, accrued and unpaid interest will be deemed to be paid first out of the cash paid upon such conversion. Notwithstanding the foregoing, if Notes are converted after the close of business on a Regular Record Date and prior to the open of business on the corresponding Interest Payment Date, Holders of such Notes as of the close of business on such Regular Record Date will receive the full amount of interest payable on such Notes on the corresponding Interest Payment Date notwithstanding the conversion. Notes surrendered for conversion during the period from the close of business on any Regular Record Date to the open of business on the immediately following Interest Payment Date must be accompanied by funds equal to the amount of interest payable on the Notes so converted; provided that no such payment shall be required (1) for conversions following the Regular Record Date immediately preceding the Maturity Date; (2) if the Company has specified a Fundamental Change Repurchase Date that is after a Regular Record Date and on or prior to the Business Day immediately following the corresponding Interest Payment Date; (3) if the Company has specified an Issuer’s Conversion Date that is after a Regular Record Date and on or prior to the Business Day immediately following the corresponding Interest Payment Date; or (4) to the extent of any Defaulted Amounts, if any Defaulted Amounts exists at the time of conversion with respect to such Note. Therefore, for the avoidance of doubt, all Holders of record on the Regular Record Date immediately preceding the Maturity Date or any Fundamental Change Repurchase Date as described in the immediately preceding sentence shall receive the full interest payment due on the Maturity Date or other applicable Interest Payment Date regardless of whether their Notes have been converted following such Regular Record Date.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60" w:top="692" w:right="239" w:bottom="1440" w:gutter="0" w:footer="0" w:header="0"/>
        </w:sectPr>
      </w:pPr>
    </w:p>
    <w:bookmarkStart w:id="29" w:name="page30"/>
    <w:bookmarkEnd w:id="29"/>
    <w:p>
      <w:pPr>
        <w:ind w:firstLine="656"/>
        <w:spacing w:after="0" w:line="302" w:lineRule="auto"/>
        <w:tabs>
          <w:tab w:leader="none" w:pos="1583"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Person in whose name the certificate for any shares of Common Stock delivered upon conversion is registered shall be treated as a stockholder of record as of the close of business on the relevant Conversion Date (if the Company elects to satisfy the related Conversion Obligation by Physical Settlement) or the last Trading Day of the relevant Observation Period (if the Company elects to satisfy the related Conversion Obligation by Combination Settlement), as the case may be. Upon a conversion of Notes, such Person shall no longer be a Holder of such Notes surrendered for conversion.</w:t>
      </w:r>
    </w:p>
    <w:p>
      <w:pPr>
        <w:spacing w:after="0" w:line="154" w:lineRule="exact"/>
        <w:rPr>
          <w:rFonts w:ascii="Arial" w:cs="Arial" w:eastAsia="Arial" w:hAnsi="Arial"/>
          <w:sz w:val="16"/>
          <w:szCs w:val="16"/>
          <w:color w:val="auto"/>
        </w:rPr>
      </w:pPr>
    </w:p>
    <w:p>
      <w:pPr>
        <w:ind w:right="100" w:firstLine="656"/>
        <w:spacing w:after="0" w:line="255" w:lineRule="auto"/>
        <w:tabs>
          <w:tab w:leader="none" w:pos="1583"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shall not issue any fractional share of Common Stock upon conversion of the Notes and shall instead pay cash in lieu of delivering any fractional share of Common Stock issuable upon conversion based on the Daily VWAP for the relevant Conversion Date (in the case of Physical Settlement) or based on the Daily VWAP for the last Trading Day of the relevant Observation Period (in the case of Combination Settlement). For each Note surrendered for conversion, if the Company has elected Combination Settlement, the full number of shares that shall be issued upon conversion thereof shall be computed on the basis of the aggregate Daily Settlement Amounts for the relevant Observation Period and any fractional shares remaining after such computation shall be paid in cash.</w:t>
      </w:r>
    </w:p>
    <w:p>
      <w:pPr>
        <w:spacing w:after="0" w:line="19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5.04</w:t>
      </w:r>
      <w:r>
        <w:rPr>
          <w:sz w:val="20"/>
          <w:szCs w:val="20"/>
          <w:color w:val="auto"/>
        </w:rPr>
        <w:tab/>
      </w:r>
      <w:r>
        <w:rPr>
          <w:rFonts w:ascii="Arial" w:cs="Arial" w:eastAsia="Arial" w:hAnsi="Arial"/>
          <w:sz w:val="16"/>
          <w:szCs w:val="16"/>
          <w:u w:val="single" w:color="auto"/>
          <w:color w:val="auto"/>
        </w:rPr>
        <w:t>Conversion Procedures</w:t>
      </w:r>
      <w:r>
        <w:rPr>
          <w:rFonts w:ascii="Arial" w:cs="Arial" w:eastAsia="Arial" w:hAnsi="Arial"/>
          <w:sz w:val="16"/>
          <w:szCs w:val="16"/>
          <w:color w:val="auto"/>
        </w:rPr>
        <w:t>.</w:t>
      </w:r>
    </w:p>
    <w:p>
      <w:pPr>
        <w:spacing w:after="0" w:line="225" w:lineRule="exact"/>
        <w:rPr>
          <w:sz w:val="20"/>
          <w:szCs w:val="20"/>
          <w:color w:val="auto"/>
        </w:rPr>
      </w:pPr>
    </w:p>
    <w:p>
      <w:pPr>
        <w:ind w:left="1580" w:hanging="924"/>
        <w:spacing w:after="0"/>
        <w:tabs>
          <w:tab w:leader="none" w:pos="1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 If a Note is represented by a certificated security, to exercise its right of conversion, a Holder must:</w:t>
      </w:r>
    </w:p>
    <w:p>
      <w:pPr>
        <w:spacing w:after="0" w:line="225" w:lineRule="exact"/>
        <w:rPr>
          <w:rFonts w:ascii="Arial" w:cs="Arial" w:eastAsia="Arial" w:hAnsi="Arial"/>
          <w:sz w:val="18"/>
          <w:szCs w:val="18"/>
          <w:color w:val="auto"/>
        </w:rPr>
      </w:pPr>
    </w:p>
    <w:p>
      <w:pPr>
        <w:ind w:left="4580" w:hanging="701"/>
        <w:spacing w:after="0"/>
        <w:tabs>
          <w:tab w:leader="none" w:pos="4580" w:val="left"/>
        </w:tabs>
        <w:numPr>
          <w:ilvl w:val="1"/>
          <w:numId w:val="31"/>
        </w:numPr>
        <w:rPr>
          <w:rFonts w:ascii="Arial" w:cs="Arial" w:eastAsia="Arial" w:hAnsi="Arial"/>
          <w:sz w:val="16"/>
          <w:szCs w:val="16"/>
          <w:color w:val="auto"/>
        </w:rPr>
      </w:pPr>
      <w:r>
        <w:rPr>
          <w:rFonts w:ascii="Arial" w:cs="Arial" w:eastAsia="Arial" w:hAnsi="Arial"/>
          <w:sz w:val="16"/>
          <w:szCs w:val="16"/>
          <w:color w:val="auto"/>
        </w:rPr>
        <w:t>complete and manually sign the Conversion Notice, with the appropriate signature guarantee,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facsimile of the Conversion Notice and deliver the completed Conversion Notice (which shall be irrevocable) to the Conversion Agent;</w:t>
      </w:r>
    </w:p>
    <w:p>
      <w:pPr>
        <w:spacing w:after="0" w:line="210" w:lineRule="exact"/>
        <w:rPr>
          <w:rFonts w:ascii="Arial" w:cs="Arial" w:eastAsia="Arial" w:hAnsi="Arial"/>
          <w:sz w:val="16"/>
          <w:szCs w:val="16"/>
          <w:color w:val="auto"/>
        </w:rPr>
      </w:pPr>
    </w:p>
    <w:p>
      <w:pPr>
        <w:ind w:left="4680" w:hanging="756"/>
        <w:spacing w:after="0"/>
        <w:tabs>
          <w:tab w:leader="none" w:pos="4680" w:val="left"/>
        </w:tabs>
        <w:numPr>
          <w:ilvl w:val="2"/>
          <w:numId w:val="31"/>
        </w:numPr>
        <w:rPr>
          <w:rFonts w:ascii="Arial" w:cs="Arial" w:eastAsia="Arial" w:hAnsi="Arial"/>
          <w:sz w:val="18"/>
          <w:szCs w:val="18"/>
          <w:color w:val="auto"/>
        </w:rPr>
      </w:pPr>
      <w:r>
        <w:rPr>
          <w:rFonts w:ascii="Arial" w:cs="Arial" w:eastAsia="Arial" w:hAnsi="Arial"/>
          <w:sz w:val="18"/>
          <w:szCs w:val="18"/>
          <w:color w:val="auto"/>
        </w:rPr>
        <w:t>surrender the certificated Note to the Conversion Agent;</w:t>
      </w:r>
    </w:p>
    <w:p>
      <w:pPr>
        <w:spacing w:after="0" w:line="225" w:lineRule="exact"/>
        <w:rPr>
          <w:sz w:val="20"/>
          <w:szCs w:val="20"/>
          <w:color w:val="auto"/>
        </w:rPr>
      </w:pPr>
    </w:p>
    <w:p>
      <w:pPr>
        <w:ind w:left="4640" w:hanging="806"/>
        <w:spacing w:after="0"/>
        <w:tabs>
          <w:tab w:leader="none" w:pos="4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furnish appropriate endorsements and transfer documents if required by the Registrar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Conversion Agent;</w:t>
      </w:r>
    </w:p>
    <w:p>
      <w:pPr>
        <w:spacing w:after="0" w:line="211" w:lineRule="exact"/>
        <w:rPr>
          <w:sz w:val="20"/>
          <w:szCs w:val="20"/>
          <w:color w:val="auto"/>
        </w:rPr>
      </w:pPr>
    </w:p>
    <w:p>
      <w:pPr>
        <w:ind w:left="4640" w:hanging="806"/>
        <w:spacing w:after="0"/>
        <w:tabs>
          <w:tab w:leader="none" w:pos="4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 all transfer or similar taxes if required pursuant to Section 5.03(e); and</w:t>
      </w:r>
    </w:p>
    <w:p>
      <w:pPr>
        <w:spacing w:after="0" w:line="225" w:lineRule="exact"/>
        <w:rPr>
          <w:rFonts w:ascii="Arial" w:cs="Arial" w:eastAsia="Arial" w:hAnsi="Arial"/>
          <w:sz w:val="18"/>
          <w:szCs w:val="18"/>
          <w:color w:val="auto"/>
        </w:rPr>
      </w:pPr>
    </w:p>
    <w:p>
      <w:pPr>
        <w:ind w:left="4680" w:hanging="756"/>
        <w:spacing w:after="0"/>
        <w:tabs>
          <w:tab w:leader="none" w:pos="46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pay all funds equal to interest payable on the next Interest Payment Date required by Section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5.03(b), if any, or</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30" w:name="page31"/>
    <w:bookmarkEnd w:id="30"/>
    <w:p>
      <w:pPr>
        <w:ind w:left="2280" w:hanging="894"/>
        <w:spacing w:after="0"/>
        <w:tabs>
          <w:tab w:leader="none" w:pos="2280" w:val="left"/>
        </w:tabs>
        <w:numPr>
          <w:ilvl w:val="2"/>
          <w:numId w:val="34"/>
        </w:numPr>
        <w:rPr>
          <w:rFonts w:ascii="Arial" w:cs="Arial" w:eastAsia="Arial" w:hAnsi="Arial"/>
          <w:sz w:val="16"/>
          <w:szCs w:val="16"/>
          <w:color w:val="auto"/>
        </w:rPr>
      </w:pPr>
      <w:r>
        <w:rPr>
          <w:rFonts w:ascii="Arial" w:cs="Arial" w:eastAsia="Arial" w:hAnsi="Arial"/>
          <w:sz w:val="16"/>
          <w:szCs w:val="16"/>
          <w:color w:val="auto"/>
        </w:rPr>
        <w:t>If a Note is represented by a global security, to exercise its right of conversion, a Holder must comply with Section 5.04(a)(1)</w:t>
      </w:r>
    </w:p>
    <w:p>
      <w:pPr>
        <w:spacing w:after="0" w:line="46" w:lineRule="exact"/>
        <w:rPr>
          <w:rFonts w:ascii="Arial" w:cs="Arial" w:eastAsia="Arial" w:hAnsi="Arial"/>
          <w:sz w:val="16"/>
          <w:szCs w:val="16"/>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and Section 5.04(a)(1)(v) above and the Depositary’s procedures for converting a beneficial interest in a global security.</w:t>
      </w:r>
    </w:p>
    <w:p>
      <w:pPr>
        <w:spacing w:after="0" w:line="210" w:lineRule="exact"/>
        <w:rPr>
          <w:rFonts w:ascii="Arial" w:cs="Arial" w:eastAsia="Arial" w:hAnsi="Arial"/>
          <w:sz w:val="18"/>
          <w:szCs w:val="18"/>
          <w:color w:val="auto"/>
        </w:rPr>
      </w:pPr>
    </w:p>
    <w:p>
      <w:pPr>
        <w:ind w:right="80" w:firstLine="656"/>
        <w:spacing w:after="0" w:line="293" w:lineRule="auto"/>
        <w:tabs>
          <w:tab w:leader="none" w:pos="1533" w:val="left"/>
        </w:tabs>
        <w:numPr>
          <w:ilvl w:val="1"/>
          <w:numId w:val="35"/>
        </w:numPr>
        <w:rPr>
          <w:rFonts w:ascii="Arial" w:cs="Arial" w:eastAsia="Arial" w:hAnsi="Arial"/>
          <w:sz w:val="16"/>
          <w:szCs w:val="16"/>
          <w:color w:val="auto"/>
        </w:rPr>
      </w:pPr>
      <w:r>
        <w:rPr>
          <w:rFonts w:ascii="Arial" w:cs="Arial" w:eastAsia="Arial" w:hAnsi="Arial"/>
          <w:sz w:val="16"/>
          <w:szCs w:val="16"/>
          <w:color w:val="auto"/>
        </w:rPr>
        <w:t>If a Holder has submitted its Notes for repurchase upon a Fundamental Change or on a Repurchase Date, such Holder may only convert its Notes if it withdraws its Fundamental Change Repurchase Notice or Repurchase Notice, as the case may be, prior to the Fundamental Change Repurchase Date or the applicable Repurchase Date, pursuant to Section 3.02(b) or 3.03(b), as the case may be. If such Holder’s Notes are submitted for repurchase upon a Fundamental Change or on a Repurchase Date, such Holder’s right to withdraw its Fundamental Change Repurchase Notice or Repurchase Notice, as the case may be, and convert its Notes that are subject to repurchase will terminate at the Close of Business on the Business Day immediately preceding the Fundamental Change Repurchase Date or applicable Repurchase Date, as the case may be.</w:t>
      </w:r>
    </w:p>
    <w:p>
      <w:pPr>
        <w:spacing w:after="0" w:line="16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5.05</w:t>
      </w:r>
      <w:r>
        <w:rPr>
          <w:sz w:val="20"/>
          <w:szCs w:val="20"/>
          <w:color w:val="auto"/>
        </w:rPr>
        <w:tab/>
      </w:r>
      <w:r>
        <w:rPr>
          <w:rFonts w:ascii="Arial" w:cs="Arial" w:eastAsia="Arial" w:hAnsi="Arial"/>
          <w:sz w:val="16"/>
          <w:szCs w:val="16"/>
          <w:u w:val="single" w:color="auto"/>
          <w:color w:val="auto"/>
        </w:rPr>
        <w:t>Conversion Rate Adjustments</w:t>
      </w:r>
      <w:r>
        <w:rPr>
          <w:rFonts w:ascii="Arial" w:cs="Arial" w:eastAsia="Arial" w:hAnsi="Arial"/>
          <w:sz w:val="16"/>
          <w:szCs w:val="16"/>
          <w:color w:val="auto"/>
        </w:rPr>
        <w:t>.</w:t>
      </w:r>
    </w:p>
    <w:p>
      <w:pPr>
        <w:spacing w:after="0" w:line="225" w:lineRule="exact"/>
        <w:rPr>
          <w:sz w:val="20"/>
          <w:szCs w:val="20"/>
          <w:color w:val="auto"/>
        </w:rPr>
      </w:pPr>
    </w:p>
    <w:p>
      <w:pPr>
        <w:ind w:right="260" w:firstLine="648"/>
        <w:spacing w:after="0" w:line="297" w:lineRule="auto"/>
        <w:rPr>
          <w:sz w:val="20"/>
          <w:szCs w:val="20"/>
          <w:color w:val="auto"/>
        </w:rPr>
      </w:pPr>
      <w:r>
        <w:rPr>
          <w:rFonts w:ascii="Arial" w:cs="Arial" w:eastAsia="Arial" w:hAnsi="Arial"/>
          <w:sz w:val="16"/>
          <w:szCs w:val="16"/>
          <w:color w:val="auto"/>
        </w:rPr>
        <w:t xml:space="preserve">The Conversion Rate shall be subject to adjustment from time to time, without duplication, upon the occurrence of any of the following events, </w:t>
      </w:r>
      <w:r>
        <w:rPr>
          <w:rFonts w:ascii="Arial" w:cs="Arial" w:eastAsia="Arial" w:hAnsi="Arial"/>
          <w:sz w:val="16"/>
          <w:szCs w:val="16"/>
          <w:i w:val="1"/>
          <w:iCs w:val="1"/>
          <w:color w:val="auto"/>
        </w:rPr>
        <w:t>provided</w:t>
      </w:r>
      <w:r>
        <w:rPr>
          <w:rFonts w:ascii="Arial" w:cs="Arial" w:eastAsia="Arial" w:hAnsi="Arial"/>
          <w:sz w:val="16"/>
          <w:szCs w:val="16"/>
          <w:color w:val="auto"/>
        </w:rPr>
        <w:t>, that the Company will not make any adjustments to the Conversion Rate if Holders of the Notes participate (other than in the case of (x) a share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split or share combination or (y) a tender or exchange offer), at the same time and upon the same terms as Holders of our Common Stock and solely as a result of holding the Notes, in any of the transactions described below without having to convert their Notes as if they held a number of shares of Common Stock equal to the Conversion Rate,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the principal amount of Notes held by such Holder,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$1,000:</w:t>
      </w:r>
    </w:p>
    <w:p>
      <w:pPr>
        <w:spacing w:after="0" w:line="158" w:lineRule="exact"/>
        <w:rPr>
          <w:sz w:val="20"/>
          <w:szCs w:val="20"/>
          <w:color w:val="auto"/>
        </w:rPr>
      </w:pPr>
    </w:p>
    <w:p>
      <w:pPr>
        <w:ind w:right="200" w:firstLine="656"/>
        <w:spacing w:after="0" w:line="308" w:lineRule="auto"/>
        <w:tabs>
          <w:tab w:leader="none" w:pos="1568" w:val="left"/>
        </w:tabs>
        <w:numPr>
          <w:ilvl w:val="0"/>
          <w:numId w:val="36"/>
        </w:numPr>
        <w:rPr>
          <w:rFonts w:ascii="Arial" w:cs="Arial" w:eastAsia="Arial" w:hAnsi="Arial"/>
          <w:sz w:val="17"/>
          <w:szCs w:val="17"/>
          <w:color w:val="auto"/>
        </w:rPr>
      </w:pPr>
      <w:r>
        <w:rPr>
          <w:rFonts w:ascii="Arial" w:cs="Arial" w:eastAsia="Arial" w:hAnsi="Arial"/>
          <w:sz w:val="17"/>
          <w:szCs w:val="17"/>
          <w:color w:val="auto"/>
        </w:rPr>
        <w:t>If the Company issues solely shares of Common Stock as a dividend or distribution on all or substantially all of its shares of Common Stock, or if the Company subdivides or combines Common Stock,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102235</wp:posOffset>
            </wp:positionV>
            <wp:extent cx="1286510" cy="5060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28651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where,</w:t>
            </w:r>
          </w:p>
        </w:tc>
        <w:tc>
          <w:tcPr>
            <w:tcW w:w="560" w:type="dxa"/>
            <w:vAlign w:val="bottom"/>
          </w:tcPr>
          <w:p>
            <w:pPr>
              <w:spacing w:after="0"/>
              <w:rPr>
                <w:sz w:val="20"/>
                <w:szCs w:val="20"/>
                <w:color w:val="auto"/>
              </w:rPr>
            </w:pPr>
          </w:p>
        </w:tc>
        <w:tc>
          <w:tcPr>
            <w:tcW w:w="10160" w:type="dxa"/>
            <w:vAlign w:val="bottom"/>
          </w:tcPr>
          <w:p>
            <w:pPr>
              <w:spacing w:after="0"/>
              <w:rPr>
                <w:sz w:val="20"/>
                <w:szCs w:val="20"/>
                <w:color w:val="auto"/>
              </w:rPr>
            </w:pPr>
          </w:p>
        </w:tc>
      </w:tr>
      <w:tr>
        <w:trPr>
          <w:trHeight w:val="419"/>
        </w:trPr>
        <w:tc>
          <w:tcPr>
            <w:tcW w:w="70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30"/>
                <w:szCs w:val="30"/>
                <w:color w:val="auto"/>
                <w:vertAlign w:val="subscript"/>
              </w:rPr>
              <w:t>0</w:t>
            </w: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160" w:type="dxa"/>
            <w:vAlign w:val="bottom"/>
          </w:tcPr>
          <w:p>
            <w:pPr>
              <w:ind w:left="240"/>
              <w:spacing w:after="0"/>
              <w:rPr>
                <w:sz w:val="20"/>
                <w:szCs w:val="20"/>
                <w:color w:val="auto"/>
              </w:rPr>
            </w:pPr>
            <w:r>
              <w:rPr>
                <w:rFonts w:ascii="Arial" w:cs="Arial" w:eastAsia="Arial" w:hAnsi="Arial"/>
                <w:sz w:val="18"/>
                <w:szCs w:val="18"/>
                <w:color w:val="auto"/>
                <w:w w:val="94"/>
              </w:rPr>
              <w:t>the Conversion Rate in effect immediately prior to the Open of Business on the Ex-Dividend Date for such dividend or distribution, or</w:t>
            </w:r>
          </w:p>
        </w:tc>
      </w:tr>
      <w:tr>
        <w:trPr>
          <w:trHeight w:val="215"/>
        </w:trPr>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160" w:type="dxa"/>
            <w:vAlign w:val="bottom"/>
          </w:tcPr>
          <w:p>
            <w:pPr>
              <w:ind w:left="240"/>
              <w:spacing w:after="0"/>
              <w:rPr>
                <w:sz w:val="20"/>
                <w:szCs w:val="20"/>
                <w:color w:val="auto"/>
              </w:rPr>
            </w:pPr>
            <w:r>
              <w:rPr>
                <w:rFonts w:ascii="Arial" w:cs="Arial" w:eastAsia="Arial" w:hAnsi="Arial"/>
                <w:sz w:val="18"/>
                <w:szCs w:val="18"/>
                <w:color w:val="auto"/>
                <w:w w:val="92"/>
              </w:rPr>
              <w:t>immediately prior to the Open of Business on the effective date of such subdivision or combination of Common Stock, as the case may</w:t>
            </w:r>
          </w:p>
        </w:tc>
      </w:tr>
      <w:tr>
        <w:trPr>
          <w:trHeight w:val="216"/>
        </w:trPr>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160" w:type="dxa"/>
            <w:vAlign w:val="bottom"/>
          </w:tcPr>
          <w:p>
            <w:pPr>
              <w:ind w:left="240"/>
              <w:spacing w:after="0"/>
              <w:rPr>
                <w:sz w:val="20"/>
                <w:szCs w:val="20"/>
                <w:color w:val="auto"/>
              </w:rPr>
            </w:pPr>
            <w:r>
              <w:rPr>
                <w:rFonts w:ascii="Arial" w:cs="Arial" w:eastAsia="Arial" w:hAnsi="Arial"/>
                <w:sz w:val="18"/>
                <w:szCs w:val="18"/>
                <w:color w:val="auto"/>
              </w:rPr>
              <w:t>be;</w:t>
            </w:r>
          </w:p>
        </w:tc>
      </w:tr>
      <w:tr>
        <w:trPr>
          <w:trHeight w:val="217"/>
        </w:trPr>
        <w:tc>
          <w:tcPr>
            <w:tcW w:w="700" w:type="dxa"/>
            <w:vAlign w:val="bottom"/>
          </w:tcPr>
          <w:p>
            <w:pPr>
              <w:spacing w:after="0" w:line="217" w:lineRule="exact"/>
              <w:rPr>
                <w:sz w:val="20"/>
                <w:szCs w:val="20"/>
                <w:color w:val="auto"/>
              </w:rPr>
            </w:pPr>
            <w:r>
              <w:rPr>
                <w:rFonts w:ascii="Arial" w:cs="Arial" w:eastAsia="Arial" w:hAnsi="Arial"/>
                <w:sz w:val="16"/>
                <w:szCs w:val="16"/>
                <w:color w:val="auto"/>
              </w:rPr>
              <w:t>CR</w:t>
            </w:r>
            <w:r>
              <w:rPr>
                <w:rFonts w:ascii="Arial" w:cs="Arial" w:eastAsia="Arial" w:hAnsi="Arial"/>
                <w:sz w:val="25"/>
                <w:szCs w:val="25"/>
                <w:color w:val="auto"/>
                <w:vertAlign w:val="subscript"/>
              </w:rPr>
              <w:t>1</w:t>
            </w: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160" w:type="dxa"/>
            <w:vAlign w:val="bottom"/>
          </w:tcPr>
          <w:p>
            <w:pPr>
              <w:ind w:left="240"/>
              <w:spacing w:after="0"/>
              <w:rPr>
                <w:sz w:val="20"/>
                <w:szCs w:val="20"/>
                <w:color w:val="auto"/>
              </w:rPr>
            </w:pPr>
            <w:r>
              <w:rPr>
                <w:rFonts w:ascii="Arial" w:cs="Arial" w:eastAsia="Arial" w:hAnsi="Arial"/>
                <w:sz w:val="18"/>
                <w:szCs w:val="18"/>
                <w:color w:val="auto"/>
                <w:w w:val="95"/>
              </w:rPr>
              <w:t>the Conversion Rate in effect immediately after the Open of Business on the Ex-Dividend Date for such dividend or distribution, or</w:t>
            </w:r>
          </w:p>
        </w:tc>
      </w:tr>
      <w:tr>
        <w:trPr>
          <w:trHeight w:val="215"/>
        </w:trPr>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160" w:type="dxa"/>
            <w:vAlign w:val="bottom"/>
          </w:tcPr>
          <w:p>
            <w:pPr>
              <w:ind w:left="240"/>
              <w:spacing w:after="0"/>
              <w:rPr>
                <w:sz w:val="20"/>
                <w:szCs w:val="20"/>
                <w:color w:val="auto"/>
              </w:rPr>
            </w:pPr>
            <w:r>
              <w:rPr>
                <w:rFonts w:ascii="Arial" w:cs="Arial" w:eastAsia="Arial" w:hAnsi="Arial"/>
                <w:sz w:val="18"/>
                <w:szCs w:val="18"/>
                <w:color w:val="auto"/>
              </w:rPr>
              <w:t>effective date of such subdivision or combination of Common Stock, as the case may be;</w:t>
            </w:r>
          </w:p>
        </w:tc>
      </w:tr>
      <w:tr>
        <w:trPr>
          <w:trHeight w:val="217"/>
        </w:trPr>
        <w:tc>
          <w:tcPr>
            <w:tcW w:w="700" w:type="dxa"/>
            <w:vAlign w:val="bottom"/>
          </w:tcPr>
          <w:p>
            <w:pPr>
              <w:spacing w:after="0" w:line="217" w:lineRule="exact"/>
              <w:rPr>
                <w:sz w:val="20"/>
                <w:szCs w:val="20"/>
                <w:color w:val="auto"/>
              </w:rPr>
            </w:pPr>
            <w:r>
              <w:rPr>
                <w:rFonts w:ascii="Arial" w:cs="Arial" w:eastAsia="Arial" w:hAnsi="Arial"/>
                <w:sz w:val="16"/>
                <w:szCs w:val="16"/>
                <w:color w:val="auto"/>
              </w:rPr>
              <w:t>OS</w:t>
            </w:r>
            <w:r>
              <w:rPr>
                <w:rFonts w:ascii="Arial" w:cs="Arial" w:eastAsia="Arial" w:hAnsi="Arial"/>
                <w:sz w:val="25"/>
                <w:szCs w:val="25"/>
                <w:color w:val="auto"/>
                <w:vertAlign w:val="subscript"/>
              </w:rPr>
              <w:t>0</w:t>
            </w: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160" w:type="dxa"/>
            <w:vAlign w:val="bottom"/>
          </w:tcPr>
          <w:p>
            <w:pPr>
              <w:ind w:left="240"/>
              <w:spacing w:after="0"/>
              <w:rPr>
                <w:sz w:val="20"/>
                <w:szCs w:val="20"/>
                <w:color w:val="auto"/>
              </w:rPr>
            </w:pPr>
            <w:r>
              <w:rPr>
                <w:rFonts w:ascii="Arial" w:cs="Arial" w:eastAsia="Arial" w:hAnsi="Arial"/>
                <w:sz w:val="18"/>
                <w:szCs w:val="18"/>
                <w:color w:val="auto"/>
                <w:w w:val="96"/>
              </w:rPr>
              <w:t>the number of shares of Common Stock outstanding immediately prior to the Open of Business on the Ex-Dividend Date for such</w:t>
            </w:r>
          </w:p>
        </w:tc>
      </w:tr>
      <w:tr>
        <w:trPr>
          <w:trHeight w:val="230"/>
        </w:trPr>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160" w:type="dxa"/>
            <w:vAlign w:val="bottom"/>
          </w:tcPr>
          <w:p>
            <w:pPr>
              <w:ind w:left="240"/>
              <w:spacing w:after="0"/>
              <w:rPr>
                <w:sz w:val="20"/>
                <w:szCs w:val="20"/>
                <w:color w:val="auto"/>
              </w:rPr>
            </w:pPr>
            <w:r>
              <w:rPr>
                <w:rFonts w:ascii="Arial" w:cs="Arial" w:eastAsia="Arial" w:hAnsi="Arial"/>
                <w:sz w:val="18"/>
                <w:szCs w:val="18"/>
                <w:color w:val="auto"/>
              </w:rPr>
              <w:t>dividend or distribution or the effective date of such subdivision or combination of Common Stock, as the case may be; and</w:t>
            </w:r>
          </w:p>
        </w:tc>
      </w:tr>
      <w:tr>
        <w:trPr>
          <w:trHeight w:val="431"/>
        </w:trPr>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160" w:type="dxa"/>
            <w:vAlign w:val="bottom"/>
          </w:tcPr>
          <w:p>
            <w:pPr>
              <w:ind w:left="4380"/>
              <w:spacing w:after="0"/>
              <w:rPr>
                <w:sz w:val="20"/>
                <w:szCs w:val="20"/>
                <w:color w:val="auto"/>
              </w:rPr>
            </w:pPr>
            <w:r>
              <w:rPr>
                <w:rFonts w:ascii="Arial" w:cs="Arial" w:eastAsia="Arial" w:hAnsi="Arial"/>
                <w:sz w:val="18"/>
                <w:szCs w:val="18"/>
                <w:color w:val="auto"/>
              </w:rPr>
              <w:t>23</w:t>
            </w:r>
          </w:p>
        </w:tc>
      </w:tr>
      <w:tr>
        <w:trPr>
          <w:trHeight w:val="68"/>
        </w:trPr>
        <w:tc>
          <w:tcPr>
            <w:tcW w:w="70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1016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692" w:right="239" w:bottom="1440" w:gutter="0" w:footer="0" w:header="0"/>
        </w:sectPr>
      </w:pPr>
    </w:p>
    <w:bookmarkStart w:id="31" w:name="page32"/>
    <w:bookmarkEnd w:id="31"/>
    <w:p>
      <w:pPr>
        <w:spacing w:after="0"/>
        <w:rPr>
          <w:sz w:val="20"/>
          <w:szCs w:val="20"/>
          <w:color w:val="auto"/>
        </w:rPr>
      </w:pPr>
      <w:r>
        <w:rPr>
          <w:rFonts w:ascii="Arial" w:cs="Arial" w:eastAsia="Arial" w:hAnsi="Arial"/>
          <w:sz w:val="16"/>
          <w:szCs w:val="16"/>
          <w:color w:val="auto"/>
        </w:rPr>
        <w:t>OS</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320"/>
        <w:spacing w:after="0" w:line="308" w:lineRule="auto"/>
        <w:rPr>
          <w:sz w:val="20"/>
          <w:szCs w:val="20"/>
          <w:color w:val="auto"/>
        </w:rPr>
      </w:pPr>
      <w:r>
        <w:rPr>
          <w:rFonts w:ascii="Arial" w:cs="Arial" w:eastAsia="Arial" w:hAnsi="Arial"/>
          <w:sz w:val="17"/>
          <w:szCs w:val="17"/>
          <w:color w:val="auto"/>
        </w:rPr>
        <w:t>the number of shares of Common Stock that would be outstanding immediately after giving effect to such dividend or distribution, or immediately after the effective date of such subdivision or combination of Common Stock, as the case may be.</w:t>
      </w:r>
    </w:p>
    <w:p>
      <w:pPr>
        <w:spacing w:after="0" w:line="147" w:lineRule="exact"/>
        <w:rPr>
          <w:sz w:val="20"/>
          <w:szCs w:val="20"/>
          <w:color w:val="auto"/>
        </w:rPr>
      </w:pPr>
    </w:p>
    <w:p>
      <w:pPr>
        <w:sectPr>
          <w:pgSz w:w="11900" w:h="16838" w:orient="portrait"/>
          <w:cols w:equalWidth="0" w:num="3">
            <w:col w:w="320" w:space="600"/>
            <w:col w:w="100" w:space="480"/>
            <w:col w:w="9920"/>
          </w:cols>
          <w:pgMar w:left="240" w:top="692" w:right="239" w:bottom="1440" w:gutter="0" w:footer="0" w:header="0"/>
        </w:sectPr>
      </w:pPr>
    </w:p>
    <w:p>
      <w:pPr>
        <w:ind w:right="20"/>
        <w:spacing w:after="0" w:line="297" w:lineRule="auto"/>
        <w:rPr>
          <w:sz w:val="20"/>
          <w:szCs w:val="20"/>
          <w:color w:val="auto"/>
        </w:rPr>
      </w:pPr>
      <w:r>
        <w:rPr>
          <w:rFonts w:ascii="Arial" w:cs="Arial" w:eastAsia="Arial" w:hAnsi="Arial"/>
          <w:sz w:val="16"/>
          <w:szCs w:val="16"/>
          <w:color w:val="auto"/>
        </w:rPr>
        <w:t>Any adjustment made under this Section 5.05(a) shall become effective immediately after the Open of Business on the Ex-Dividend Date for such dividend or distribution or effective date of such subdivision or combination of Common Stock, as the case may be. If such dividend, distribution, subdivision or combination described in this Section 5.05(a) is declared but not so paid or made, the Conversion Rate shall be immediately readjusted, effective as of the date the Board of Directors determines not to pay such dividend or distribution or to effect such subdivision or combination, to the Conversion Rate that would then be in effect if such dividend or distribution had not been declared or subdivision or combination had not been announced.</w:t>
      </w:r>
    </w:p>
    <w:p>
      <w:pPr>
        <w:spacing w:after="0" w:line="158" w:lineRule="exact"/>
        <w:rPr>
          <w:sz w:val="20"/>
          <w:szCs w:val="20"/>
          <w:color w:val="auto"/>
        </w:rPr>
      </w:pPr>
    </w:p>
    <w:p>
      <w:pPr>
        <w:ind w:right="140" w:firstLine="656"/>
        <w:spacing w:after="0" w:line="257" w:lineRule="auto"/>
        <w:tabs>
          <w:tab w:leader="none" w:pos="1533"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an Ex-Dividend Date occurs for a distribution to all or substantially all holders of Common Stock of any rights, options or warrants entitling such holders for a period of not more than 60 calendar days from the announcement date for such distribution to subscribe for or purchase shares of Common Stock, at a price per share less than the average of the Closing Sale Prices of the Common Stock for the 10 consecutive Trading Day period ending on, and including, the Trading Day immediately preceding the announcement date for such distribution,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128905</wp:posOffset>
            </wp:positionV>
            <wp:extent cx="1706880" cy="4718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70688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where,</w:t>
            </w:r>
          </w:p>
        </w:tc>
        <w:tc>
          <w:tcPr>
            <w:tcW w:w="9520" w:type="dxa"/>
            <w:vAlign w:val="bottom"/>
          </w:tcPr>
          <w:p>
            <w:pPr>
              <w:spacing w:after="0"/>
              <w:rPr>
                <w:sz w:val="20"/>
                <w:szCs w:val="20"/>
                <w:color w:val="auto"/>
              </w:rPr>
            </w:pPr>
          </w:p>
        </w:tc>
      </w:tr>
      <w:tr>
        <w:trPr>
          <w:trHeight w:val="431"/>
        </w:trPr>
        <w:tc>
          <w:tcPr>
            <w:tcW w:w="4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30"/>
                <w:szCs w:val="30"/>
                <w:color w:val="auto"/>
                <w:vertAlign w:val="subscript"/>
              </w:rPr>
              <w:t>0</w:t>
            </w: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520" w:type="dxa"/>
            <w:vAlign w:val="bottom"/>
          </w:tcPr>
          <w:p>
            <w:pPr>
              <w:ind w:left="180"/>
              <w:spacing w:after="0"/>
              <w:rPr>
                <w:sz w:val="20"/>
                <w:szCs w:val="20"/>
                <w:color w:val="auto"/>
              </w:rPr>
            </w:pPr>
            <w:r>
              <w:rPr>
                <w:rFonts w:ascii="Arial" w:cs="Arial" w:eastAsia="Arial" w:hAnsi="Arial"/>
                <w:sz w:val="18"/>
                <w:szCs w:val="18"/>
                <w:color w:val="auto"/>
                <w:w w:val="99"/>
              </w:rPr>
              <w:t>the Conversion Rate in effect immediately prior to the Open of Business on the Ex-Dividend Date for such distribution;</w:t>
            </w:r>
          </w:p>
        </w:tc>
      </w:tr>
      <w:tr>
        <w:trPr>
          <w:trHeight w:val="230"/>
        </w:trPr>
        <w:tc>
          <w:tcPr>
            <w:tcW w:w="480" w:type="dxa"/>
            <w:vAlign w:val="bottom"/>
          </w:tcPr>
          <w:p>
            <w:pPr>
              <w:spacing w:after="0" w:line="230" w:lineRule="exact"/>
              <w:rPr>
                <w:sz w:val="20"/>
                <w:szCs w:val="20"/>
                <w:color w:val="auto"/>
              </w:rPr>
            </w:pPr>
            <w:r>
              <w:rPr>
                <w:rFonts w:ascii="Arial" w:cs="Arial" w:eastAsia="Arial" w:hAnsi="Arial"/>
                <w:sz w:val="16"/>
                <w:szCs w:val="16"/>
                <w:color w:val="auto"/>
              </w:rPr>
              <w:t>CR</w:t>
            </w:r>
            <w:r>
              <w:rPr>
                <w:rFonts w:ascii="Arial" w:cs="Arial" w:eastAsia="Arial" w:hAnsi="Arial"/>
                <w:sz w:val="26"/>
                <w:szCs w:val="26"/>
                <w:color w:val="auto"/>
                <w:vertAlign w:val="subscript"/>
              </w:rPr>
              <w:t>1</w:t>
            </w: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520" w:type="dxa"/>
            <w:vAlign w:val="bottom"/>
          </w:tcPr>
          <w:p>
            <w:pPr>
              <w:ind w:left="180"/>
              <w:spacing w:after="0"/>
              <w:rPr>
                <w:sz w:val="20"/>
                <w:szCs w:val="20"/>
                <w:color w:val="auto"/>
              </w:rPr>
            </w:pPr>
            <w:r>
              <w:rPr>
                <w:rFonts w:ascii="Arial" w:cs="Arial" w:eastAsia="Arial" w:hAnsi="Arial"/>
                <w:sz w:val="18"/>
                <w:szCs w:val="18"/>
                <w:color w:val="auto"/>
              </w:rPr>
              <w:t>the Conversion Rate in effect immediately after the Open of Business on the Ex-Dividend Date for such distribution;</w:t>
            </w:r>
          </w:p>
        </w:tc>
      </w:tr>
      <w:tr>
        <w:trPr>
          <w:trHeight w:val="217"/>
        </w:trPr>
        <w:tc>
          <w:tcPr>
            <w:tcW w:w="480" w:type="dxa"/>
            <w:vAlign w:val="bottom"/>
          </w:tcPr>
          <w:p>
            <w:pPr>
              <w:spacing w:after="0" w:line="217" w:lineRule="exact"/>
              <w:rPr>
                <w:sz w:val="20"/>
                <w:szCs w:val="20"/>
                <w:color w:val="auto"/>
              </w:rPr>
            </w:pPr>
            <w:r>
              <w:rPr>
                <w:rFonts w:ascii="Arial" w:cs="Arial" w:eastAsia="Arial" w:hAnsi="Arial"/>
                <w:sz w:val="16"/>
                <w:szCs w:val="16"/>
                <w:color w:val="auto"/>
              </w:rPr>
              <w:t>OS</w:t>
            </w:r>
            <w:r>
              <w:rPr>
                <w:rFonts w:ascii="Arial" w:cs="Arial" w:eastAsia="Arial" w:hAnsi="Arial"/>
                <w:sz w:val="25"/>
                <w:szCs w:val="25"/>
                <w:color w:val="auto"/>
                <w:vertAlign w:val="subscript"/>
              </w:rPr>
              <w:t>0</w:t>
            </w: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520" w:type="dxa"/>
            <w:vAlign w:val="bottom"/>
          </w:tcPr>
          <w:p>
            <w:pPr>
              <w:ind w:left="180"/>
              <w:spacing w:after="0"/>
              <w:rPr>
                <w:sz w:val="20"/>
                <w:szCs w:val="20"/>
                <w:color w:val="auto"/>
              </w:rPr>
            </w:pPr>
            <w:r>
              <w:rPr>
                <w:rFonts w:ascii="Arial" w:cs="Arial" w:eastAsia="Arial" w:hAnsi="Arial"/>
                <w:sz w:val="18"/>
                <w:szCs w:val="18"/>
                <w:color w:val="auto"/>
                <w:w w:val="90"/>
              </w:rPr>
              <w:t>the number of shares of Common Stock outstanding immediately prior to the Open of Business on the Ex-Dividend Date for such</w:t>
            </w:r>
          </w:p>
        </w:tc>
      </w:tr>
      <w:tr>
        <w:trPr>
          <w:trHeight w:val="230"/>
        </w:trPr>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520" w:type="dxa"/>
            <w:vAlign w:val="bottom"/>
          </w:tcPr>
          <w:p>
            <w:pPr>
              <w:ind w:left="180"/>
              <w:spacing w:after="0"/>
              <w:rPr>
                <w:sz w:val="20"/>
                <w:szCs w:val="20"/>
                <w:color w:val="auto"/>
              </w:rPr>
            </w:pPr>
            <w:r>
              <w:rPr>
                <w:rFonts w:ascii="Arial" w:cs="Arial" w:eastAsia="Arial" w:hAnsi="Arial"/>
                <w:sz w:val="18"/>
                <w:szCs w:val="18"/>
                <w:color w:val="auto"/>
              </w:rPr>
              <w:t>distribution;</w:t>
            </w:r>
          </w:p>
        </w:tc>
      </w:tr>
    </w:tbl>
    <w:p>
      <w:pPr>
        <w:ind w:left="920" w:hanging="912"/>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the total number of shares of Common Stock issuable pursuant to such rights, options or warrants; and</w:t>
      </w:r>
    </w:p>
    <w:p>
      <w:pPr>
        <w:spacing w:after="0" w:line="8" w:lineRule="exact"/>
        <w:rPr>
          <w:sz w:val="20"/>
          <w:szCs w:val="20"/>
          <w:color w:val="auto"/>
        </w:rPr>
      </w:pPr>
    </w:p>
    <w:p>
      <w:pPr>
        <w:ind w:left="1500" w:right="140" w:hanging="1492"/>
        <w:spacing w:after="0" w:line="255" w:lineRule="auto"/>
        <w:tabs>
          <w:tab w:leader="none" w:pos="933"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=the number of shares of Common Stock equal to the aggregate price payable to exercise such rights, options or warrants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average of the Closing Sale Prices of Common Stock over the 10 consecutive Trading Day period ending on, and including, the Trading Day immediately preceding the announcement date for such distribution.</w:t>
      </w:r>
    </w:p>
    <w:p>
      <w:pPr>
        <w:spacing w:after="0" w:line="19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Any adjustment made under this Section 5.05(b) will become effective immediately after the Open of Business on the Ex-Dividend Date for such distribution. Any increase made under this Section 5.05(b) shall be made successively whenever any such rights, options or warrants are issued and shall become effective immediately after the Open of Business on the Ex-Dividend Date for such distribution. To the extent that shares of Common Stock are not delivered after the exercise of such rights, options or warrants, the Conversion Rate shall be readjusted to the Conversion Rate that would then be in effect had the increase with respect to the issuance of such rights, options or warrants been made on the basis of delivery of only the number of shares of Common Stock actually delivered. If such rights, options or warrants are not so distributed, the Conversion Rate shall be readjusted to the Conversion Rate that would then be in effect if the Record Date for such distribution had not occurred.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type w:val="continuous"/>
        </w:sectPr>
      </w:pPr>
    </w:p>
    <w:bookmarkStart w:id="32" w:name="page33"/>
    <w:bookmarkEnd w:id="32"/>
    <w:p>
      <w:pPr>
        <w:ind w:right="40" w:firstLine="648"/>
        <w:spacing w:after="0" w:line="257" w:lineRule="auto"/>
        <w:rPr>
          <w:sz w:val="20"/>
          <w:szCs w:val="20"/>
          <w:color w:val="auto"/>
        </w:rPr>
      </w:pPr>
      <w:r>
        <w:rPr>
          <w:rFonts w:ascii="Arial" w:cs="Arial" w:eastAsia="Arial" w:hAnsi="Arial"/>
          <w:sz w:val="18"/>
          <w:szCs w:val="18"/>
          <w:color w:val="auto"/>
        </w:rPr>
        <w:t>For purposes of this Section 5.05(b), in determining whether any rights, options or warrants entitle the Holders to subscribe for or purchase shares of Common Stock at a price that is less than the average of the Closing Sale Prices of the Common Stock over the applicable 10 consecutive Trading Day period and in determining the aggregate price payable for such shares of the Common Stock, there shall be taken into account any consideration the Company receives for such rights, options or warrants and any amount payable on exercise or conversion thereof, with the value of such consideration if other than cash to be determined in good faith by the Board of Directors.</w:t>
      </w:r>
    </w:p>
    <w:p>
      <w:pPr>
        <w:spacing w:after="0" w:line="188" w:lineRule="exact"/>
        <w:rPr>
          <w:sz w:val="20"/>
          <w:szCs w:val="20"/>
          <w:color w:val="auto"/>
        </w:rPr>
      </w:pPr>
    </w:p>
    <w:p>
      <w:pPr>
        <w:ind w:firstLine="656"/>
        <w:spacing w:after="0" w:line="276" w:lineRule="auto"/>
        <w:tabs>
          <w:tab w:leader="none" w:pos="1568" w:val="left"/>
        </w:tabs>
        <w:numPr>
          <w:ilvl w:val="0"/>
          <w:numId w:val="40"/>
        </w:numPr>
        <w:rPr>
          <w:rFonts w:ascii="Arial" w:cs="Arial" w:eastAsia="Arial" w:hAnsi="Arial"/>
          <w:sz w:val="17"/>
          <w:szCs w:val="17"/>
          <w:color w:val="auto"/>
        </w:rPr>
      </w:pPr>
      <w:r>
        <w:rPr>
          <w:rFonts w:ascii="Arial" w:cs="Arial" w:eastAsia="Arial" w:hAnsi="Arial"/>
          <w:sz w:val="17"/>
          <w:szCs w:val="17"/>
          <w:color w:val="auto"/>
        </w:rPr>
        <w:t>(A) If an Ex-Dividend Date occurs for a distribution (a “</w:t>
      </w:r>
      <w:r>
        <w:rPr>
          <w:rFonts w:ascii="Arial" w:cs="Arial" w:eastAsia="Arial" w:hAnsi="Arial"/>
          <w:sz w:val="17"/>
          <w:szCs w:val="17"/>
          <w:u w:val="single" w:color="auto"/>
          <w:color w:val="auto"/>
        </w:rPr>
        <w:t>Relevant Distribution</w:t>
      </w:r>
      <w:r>
        <w:rPr>
          <w:rFonts w:ascii="Arial" w:cs="Arial" w:eastAsia="Arial" w:hAnsi="Arial"/>
          <w:sz w:val="17"/>
          <w:szCs w:val="17"/>
          <w:color w:val="auto"/>
        </w:rPr>
        <w:t>”) of shares of the Company’s capital stock, evidences of the Company’s indebtedness or other assets or property of the Company or rights, options or warrants to acquire the Company’s capital stock or other securities, to all or substantially all holders of the Common Stock (excluding (i) dividends or distributions and rights, options or warrants as to which an adjustment was effected under Section 5.05(a) or Section 5.05(b) above; (ii) dividends or distributions paid exclusively in cash covered under Section 5.05(d); and (iii) Spin-Offs), then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118745</wp:posOffset>
            </wp:positionV>
            <wp:extent cx="1912620" cy="4718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91262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where,</w:t>
            </w:r>
          </w:p>
        </w:tc>
        <w:tc>
          <w:tcPr>
            <w:tcW w:w="9880" w:type="dxa"/>
            <w:vAlign w:val="bottom"/>
          </w:tcPr>
          <w:p>
            <w:pPr>
              <w:spacing w:after="0"/>
              <w:rPr>
                <w:sz w:val="20"/>
                <w:szCs w:val="20"/>
                <w:color w:val="auto"/>
              </w:rPr>
            </w:pPr>
          </w:p>
        </w:tc>
      </w:tr>
      <w:tr>
        <w:trPr>
          <w:trHeight w:val="431"/>
        </w:trPr>
        <w:tc>
          <w:tcPr>
            <w:tcW w:w="52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30"/>
                <w:szCs w:val="30"/>
                <w:color w:val="auto"/>
                <w:vertAlign w:val="subscript"/>
              </w:rPr>
              <w:t>0</w:t>
            </w: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880" w:type="dxa"/>
            <w:vAlign w:val="bottom"/>
          </w:tcPr>
          <w:p>
            <w:pPr>
              <w:ind w:left="180"/>
              <w:spacing w:after="0"/>
              <w:rPr>
                <w:sz w:val="20"/>
                <w:szCs w:val="20"/>
                <w:color w:val="auto"/>
              </w:rPr>
            </w:pPr>
            <w:r>
              <w:rPr>
                <w:rFonts w:ascii="Arial" w:cs="Arial" w:eastAsia="Arial" w:hAnsi="Arial"/>
                <w:sz w:val="18"/>
                <w:szCs w:val="18"/>
                <w:color w:val="auto"/>
              </w:rPr>
              <w:t>the Conversion Rate in effect immediately prior to the Open of Business on the Ex-Dividend Date for such distribution;</w:t>
            </w:r>
          </w:p>
        </w:tc>
      </w:tr>
      <w:tr>
        <w:trPr>
          <w:trHeight w:val="230"/>
        </w:trPr>
        <w:tc>
          <w:tcPr>
            <w:tcW w:w="520" w:type="dxa"/>
            <w:vAlign w:val="bottom"/>
          </w:tcPr>
          <w:p>
            <w:pPr>
              <w:spacing w:after="0" w:line="230" w:lineRule="exact"/>
              <w:rPr>
                <w:sz w:val="20"/>
                <w:szCs w:val="20"/>
                <w:color w:val="auto"/>
              </w:rPr>
            </w:pPr>
            <w:r>
              <w:rPr>
                <w:rFonts w:ascii="Arial" w:cs="Arial" w:eastAsia="Arial" w:hAnsi="Arial"/>
                <w:sz w:val="16"/>
                <w:szCs w:val="16"/>
                <w:color w:val="auto"/>
              </w:rPr>
              <w:t>CR</w:t>
            </w:r>
            <w:r>
              <w:rPr>
                <w:rFonts w:ascii="Arial" w:cs="Arial" w:eastAsia="Arial" w:hAnsi="Arial"/>
                <w:sz w:val="26"/>
                <w:szCs w:val="26"/>
                <w:color w:val="auto"/>
                <w:vertAlign w:val="subscript"/>
              </w:rPr>
              <w:t>1</w:t>
            </w: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880" w:type="dxa"/>
            <w:vAlign w:val="bottom"/>
          </w:tcPr>
          <w:p>
            <w:pPr>
              <w:ind w:left="180"/>
              <w:spacing w:after="0"/>
              <w:rPr>
                <w:sz w:val="20"/>
                <w:szCs w:val="20"/>
                <w:color w:val="auto"/>
              </w:rPr>
            </w:pPr>
            <w:r>
              <w:rPr>
                <w:rFonts w:ascii="Arial" w:cs="Arial" w:eastAsia="Arial" w:hAnsi="Arial"/>
                <w:sz w:val="18"/>
                <w:szCs w:val="18"/>
                <w:color w:val="auto"/>
              </w:rPr>
              <w:t>the Conversion Rate in effect immediately after the Open of Business on the Ex-Dividend Date for such distribution;</w:t>
            </w:r>
          </w:p>
        </w:tc>
      </w:tr>
      <w:tr>
        <w:trPr>
          <w:trHeight w:val="217"/>
        </w:trPr>
        <w:tc>
          <w:tcPr>
            <w:tcW w:w="520" w:type="dxa"/>
            <w:vAlign w:val="bottom"/>
          </w:tcPr>
          <w:p>
            <w:pPr>
              <w:spacing w:after="0" w:line="217" w:lineRule="exact"/>
              <w:rPr>
                <w:sz w:val="20"/>
                <w:szCs w:val="20"/>
                <w:color w:val="auto"/>
              </w:rPr>
            </w:pPr>
            <w:r>
              <w:rPr>
                <w:rFonts w:ascii="Arial" w:cs="Arial" w:eastAsia="Arial" w:hAnsi="Arial"/>
                <w:sz w:val="16"/>
                <w:szCs w:val="16"/>
                <w:color w:val="auto"/>
              </w:rPr>
              <w:t>SP</w:t>
            </w:r>
            <w:r>
              <w:rPr>
                <w:rFonts w:ascii="Arial" w:cs="Arial" w:eastAsia="Arial" w:hAnsi="Arial"/>
                <w:sz w:val="25"/>
                <w:szCs w:val="25"/>
                <w:color w:val="auto"/>
                <w:vertAlign w:val="subscript"/>
              </w:rPr>
              <w:t>0</w:t>
            </w: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880" w:type="dxa"/>
            <w:vAlign w:val="bottom"/>
          </w:tcPr>
          <w:p>
            <w:pPr>
              <w:ind w:left="180"/>
              <w:spacing w:after="0"/>
              <w:rPr>
                <w:sz w:val="20"/>
                <w:szCs w:val="20"/>
                <w:color w:val="auto"/>
              </w:rPr>
            </w:pPr>
            <w:r>
              <w:rPr>
                <w:rFonts w:ascii="Arial" w:cs="Arial" w:eastAsia="Arial" w:hAnsi="Arial"/>
                <w:sz w:val="18"/>
                <w:szCs w:val="18"/>
                <w:color w:val="auto"/>
                <w:w w:val="90"/>
              </w:rPr>
              <w:t>the average of the Closing Sale Prices of the Common Stock over the 10 consecutive Trading Day period ending on, and including, the</w:t>
            </w:r>
          </w:p>
        </w:tc>
      </w:tr>
      <w:tr>
        <w:trPr>
          <w:trHeight w:val="215"/>
        </w:trPr>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80" w:type="dxa"/>
            <w:vAlign w:val="bottom"/>
          </w:tcPr>
          <w:p>
            <w:pPr>
              <w:ind w:left="180"/>
              <w:spacing w:after="0"/>
              <w:rPr>
                <w:sz w:val="20"/>
                <w:szCs w:val="20"/>
                <w:color w:val="auto"/>
              </w:rPr>
            </w:pPr>
            <w:r>
              <w:rPr>
                <w:rFonts w:ascii="Arial" w:cs="Arial" w:eastAsia="Arial" w:hAnsi="Arial"/>
                <w:sz w:val="18"/>
                <w:szCs w:val="18"/>
                <w:color w:val="auto"/>
              </w:rPr>
              <w:t>Trading Day immediately preceding the Ex-Dividend Date for such distribution; and</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FMV</w:t>
            </w:r>
          </w:p>
        </w:tc>
        <w:tc>
          <w:tcPr>
            <w:tcW w:w="800" w:type="dxa"/>
            <w:vAlign w:val="bottom"/>
          </w:tcPr>
          <w:p>
            <w:pPr>
              <w:spacing w:after="0"/>
              <w:rPr>
                <w:sz w:val="18"/>
                <w:szCs w:val="18"/>
                <w:color w:val="auto"/>
              </w:rPr>
            </w:pPr>
          </w:p>
        </w:tc>
        <w:tc>
          <w:tcPr>
            <w:tcW w:w="9880" w:type="dxa"/>
            <w:vAlign w:val="bottom"/>
          </w:tcPr>
          <w:p>
            <w:pPr>
              <w:ind w:left="180"/>
              <w:spacing w:after="0"/>
              <w:rPr>
                <w:sz w:val="20"/>
                <w:szCs w:val="20"/>
                <w:color w:val="auto"/>
              </w:rPr>
            </w:pPr>
            <w:r>
              <w:rPr>
                <w:rFonts w:ascii="Arial" w:cs="Arial" w:eastAsia="Arial" w:hAnsi="Arial"/>
                <w:sz w:val="18"/>
                <w:szCs w:val="18"/>
                <w:color w:val="auto"/>
                <w:w w:val="91"/>
              </w:rPr>
              <w:t>the fair market value (as determined in good faith by the Board of Directors) of the shares of capital stock, evidences of indebtedness,</w:t>
            </w:r>
          </w:p>
        </w:tc>
      </w:tr>
      <w:tr>
        <w:trPr>
          <w:trHeight w:val="216"/>
        </w:trPr>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80" w:type="dxa"/>
            <w:vAlign w:val="bottom"/>
          </w:tcPr>
          <w:p>
            <w:pPr>
              <w:ind w:left="180"/>
              <w:spacing w:after="0"/>
              <w:rPr>
                <w:sz w:val="20"/>
                <w:szCs w:val="20"/>
                <w:color w:val="auto"/>
              </w:rPr>
            </w:pPr>
            <w:r>
              <w:rPr>
                <w:rFonts w:ascii="Arial" w:cs="Arial" w:eastAsia="Arial" w:hAnsi="Arial"/>
                <w:sz w:val="18"/>
                <w:szCs w:val="18"/>
                <w:color w:val="auto"/>
                <w:w w:val="90"/>
              </w:rPr>
              <w:t>assets or property or rights, options or warrants distributed with respect to each outstanding share of Common Stock as of the Open of</w:t>
            </w:r>
          </w:p>
        </w:tc>
      </w:tr>
      <w:tr>
        <w:trPr>
          <w:trHeight w:val="230"/>
        </w:trPr>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880" w:type="dxa"/>
            <w:vAlign w:val="bottom"/>
          </w:tcPr>
          <w:p>
            <w:pPr>
              <w:ind w:left="180"/>
              <w:spacing w:after="0"/>
              <w:rPr>
                <w:sz w:val="20"/>
                <w:szCs w:val="20"/>
                <w:color w:val="auto"/>
              </w:rPr>
            </w:pPr>
            <w:r>
              <w:rPr>
                <w:rFonts w:ascii="Arial" w:cs="Arial" w:eastAsia="Arial" w:hAnsi="Arial"/>
                <w:sz w:val="18"/>
                <w:szCs w:val="18"/>
                <w:color w:val="auto"/>
              </w:rPr>
              <w:t>Business on the Ex-Dividend Date for such distribution.</w:t>
            </w:r>
          </w:p>
        </w:tc>
      </w:tr>
    </w:tbl>
    <w:p>
      <w:pPr>
        <w:spacing w:after="0" w:line="202"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Any increase made under the above portion of this Section 5.05(c) shall become effective immediately after the Open of Business on the Ex-Dividend Date for such distribution. No adjustment pursuant to the above formula will result in a decrease of the Conversion Rate. However, if such distribution is not so paid or made, the Conversion Rate shall be readjusted to be the Conversion Rate that would then be in effect if such distribution had not been declared.</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3" w:name="page34"/>
    <w:bookmarkEnd w:id="33"/>
    <w:p>
      <w:pPr>
        <w:ind w:firstLine="648"/>
        <w:spacing w:after="0" w:line="278" w:lineRule="auto"/>
        <w:rPr>
          <w:sz w:val="20"/>
          <w:szCs w:val="20"/>
          <w:color w:val="auto"/>
        </w:rPr>
      </w:pPr>
      <w:r>
        <w:rPr>
          <w:rFonts w:ascii="Arial" w:cs="Arial" w:eastAsia="Arial" w:hAnsi="Arial"/>
          <w:sz w:val="17"/>
          <w:szCs w:val="17"/>
          <w:color w:val="auto"/>
        </w:rPr>
        <w:t>Notwithstanding the foregoing, if “FMV” (as defined above) is equal to or greater than “SP</w:t>
      </w:r>
      <w:r>
        <w:rPr>
          <w:rFonts w:ascii="Arial" w:cs="Arial" w:eastAsia="Arial" w:hAnsi="Arial"/>
          <w:sz w:val="28"/>
          <w:szCs w:val="28"/>
          <w:color w:val="auto"/>
          <w:vertAlign w:val="subscript"/>
        </w:rPr>
        <w:t>0</w:t>
      </w:r>
      <w:r>
        <w:rPr>
          <w:rFonts w:ascii="Arial" w:cs="Arial" w:eastAsia="Arial" w:hAnsi="Arial"/>
          <w:sz w:val="17"/>
          <w:szCs w:val="17"/>
          <w:color w:val="auto"/>
        </w:rPr>
        <w:t>” (as defined above), in lieu of the foregoing increase, each Holder of a Note shall receive (without having to convert its notes), in respect of each $1,000 Original Principal Amount thereof, at the same time and upon the same terms as holders of the Common Stock, the amount and type of the Relevant Distribution that such Holder would have received if such Holder owned a number of shares of Common Stock equal to the Conversion Rate on the Record Date for the distribution.</w:t>
      </w:r>
    </w:p>
    <w:p>
      <w:pPr>
        <w:spacing w:after="0" w:line="171" w:lineRule="exact"/>
        <w:rPr>
          <w:sz w:val="20"/>
          <w:szCs w:val="20"/>
          <w:color w:val="auto"/>
        </w:rPr>
      </w:pPr>
    </w:p>
    <w:p>
      <w:pPr>
        <w:jc w:val="both"/>
        <w:ind w:right="40" w:firstLine="656"/>
        <w:spacing w:after="0" w:line="259" w:lineRule="auto"/>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 respect to an adjustment pursuant to this Section 5.05(c) where there has been an Ex-Dividend Date for a dividend or other distribution on the Common Stock of shares of capital stock of any class or series, or similar equity interest, of or relating to a Subsidiary or other business unit, that are, or, when issued, will be, listed or admitted for trading on a U.S. national securities exchange (a “</w:t>
      </w:r>
      <w:r>
        <w:rPr>
          <w:rFonts w:ascii="Arial" w:cs="Arial" w:eastAsia="Arial" w:hAnsi="Arial"/>
          <w:sz w:val="18"/>
          <w:szCs w:val="18"/>
          <w:u w:val="single" w:color="auto"/>
          <w:color w:val="auto"/>
        </w:rPr>
        <w:t>Spin-Off</w:t>
      </w:r>
      <w:r>
        <w:rPr>
          <w:rFonts w:ascii="Arial" w:cs="Arial" w:eastAsia="Arial" w:hAnsi="Arial"/>
          <w:sz w:val="18"/>
          <w:szCs w:val="18"/>
          <w:color w:val="auto"/>
        </w:rPr>
        <w:t>”),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127635</wp:posOffset>
            </wp:positionV>
            <wp:extent cx="1844040" cy="4718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84404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where,</w:t>
            </w:r>
          </w:p>
        </w:tc>
        <w:tc>
          <w:tcPr>
            <w:tcW w:w="37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120" w:type="dxa"/>
            <w:vAlign w:val="bottom"/>
          </w:tcPr>
          <w:p>
            <w:pPr>
              <w:spacing w:after="0"/>
              <w:rPr>
                <w:sz w:val="20"/>
                <w:szCs w:val="20"/>
                <w:color w:val="auto"/>
              </w:rPr>
            </w:pPr>
          </w:p>
        </w:tc>
      </w:tr>
      <w:tr>
        <w:trPr>
          <w:trHeight w:val="431"/>
        </w:trPr>
        <w:tc>
          <w:tcPr>
            <w:tcW w:w="52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30"/>
                <w:szCs w:val="30"/>
                <w:color w:val="auto"/>
                <w:vertAlign w:val="subscript"/>
              </w:rPr>
              <w:t>0</w:t>
            </w: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040" w:type="dxa"/>
            <w:vAlign w:val="bottom"/>
            <w:gridSpan w:val="3"/>
          </w:tcPr>
          <w:p>
            <w:pPr>
              <w:ind w:left="180"/>
              <w:spacing w:after="0"/>
              <w:rPr>
                <w:sz w:val="20"/>
                <w:szCs w:val="20"/>
                <w:color w:val="auto"/>
              </w:rPr>
            </w:pPr>
            <w:r>
              <w:rPr>
                <w:rFonts w:ascii="Arial" w:cs="Arial" w:eastAsia="Arial" w:hAnsi="Arial"/>
                <w:sz w:val="18"/>
                <w:szCs w:val="18"/>
                <w:color w:val="auto"/>
              </w:rPr>
              <w:t>the Conversion Rate in effect immediately prior to the Open of Business on the Ex-Dividend Date for the Spin-Off;</w:t>
            </w:r>
          </w:p>
        </w:tc>
      </w:tr>
      <w:tr>
        <w:trPr>
          <w:trHeight w:val="230"/>
        </w:trPr>
        <w:tc>
          <w:tcPr>
            <w:tcW w:w="520" w:type="dxa"/>
            <w:vAlign w:val="bottom"/>
          </w:tcPr>
          <w:p>
            <w:pPr>
              <w:spacing w:after="0" w:line="230" w:lineRule="exact"/>
              <w:rPr>
                <w:sz w:val="20"/>
                <w:szCs w:val="20"/>
                <w:color w:val="auto"/>
              </w:rPr>
            </w:pPr>
            <w:r>
              <w:rPr>
                <w:rFonts w:ascii="Arial" w:cs="Arial" w:eastAsia="Arial" w:hAnsi="Arial"/>
                <w:sz w:val="16"/>
                <w:szCs w:val="16"/>
                <w:color w:val="auto"/>
              </w:rPr>
              <w:t>CR</w:t>
            </w:r>
            <w:r>
              <w:rPr>
                <w:rFonts w:ascii="Arial" w:cs="Arial" w:eastAsia="Arial" w:hAnsi="Arial"/>
                <w:sz w:val="26"/>
                <w:szCs w:val="26"/>
                <w:color w:val="auto"/>
                <w:vertAlign w:val="subscript"/>
              </w:rPr>
              <w:t>1</w:t>
            </w: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040" w:type="dxa"/>
            <w:vAlign w:val="bottom"/>
            <w:gridSpan w:val="3"/>
          </w:tcPr>
          <w:p>
            <w:pPr>
              <w:ind w:left="180"/>
              <w:spacing w:after="0"/>
              <w:rPr>
                <w:sz w:val="20"/>
                <w:szCs w:val="20"/>
                <w:color w:val="auto"/>
              </w:rPr>
            </w:pPr>
            <w:r>
              <w:rPr>
                <w:rFonts w:ascii="Arial" w:cs="Arial" w:eastAsia="Arial" w:hAnsi="Arial"/>
                <w:sz w:val="18"/>
                <w:szCs w:val="18"/>
                <w:color w:val="auto"/>
              </w:rPr>
              <w:t>the Conversion Rate in effect immediately after the Open of Business on the Ex-Dividend Date for the Spin-Off;</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FMV</w:t>
            </w: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040" w:type="dxa"/>
            <w:vAlign w:val="bottom"/>
            <w:gridSpan w:val="3"/>
          </w:tcPr>
          <w:p>
            <w:pPr>
              <w:ind w:left="180"/>
              <w:spacing w:after="0"/>
              <w:rPr>
                <w:sz w:val="20"/>
                <w:szCs w:val="20"/>
                <w:color w:val="auto"/>
              </w:rPr>
            </w:pPr>
            <w:r>
              <w:rPr>
                <w:rFonts w:ascii="Arial" w:cs="Arial" w:eastAsia="Arial" w:hAnsi="Arial"/>
                <w:sz w:val="18"/>
                <w:szCs w:val="18"/>
                <w:color w:val="auto"/>
                <w:w w:val="90"/>
              </w:rPr>
              <w:t>the average of the Closing Sale Prices of the capital stock or similar equity interest distributed to holders of Common Stock applicable to</w:t>
            </w:r>
          </w:p>
        </w:tc>
      </w:tr>
      <w:tr>
        <w:trPr>
          <w:trHeight w:val="216"/>
        </w:trPr>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40" w:type="dxa"/>
            <w:vAlign w:val="bottom"/>
            <w:gridSpan w:val="3"/>
          </w:tcPr>
          <w:p>
            <w:pPr>
              <w:ind w:left="180"/>
              <w:spacing w:after="0"/>
              <w:rPr>
                <w:sz w:val="20"/>
                <w:szCs w:val="20"/>
                <w:color w:val="auto"/>
              </w:rPr>
            </w:pPr>
            <w:r>
              <w:rPr>
                <w:rFonts w:ascii="Arial" w:cs="Arial" w:eastAsia="Arial" w:hAnsi="Arial"/>
                <w:sz w:val="18"/>
                <w:szCs w:val="18"/>
                <w:color w:val="auto"/>
                <w:w w:val="90"/>
              </w:rPr>
              <w:t>one share of Common Stock (determined by reference to the definition of “Closing Sale Price” as if references therein to Common Stock</w:t>
            </w:r>
          </w:p>
        </w:tc>
      </w:tr>
      <w:tr>
        <w:trPr>
          <w:trHeight w:val="216"/>
        </w:trPr>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40" w:type="dxa"/>
            <w:vAlign w:val="bottom"/>
            <w:gridSpan w:val="3"/>
          </w:tcPr>
          <w:p>
            <w:pPr>
              <w:ind w:left="180"/>
              <w:spacing w:after="0"/>
              <w:rPr>
                <w:sz w:val="20"/>
                <w:szCs w:val="20"/>
                <w:color w:val="auto"/>
              </w:rPr>
            </w:pPr>
            <w:r>
              <w:rPr>
                <w:rFonts w:ascii="Arial" w:cs="Arial" w:eastAsia="Arial" w:hAnsi="Arial"/>
                <w:sz w:val="18"/>
                <w:szCs w:val="18"/>
                <w:color w:val="auto"/>
                <w:w w:val="91"/>
              </w:rPr>
              <w:t>were to such capital stock or similar equity interest) over the first 10 consecutive Trading Day period commencing on, and including, the</w:t>
            </w:r>
          </w:p>
        </w:tc>
      </w:tr>
      <w:tr>
        <w:trPr>
          <w:trHeight w:val="190"/>
        </w:trPr>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40" w:type="dxa"/>
            <w:vAlign w:val="bottom"/>
            <w:gridSpan w:val="3"/>
          </w:tcPr>
          <w:p>
            <w:pPr>
              <w:ind w:left="180"/>
              <w:spacing w:after="0" w:line="190" w:lineRule="exact"/>
              <w:rPr>
                <w:sz w:val="20"/>
                <w:szCs w:val="20"/>
                <w:color w:val="auto"/>
              </w:rPr>
            </w:pPr>
            <w:r>
              <w:rPr>
                <w:rFonts w:ascii="Arial" w:cs="Arial" w:eastAsia="Arial" w:hAnsi="Arial"/>
                <w:sz w:val="18"/>
                <w:szCs w:val="18"/>
                <w:color w:val="auto"/>
              </w:rPr>
              <w:t>effective date for the Spin-Off (such period, the “Valuation Period”); and</w:t>
            </w:r>
          </w:p>
        </w:tc>
      </w:tr>
      <w:tr>
        <w:trPr>
          <w:trHeight w:val="20"/>
        </w:trPr>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r>
        <w:trPr>
          <w:trHeight w:val="384"/>
        </w:trPr>
        <w:tc>
          <w:tcPr>
            <w:tcW w:w="520" w:type="dxa"/>
            <w:vAlign w:val="bottom"/>
          </w:tcPr>
          <w:p>
            <w:pPr>
              <w:spacing w:after="0"/>
              <w:rPr>
                <w:sz w:val="20"/>
                <w:szCs w:val="20"/>
                <w:color w:val="auto"/>
              </w:rPr>
            </w:pPr>
            <w:r>
              <w:rPr>
                <w:rFonts w:ascii="Arial" w:cs="Arial" w:eastAsia="Arial" w:hAnsi="Arial"/>
                <w:sz w:val="18"/>
                <w:szCs w:val="18"/>
                <w:color w:val="auto"/>
              </w:rPr>
              <w:t>MP</w:t>
            </w:r>
            <w:r>
              <w:rPr>
                <w:rFonts w:ascii="Arial" w:cs="Arial" w:eastAsia="Arial" w:hAnsi="Arial"/>
                <w:sz w:val="30"/>
                <w:szCs w:val="30"/>
                <w:color w:val="auto"/>
                <w:vertAlign w:val="subscript"/>
              </w:rPr>
              <w:t>0</w:t>
            </w: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040" w:type="dxa"/>
            <w:vAlign w:val="bottom"/>
            <w:gridSpan w:val="3"/>
          </w:tcPr>
          <w:p>
            <w:pPr>
              <w:ind w:left="180"/>
              <w:spacing w:after="0"/>
              <w:rPr>
                <w:sz w:val="20"/>
                <w:szCs w:val="20"/>
                <w:color w:val="auto"/>
              </w:rPr>
            </w:pPr>
            <w:r>
              <w:rPr>
                <w:rFonts w:ascii="Arial" w:cs="Arial" w:eastAsia="Arial" w:hAnsi="Arial"/>
                <w:sz w:val="18"/>
                <w:szCs w:val="18"/>
                <w:color w:val="auto"/>
              </w:rPr>
              <w:t>the average of the Closing Sale Prices of the Common Stock over the Valuation Period.</w:t>
            </w:r>
          </w:p>
        </w:tc>
      </w:tr>
    </w:tbl>
    <w:p>
      <w:pPr>
        <w:spacing w:after="0" w:line="68"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The adjustment to the Conversion Rate under the preceding paragraph of this Section 5.05(c) shall be determined on the last day of the Valuation Period but will be given effect immediately after the Open of Business on the Ex-Dividend Date for the Spin-Off. In respect of any conversion during the Valuation Period for any Spin-Off, references within this Section 5.05(c)(B) related to 10 Trading Days shall be deemed to be replaced with such lesser number of Trading Days as have elapsed from, and including, the effective date for such Spin-Off to, but excluding, the relevant Conversion Date.</w:t>
      </w:r>
    </w:p>
    <w:p>
      <w:pPr>
        <w:spacing w:after="0" w:line="154" w:lineRule="exact"/>
        <w:rPr>
          <w:sz w:val="20"/>
          <w:szCs w:val="20"/>
          <w:color w:val="auto"/>
        </w:rPr>
      </w:pPr>
    </w:p>
    <w:p>
      <w:pPr>
        <w:jc w:val="both"/>
        <w:ind w:right="240" w:firstLine="656"/>
        <w:spacing w:after="0" w:line="264" w:lineRule="auto"/>
        <w:tabs>
          <w:tab w:leader="none" w:pos="1533"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an Ex-Dividend Date occurs for a cash dividend or distribution to all or substantially all holders of the outstanding Common Stock (other than any dividend or distribution in connection with the Company’s liquidation, dissolution or winding up),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124460</wp:posOffset>
            </wp:positionV>
            <wp:extent cx="1629410" cy="5060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62941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563" w:right="29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where,</w:t>
            </w:r>
          </w:p>
        </w:tc>
        <w:tc>
          <w:tcPr>
            <w:tcW w:w="9880" w:type="dxa"/>
            <w:vAlign w:val="bottom"/>
          </w:tcPr>
          <w:p>
            <w:pPr>
              <w:spacing w:after="0"/>
              <w:rPr>
                <w:sz w:val="20"/>
                <w:szCs w:val="20"/>
                <w:color w:val="auto"/>
              </w:rPr>
            </w:pPr>
          </w:p>
        </w:tc>
      </w:tr>
      <w:tr>
        <w:trPr>
          <w:trHeight w:val="431"/>
        </w:trPr>
        <w:tc>
          <w:tcPr>
            <w:tcW w:w="4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30"/>
                <w:szCs w:val="30"/>
                <w:color w:val="auto"/>
                <w:vertAlign w:val="subscript"/>
              </w:rPr>
              <w:t>0</w:t>
            </w: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880" w:type="dxa"/>
            <w:vAlign w:val="bottom"/>
          </w:tcPr>
          <w:p>
            <w:pPr>
              <w:ind w:left="180"/>
              <w:spacing w:after="0"/>
              <w:rPr>
                <w:sz w:val="20"/>
                <w:szCs w:val="20"/>
                <w:color w:val="auto"/>
              </w:rPr>
            </w:pPr>
            <w:r>
              <w:rPr>
                <w:rFonts w:ascii="Arial" w:cs="Arial" w:eastAsia="Arial" w:hAnsi="Arial"/>
                <w:sz w:val="18"/>
                <w:szCs w:val="18"/>
                <w:color w:val="auto"/>
              </w:rPr>
              <w:t>the Conversion Rate in effect immediately prior to the Open of Business on the Ex-Dividend Date for such distribution;</w:t>
            </w:r>
          </w:p>
        </w:tc>
      </w:tr>
      <w:tr>
        <w:trPr>
          <w:trHeight w:val="230"/>
        </w:trPr>
        <w:tc>
          <w:tcPr>
            <w:tcW w:w="480" w:type="dxa"/>
            <w:vAlign w:val="bottom"/>
          </w:tcPr>
          <w:p>
            <w:pPr>
              <w:spacing w:after="0" w:line="230" w:lineRule="exact"/>
              <w:rPr>
                <w:sz w:val="20"/>
                <w:szCs w:val="20"/>
                <w:color w:val="auto"/>
              </w:rPr>
            </w:pPr>
            <w:r>
              <w:rPr>
                <w:rFonts w:ascii="Arial" w:cs="Arial" w:eastAsia="Arial" w:hAnsi="Arial"/>
                <w:sz w:val="16"/>
                <w:szCs w:val="16"/>
                <w:color w:val="auto"/>
              </w:rPr>
              <w:t>CR</w:t>
            </w:r>
            <w:r>
              <w:rPr>
                <w:rFonts w:ascii="Arial" w:cs="Arial" w:eastAsia="Arial" w:hAnsi="Arial"/>
                <w:sz w:val="26"/>
                <w:szCs w:val="26"/>
                <w:color w:val="auto"/>
                <w:vertAlign w:val="subscript"/>
              </w:rPr>
              <w:t>1</w:t>
            </w: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880" w:type="dxa"/>
            <w:vAlign w:val="bottom"/>
          </w:tcPr>
          <w:p>
            <w:pPr>
              <w:ind w:left="180"/>
              <w:spacing w:after="0"/>
              <w:rPr>
                <w:sz w:val="20"/>
                <w:szCs w:val="20"/>
                <w:color w:val="auto"/>
              </w:rPr>
            </w:pPr>
            <w:r>
              <w:rPr>
                <w:rFonts w:ascii="Arial" w:cs="Arial" w:eastAsia="Arial" w:hAnsi="Arial"/>
                <w:sz w:val="18"/>
                <w:szCs w:val="18"/>
                <w:color w:val="auto"/>
              </w:rPr>
              <w:t>the Conversion Rate in effect immediately after the Open of Business on the Ex-Dividend Date for such distribution;</w:t>
            </w:r>
          </w:p>
        </w:tc>
      </w:tr>
      <w:tr>
        <w:trPr>
          <w:trHeight w:val="217"/>
        </w:trPr>
        <w:tc>
          <w:tcPr>
            <w:tcW w:w="480" w:type="dxa"/>
            <w:vAlign w:val="bottom"/>
          </w:tcPr>
          <w:p>
            <w:pPr>
              <w:spacing w:after="0" w:line="217" w:lineRule="exact"/>
              <w:rPr>
                <w:sz w:val="20"/>
                <w:szCs w:val="20"/>
                <w:color w:val="auto"/>
              </w:rPr>
            </w:pPr>
            <w:r>
              <w:rPr>
                <w:rFonts w:ascii="Arial" w:cs="Arial" w:eastAsia="Arial" w:hAnsi="Arial"/>
                <w:sz w:val="16"/>
                <w:szCs w:val="16"/>
                <w:color w:val="auto"/>
              </w:rPr>
              <w:t>SP</w:t>
            </w:r>
            <w:r>
              <w:rPr>
                <w:rFonts w:ascii="Arial" w:cs="Arial" w:eastAsia="Arial" w:hAnsi="Arial"/>
                <w:sz w:val="25"/>
                <w:szCs w:val="25"/>
                <w:color w:val="auto"/>
                <w:vertAlign w:val="subscript"/>
              </w:rPr>
              <w:t>0</w:t>
            </w: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880" w:type="dxa"/>
            <w:vAlign w:val="bottom"/>
          </w:tcPr>
          <w:p>
            <w:pPr>
              <w:ind w:left="180"/>
              <w:spacing w:after="0"/>
              <w:rPr>
                <w:sz w:val="20"/>
                <w:szCs w:val="20"/>
                <w:color w:val="auto"/>
              </w:rPr>
            </w:pPr>
            <w:r>
              <w:rPr>
                <w:rFonts w:ascii="Arial" w:cs="Arial" w:eastAsia="Arial" w:hAnsi="Arial"/>
                <w:sz w:val="18"/>
                <w:szCs w:val="18"/>
                <w:color w:val="auto"/>
                <w:w w:val="90"/>
              </w:rPr>
              <w:t>the average of the Closing Sale Prices of the Common Stock over the 10 consecutive Trading Day period ending on, and including, the</w:t>
            </w:r>
          </w:p>
        </w:tc>
      </w:tr>
      <w:tr>
        <w:trPr>
          <w:trHeight w:val="230"/>
        </w:trPr>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80" w:type="dxa"/>
            <w:vAlign w:val="bottom"/>
          </w:tcPr>
          <w:p>
            <w:pPr>
              <w:ind w:left="180"/>
              <w:spacing w:after="0"/>
              <w:rPr>
                <w:sz w:val="20"/>
                <w:szCs w:val="20"/>
                <w:color w:val="auto"/>
              </w:rPr>
            </w:pPr>
            <w:r>
              <w:rPr>
                <w:rFonts w:ascii="Arial" w:cs="Arial" w:eastAsia="Arial" w:hAnsi="Arial"/>
                <w:sz w:val="18"/>
                <w:szCs w:val="18"/>
                <w:color w:val="auto"/>
              </w:rPr>
              <w:t>Trading Day immediately preceding the Ex-Dividend Date for such distribution; and</w:t>
            </w:r>
          </w:p>
        </w:tc>
      </w:tr>
    </w:tbl>
    <w:p>
      <w:pPr>
        <w:ind w:left="920" w:hanging="912"/>
        <w:spacing w:after="0"/>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the amount in cash per share of Common Stock the Company pays, or distributes, to all or substantially all holders of the Common Stock.</w:t>
      </w:r>
    </w:p>
    <w:p>
      <w:pPr>
        <w:spacing w:after="0" w:line="2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Any increase made under this Section 5.05(d) shall become effective immediately after the Open of Business on the Ex-Dividend Date for such dividend or distribution. No adjustment pursuant to the above formula will result in a decrease of the Conversion Rate. However, if any dividend or distribution described in this Section 5.05(d) is declared but not so paid or made, the Conversion Rate shall be readjusted to the Conversion Rate that would then be in effect if such dividend or distribution had not been declared.</w:t>
      </w:r>
    </w:p>
    <w:p>
      <w:pPr>
        <w:spacing w:after="0" w:line="58"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8"/>
          <w:szCs w:val="18"/>
          <w:color w:val="auto"/>
        </w:rPr>
        <w:t>Notwithstanding the foregoing, if “C” (as defined above) is equal to or greater than “SP</w:t>
      </w:r>
      <w:r>
        <w:rPr>
          <w:rFonts w:ascii="Arial" w:cs="Arial" w:eastAsia="Arial" w:hAnsi="Arial"/>
          <w:sz w:val="30"/>
          <w:szCs w:val="30"/>
          <w:color w:val="auto"/>
          <w:vertAlign w:val="subscript"/>
        </w:rPr>
        <w:t>0</w:t>
      </w:r>
      <w:r>
        <w:rPr>
          <w:rFonts w:ascii="Arial" w:cs="Arial" w:eastAsia="Arial" w:hAnsi="Arial"/>
          <w:sz w:val="18"/>
          <w:szCs w:val="18"/>
          <w:color w:val="auto"/>
        </w:rPr>
        <w:t>” (as defined above), in lieu of the foregoing increase, each Holder of a Note shall receive (without having to convert its Notes) for each $1,000 Original Principal Amount of Notes, at the same time and upon the same terms as holders of shares of Common Stock, the amount of cash that such Holder would have received if such Holder owned a number of shares of Common Stock equal to the Conversion Rate on the Record Date for such cash dividend or distribution.</w:t>
      </w:r>
    </w:p>
    <w:p>
      <w:pPr>
        <w:spacing w:after="0" w:line="189" w:lineRule="exact"/>
        <w:rPr>
          <w:sz w:val="20"/>
          <w:szCs w:val="20"/>
          <w:color w:val="auto"/>
        </w:rPr>
      </w:pPr>
    </w:p>
    <w:p>
      <w:pPr>
        <w:ind w:right="20" w:firstLine="656"/>
        <w:spacing w:after="0" w:line="257" w:lineRule="auto"/>
        <w:tabs>
          <w:tab w:leader="none" w:pos="1568"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the Company or any of its Subsidiaries makes a payment in respect of a tender or exchange offer for the Common Stock and, if the cash and value of any other consideration included in the payment per share of Common Stock exceeds the average of the Closing Sale Prices of the Common Stock over the 10 consecutive Trading Day period commencing on, and including, the Trading Day next succeeding the last date on which tenders or exchanges may be made pursuant to such tender or exchange offer (the “</w:t>
      </w:r>
      <w:r>
        <w:rPr>
          <w:rFonts w:ascii="Arial" w:cs="Arial" w:eastAsia="Arial" w:hAnsi="Arial"/>
          <w:sz w:val="18"/>
          <w:szCs w:val="18"/>
          <w:u w:val="single" w:color="auto"/>
          <w:color w:val="auto"/>
        </w:rPr>
        <w:t>Expiration Date</w:t>
      </w:r>
      <w:r>
        <w:rPr>
          <w:rFonts w:ascii="Arial" w:cs="Arial" w:eastAsia="Arial" w:hAnsi="Arial"/>
          <w:sz w:val="18"/>
          <w:szCs w:val="18"/>
          <w:color w:val="auto"/>
        </w:rPr>
        <w:t>”),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128905</wp:posOffset>
            </wp:positionV>
            <wp:extent cx="2195195" cy="5060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219519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where,</w:t>
            </w:r>
          </w:p>
        </w:tc>
        <w:tc>
          <w:tcPr>
            <w:tcW w:w="10100" w:type="dxa"/>
            <w:vAlign w:val="bottom"/>
          </w:tcPr>
          <w:p>
            <w:pPr>
              <w:spacing w:after="0"/>
              <w:rPr>
                <w:sz w:val="20"/>
                <w:szCs w:val="20"/>
                <w:color w:val="auto"/>
              </w:rPr>
            </w:pPr>
          </w:p>
        </w:tc>
      </w:tr>
      <w:tr>
        <w:trPr>
          <w:trHeight w:val="431"/>
        </w:trPr>
        <w:tc>
          <w:tcPr>
            <w:tcW w:w="4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30"/>
                <w:szCs w:val="30"/>
                <w:color w:val="auto"/>
                <w:vertAlign w:val="subscript"/>
              </w:rPr>
              <w:t>0</w:t>
            </w: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100" w:type="dxa"/>
            <w:vAlign w:val="bottom"/>
          </w:tcPr>
          <w:p>
            <w:pPr>
              <w:ind w:left="180"/>
              <w:spacing w:after="0"/>
              <w:rPr>
                <w:sz w:val="20"/>
                <w:szCs w:val="20"/>
                <w:color w:val="auto"/>
              </w:rPr>
            </w:pPr>
            <w:r>
              <w:rPr>
                <w:rFonts w:ascii="Arial" w:cs="Arial" w:eastAsia="Arial" w:hAnsi="Arial"/>
                <w:sz w:val="18"/>
                <w:szCs w:val="18"/>
                <w:color w:val="auto"/>
                <w:w w:val="96"/>
              </w:rPr>
              <w:t>the Conversion Rate in effect immediately prior to the Open of Business on the Trading Day next succeeding the Expiration Date;</w:t>
            </w:r>
          </w:p>
        </w:tc>
      </w:tr>
      <w:tr>
        <w:trPr>
          <w:trHeight w:val="230"/>
        </w:trPr>
        <w:tc>
          <w:tcPr>
            <w:tcW w:w="480" w:type="dxa"/>
            <w:vAlign w:val="bottom"/>
          </w:tcPr>
          <w:p>
            <w:pPr>
              <w:spacing w:after="0" w:line="230" w:lineRule="exact"/>
              <w:rPr>
                <w:sz w:val="20"/>
                <w:szCs w:val="20"/>
                <w:color w:val="auto"/>
              </w:rPr>
            </w:pPr>
            <w:r>
              <w:rPr>
                <w:rFonts w:ascii="Arial" w:cs="Arial" w:eastAsia="Arial" w:hAnsi="Arial"/>
                <w:sz w:val="16"/>
                <w:szCs w:val="16"/>
                <w:color w:val="auto"/>
              </w:rPr>
              <w:t>CR</w:t>
            </w:r>
            <w:r>
              <w:rPr>
                <w:rFonts w:ascii="Arial" w:cs="Arial" w:eastAsia="Arial" w:hAnsi="Arial"/>
                <w:sz w:val="26"/>
                <w:szCs w:val="26"/>
                <w:color w:val="auto"/>
                <w:vertAlign w:val="subscript"/>
              </w:rPr>
              <w:t>1</w:t>
            </w: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100" w:type="dxa"/>
            <w:vAlign w:val="bottom"/>
          </w:tcPr>
          <w:p>
            <w:pPr>
              <w:ind w:left="180"/>
              <w:spacing w:after="0"/>
              <w:rPr>
                <w:sz w:val="20"/>
                <w:szCs w:val="20"/>
                <w:color w:val="auto"/>
              </w:rPr>
            </w:pPr>
            <w:r>
              <w:rPr>
                <w:rFonts w:ascii="Arial" w:cs="Arial" w:eastAsia="Arial" w:hAnsi="Arial"/>
                <w:sz w:val="18"/>
                <w:szCs w:val="18"/>
                <w:color w:val="auto"/>
                <w:w w:val="98"/>
              </w:rPr>
              <w:t>the Conversion Rate in effect immediately after the Open of Business on the Trading Day next succeeding the Expiration Date;</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AC</w:t>
            </w: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100" w:type="dxa"/>
            <w:vAlign w:val="bottom"/>
          </w:tcPr>
          <w:p>
            <w:pPr>
              <w:ind w:left="180"/>
              <w:spacing w:after="0"/>
              <w:rPr>
                <w:sz w:val="20"/>
                <w:szCs w:val="20"/>
                <w:color w:val="auto"/>
              </w:rPr>
            </w:pPr>
            <w:r>
              <w:rPr>
                <w:rFonts w:ascii="Arial" w:cs="Arial" w:eastAsia="Arial" w:hAnsi="Arial"/>
                <w:sz w:val="18"/>
                <w:szCs w:val="18"/>
                <w:color w:val="auto"/>
                <w:w w:val="92"/>
              </w:rPr>
              <w:t>the aggregate value of all cash and any other consideration (as determined in good faith by the Board of Directors) paid or payable for</w:t>
            </w:r>
          </w:p>
        </w:tc>
      </w:tr>
      <w:tr>
        <w:trPr>
          <w:trHeight w:val="230"/>
        </w:trPr>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100" w:type="dxa"/>
            <w:vAlign w:val="bottom"/>
          </w:tcPr>
          <w:p>
            <w:pPr>
              <w:ind w:left="180"/>
              <w:spacing w:after="0"/>
              <w:rPr>
                <w:sz w:val="20"/>
                <w:szCs w:val="20"/>
                <w:color w:val="auto"/>
              </w:rPr>
            </w:pPr>
            <w:r>
              <w:rPr>
                <w:rFonts w:ascii="Arial" w:cs="Arial" w:eastAsia="Arial" w:hAnsi="Arial"/>
                <w:sz w:val="18"/>
                <w:szCs w:val="18"/>
                <w:color w:val="auto"/>
              </w:rPr>
              <w:t>shares of Common Stock purchased in such tender or exchange offer;</w:t>
            </w:r>
          </w:p>
        </w:tc>
      </w:tr>
      <w:tr>
        <w:trPr>
          <w:trHeight w:val="432"/>
        </w:trPr>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100" w:type="dxa"/>
            <w:vAlign w:val="bottom"/>
          </w:tcPr>
          <w:p>
            <w:pPr>
              <w:ind w:left="4320"/>
              <w:spacing w:after="0"/>
              <w:rPr>
                <w:sz w:val="20"/>
                <w:szCs w:val="20"/>
                <w:color w:val="auto"/>
              </w:rPr>
            </w:pPr>
            <w:r>
              <w:rPr>
                <w:rFonts w:ascii="Arial" w:cs="Arial" w:eastAsia="Arial" w:hAnsi="Arial"/>
                <w:sz w:val="18"/>
                <w:szCs w:val="18"/>
                <w:color w:val="auto"/>
              </w:rPr>
              <w:t>27</w:t>
            </w:r>
          </w:p>
        </w:tc>
      </w:tr>
      <w:tr>
        <w:trPr>
          <w:trHeight w:val="68"/>
        </w:trPr>
        <w:tc>
          <w:tcPr>
            <w:tcW w:w="48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1010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692" w:right="239" w:bottom="144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62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30"/>
                <w:szCs w:val="30"/>
                <w:color w:val="auto"/>
                <w:vertAlign w:val="subscript"/>
              </w:rPr>
              <w:t>0</w:t>
            </w: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600" w:type="dxa"/>
            <w:vAlign w:val="bottom"/>
          </w:tcPr>
          <w:p>
            <w:pPr>
              <w:ind w:left="240"/>
              <w:spacing w:after="0"/>
              <w:rPr>
                <w:sz w:val="20"/>
                <w:szCs w:val="20"/>
                <w:color w:val="auto"/>
              </w:rPr>
            </w:pPr>
            <w:r>
              <w:rPr>
                <w:rFonts w:ascii="Arial" w:cs="Arial" w:eastAsia="Arial" w:hAnsi="Arial"/>
                <w:sz w:val="18"/>
                <w:szCs w:val="18"/>
                <w:color w:val="auto"/>
                <w:w w:val="91"/>
              </w:rPr>
              <w:t>the number of shares of Common Stock outstanding immediately prior to the time (the “</w:t>
            </w:r>
          </w:p>
        </w:tc>
        <w:tc>
          <w:tcPr>
            <w:tcW w:w="1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Expiration Time</w:t>
            </w:r>
          </w:p>
        </w:tc>
        <w:tc>
          <w:tcPr>
            <w:tcW w:w="2340" w:type="dxa"/>
            <w:vAlign w:val="bottom"/>
          </w:tcPr>
          <w:p>
            <w:pPr>
              <w:spacing w:after="0"/>
              <w:rPr>
                <w:sz w:val="20"/>
                <w:szCs w:val="20"/>
                <w:color w:val="auto"/>
              </w:rPr>
            </w:pPr>
            <w:r>
              <w:rPr>
                <w:rFonts w:ascii="Arial" w:cs="Arial" w:eastAsia="Arial" w:hAnsi="Arial"/>
                <w:sz w:val="18"/>
                <w:szCs w:val="18"/>
                <w:color w:val="auto"/>
                <w:w w:val="90"/>
              </w:rPr>
              <w:t>”) such tender or exchange offer</w:t>
            </w:r>
          </w:p>
        </w:tc>
      </w:tr>
      <w:tr>
        <w:trPr>
          <w:trHeight w:val="215"/>
        </w:trPr>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120" w:type="dxa"/>
            <w:vAlign w:val="bottom"/>
            <w:gridSpan w:val="3"/>
          </w:tcPr>
          <w:p>
            <w:pPr>
              <w:ind w:left="240"/>
              <w:spacing w:after="0"/>
              <w:rPr>
                <w:sz w:val="20"/>
                <w:szCs w:val="20"/>
                <w:color w:val="auto"/>
              </w:rPr>
            </w:pPr>
            <w:r>
              <w:rPr>
                <w:rFonts w:ascii="Arial" w:cs="Arial" w:eastAsia="Arial" w:hAnsi="Arial"/>
                <w:sz w:val="18"/>
                <w:szCs w:val="18"/>
                <w:color w:val="auto"/>
                <w:w w:val="96"/>
              </w:rPr>
              <w:t>expires (prior to giving effect to the purchase of all shares accepted for purchase or exchange in such tender or exchange offer);</w:t>
            </w:r>
          </w:p>
        </w:tc>
      </w:tr>
      <w:tr>
        <w:trPr>
          <w:trHeight w:val="217"/>
        </w:trPr>
        <w:tc>
          <w:tcPr>
            <w:tcW w:w="620" w:type="dxa"/>
            <w:vAlign w:val="bottom"/>
          </w:tcPr>
          <w:p>
            <w:pPr>
              <w:spacing w:after="0" w:line="217" w:lineRule="exact"/>
              <w:rPr>
                <w:sz w:val="20"/>
                <w:szCs w:val="20"/>
                <w:color w:val="auto"/>
              </w:rPr>
            </w:pPr>
            <w:r>
              <w:rPr>
                <w:rFonts w:ascii="Arial" w:cs="Arial" w:eastAsia="Arial" w:hAnsi="Arial"/>
                <w:sz w:val="16"/>
                <w:szCs w:val="16"/>
                <w:color w:val="auto"/>
              </w:rPr>
              <w:t>OS</w:t>
            </w:r>
            <w:r>
              <w:rPr>
                <w:rFonts w:ascii="Arial" w:cs="Arial" w:eastAsia="Arial" w:hAnsi="Arial"/>
                <w:sz w:val="25"/>
                <w:szCs w:val="25"/>
                <w:color w:val="auto"/>
                <w:vertAlign w:val="subscript"/>
              </w:rPr>
              <w:t>1</w:t>
            </w: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120" w:type="dxa"/>
            <w:vAlign w:val="bottom"/>
            <w:gridSpan w:val="3"/>
          </w:tcPr>
          <w:p>
            <w:pPr>
              <w:ind w:left="240"/>
              <w:spacing w:after="0"/>
              <w:rPr>
                <w:sz w:val="20"/>
                <w:szCs w:val="20"/>
                <w:color w:val="auto"/>
              </w:rPr>
            </w:pPr>
            <w:r>
              <w:rPr>
                <w:rFonts w:ascii="Arial" w:cs="Arial" w:eastAsia="Arial" w:hAnsi="Arial"/>
                <w:sz w:val="18"/>
                <w:szCs w:val="18"/>
                <w:color w:val="auto"/>
                <w:w w:val="94"/>
              </w:rPr>
              <w:t>the number of shares of Common Stock outstanding immediately after the Expiration Time (after giving effect to the purchase of all</w:t>
            </w:r>
          </w:p>
        </w:tc>
      </w:tr>
      <w:tr>
        <w:trPr>
          <w:trHeight w:val="215"/>
        </w:trPr>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120" w:type="dxa"/>
            <w:vAlign w:val="bottom"/>
            <w:gridSpan w:val="3"/>
          </w:tcPr>
          <w:p>
            <w:pPr>
              <w:ind w:left="240"/>
              <w:spacing w:after="0"/>
              <w:rPr>
                <w:sz w:val="20"/>
                <w:szCs w:val="20"/>
                <w:color w:val="auto"/>
              </w:rPr>
            </w:pPr>
            <w:r>
              <w:rPr>
                <w:rFonts w:ascii="Arial" w:cs="Arial" w:eastAsia="Arial" w:hAnsi="Arial"/>
                <w:sz w:val="18"/>
                <w:szCs w:val="18"/>
                <w:color w:val="auto"/>
              </w:rPr>
              <w:t>shares accepted for purchase or exchange in such tender or exchange offer); and</w:t>
            </w:r>
          </w:p>
        </w:tc>
      </w:tr>
      <w:tr>
        <w:trPr>
          <w:trHeight w:val="217"/>
        </w:trPr>
        <w:tc>
          <w:tcPr>
            <w:tcW w:w="620" w:type="dxa"/>
            <w:vAlign w:val="bottom"/>
          </w:tcPr>
          <w:p>
            <w:pPr>
              <w:spacing w:after="0" w:line="217" w:lineRule="exact"/>
              <w:rPr>
                <w:sz w:val="20"/>
                <w:szCs w:val="20"/>
                <w:color w:val="auto"/>
              </w:rPr>
            </w:pPr>
            <w:r>
              <w:rPr>
                <w:rFonts w:ascii="Arial" w:cs="Arial" w:eastAsia="Arial" w:hAnsi="Arial"/>
                <w:sz w:val="16"/>
                <w:szCs w:val="16"/>
                <w:color w:val="auto"/>
              </w:rPr>
              <w:t>SP</w:t>
            </w:r>
            <w:r>
              <w:rPr>
                <w:rFonts w:ascii="Arial" w:cs="Arial" w:eastAsia="Arial" w:hAnsi="Arial"/>
                <w:sz w:val="25"/>
                <w:szCs w:val="25"/>
                <w:color w:val="auto"/>
                <w:vertAlign w:val="subscript"/>
              </w:rPr>
              <w:t>1</w:t>
            </w: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120" w:type="dxa"/>
            <w:vAlign w:val="bottom"/>
            <w:gridSpan w:val="3"/>
          </w:tcPr>
          <w:p>
            <w:pPr>
              <w:ind w:left="240"/>
              <w:spacing w:after="0"/>
              <w:rPr>
                <w:sz w:val="20"/>
                <w:szCs w:val="20"/>
                <w:color w:val="auto"/>
              </w:rPr>
            </w:pPr>
            <w:r>
              <w:rPr>
                <w:rFonts w:ascii="Arial" w:cs="Arial" w:eastAsia="Arial" w:hAnsi="Arial"/>
                <w:sz w:val="18"/>
                <w:szCs w:val="18"/>
                <w:color w:val="auto"/>
                <w:w w:val="90"/>
              </w:rPr>
              <w:t>the average of the Closing Sale Prices of the Common Stock over the 10 consecutive Trading Day period commencing on, and including,</w:t>
            </w:r>
          </w:p>
        </w:tc>
      </w:tr>
      <w:tr>
        <w:trPr>
          <w:trHeight w:val="230"/>
        </w:trPr>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120" w:type="dxa"/>
            <w:vAlign w:val="bottom"/>
            <w:gridSpan w:val="3"/>
          </w:tcPr>
          <w:p>
            <w:pPr>
              <w:ind w:left="240"/>
              <w:spacing w:after="0"/>
              <w:rPr>
                <w:sz w:val="20"/>
                <w:szCs w:val="20"/>
                <w:color w:val="auto"/>
              </w:rPr>
            </w:pPr>
            <w:r>
              <w:rPr>
                <w:rFonts w:ascii="Arial" w:cs="Arial" w:eastAsia="Arial" w:hAnsi="Arial"/>
                <w:sz w:val="18"/>
                <w:szCs w:val="18"/>
                <w:color w:val="auto"/>
              </w:rPr>
              <w:t>the Trading Day next succeeding the Expiration Date.</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The adjustment to the Conversion Rate under this Section 5.05(e) shall be determined at the Close of Business on the tenth Trading Day immediately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following, but excluding, the Expiration Date but shall be given effect at the Open of Business on the Trading Day next succeeding the Expiration Date.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respect of any conversion during the 10 Trading Days commencing on the Trading Day next succeeding the Expiration Date, references within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5.05(e) to 10 Trading Days shall be deemed to be replaced with such lesser number of Trading Days as have elapsed from, and including, the Trading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Day next succeeding the Expiration Date to, but excluding, the relevant Conversion Date. No adjustment pursuant to the above formula will result in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decrease of the Conversion Rate.</w:t>
      </w:r>
    </w:p>
    <w:p>
      <w:pPr>
        <w:spacing w:after="0" w:line="211" w:lineRule="exact"/>
        <w:rPr>
          <w:sz w:val="20"/>
          <w:szCs w:val="20"/>
          <w:color w:val="auto"/>
        </w:rPr>
      </w:pPr>
    </w:p>
    <w:p>
      <w:pPr>
        <w:ind w:right="40" w:firstLine="656"/>
        <w:spacing w:after="0" w:line="257" w:lineRule="auto"/>
        <w:tabs>
          <w:tab w:leader="none" w:pos="1548" w:val="left"/>
        </w:tabs>
        <w:numPr>
          <w:ilvl w:val="1"/>
          <w:numId w:val="45"/>
        </w:numPr>
        <w:rPr>
          <w:rFonts w:ascii="Arial" w:cs="Arial" w:eastAsia="Arial" w:hAnsi="Arial"/>
          <w:sz w:val="18"/>
          <w:szCs w:val="18"/>
          <w:color w:val="auto"/>
        </w:rPr>
      </w:pPr>
      <w:r>
        <w:rPr>
          <w:rFonts w:ascii="Arial" w:cs="Arial" w:eastAsia="Arial" w:hAnsi="Arial"/>
          <w:sz w:val="18"/>
          <w:szCs w:val="18"/>
          <w:color w:val="auto"/>
        </w:rPr>
        <w:t>To the extent that the Company has a rights plan in effect upon conversion of the Notes, the Holders shall receive, in addition to the Common Stock received in connection with such conversion, the rights under the rights plan, unless prior to any conversion, the rights have separated from the Common Stock, in which case the Conversion Rate will be adjusted at the time of separation as if the Company distributed to all holders of Common Stock, shares of the Company’s capital stock, evidences of indebtedness or other assets or property as described in Section 5.05(c), subject to readjustment in the event of the expiration, termination or redemption of such rights.</w:t>
      </w:r>
    </w:p>
    <w:p>
      <w:pPr>
        <w:spacing w:after="0" w:line="188" w:lineRule="exact"/>
        <w:rPr>
          <w:rFonts w:ascii="Arial" w:cs="Arial" w:eastAsia="Arial" w:hAnsi="Arial"/>
          <w:sz w:val="18"/>
          <w:szCs w:val="18"/>
          <w:color w:val="auto"/>
        </w:rPr>
      </w:pPr>
    </w:p>
    <w:p>
      <w:pPr>
        <w:ind w:right="40" w:firstLine="656"/>
        <w:spacing w:after="0" w:line="293" w:lineRule="auto"/>
        <w:tabs>
          <w:tab w:leader="none" w:pos="1578" w:val="left"/>
        </w:tabs>
        <w:numPr>
          <w:ilvl w:val="1"/>
          <w:numId w:val="45"/>
        </w:numPr>
        <w:rPr>
          <w:rFonts w:ascii="Arial" w:cs="Arial" w:eastAsia="Arial" w:hAnsi="Arial"/>
          <w:sz w:val="16"/>
          <w:szCs w:val="16"/>
          <w:color w:val="auto"/>
        </w:rPr>
      </w:pPr>
      <w:r>
        <w:rPr>
          <w:rFonts w:ascii="Arial" w:cs="Arial" w:eastAsia="Arial" w:hAnsi="Arial"/>
          <w:sz w:val="16"/>
          <w:szCs w:val="16"/>
          <w:color w:val="auto"/>
        </w:rPr>
        <w:t>To the extent permitted by applicable law and applicable listing rules of the Nasdaq Global Select Market and any other securities exchange on which the Company’s securities are then listed, (i) the Company is permitted to increase the Conversion Rate of the Notes by any amount for a period of at least 20 Business Days so long as the increase is irrevocable during the period and the Board of Directors determines that such increase would be in the Company’s best interest and (ii) the Company may (but is not required to) increase the Conversion Rate to avoid or diminish income tax to holders of the Common Stock or rights to purchase shares of the Common Stock in connection with a dividend or distribution of shares (or rights to acquire shares) or similar events. The Company must give at least 15 days’ prior notice of any such increase in the Conversion Rate.</w:t>
      </w:r>
    </w:p>
    <w:p>
      <w:pPr>
        <w:spacing w:after="0" w:line="164" w:lineRule="exact"/>
        <w:rPr>
          <w:rFonts w:ascii="Arial" w:cs="Arial" w:eastAsia="Arial" w:hAnsi="Arial"/>
          <w:sz w:val="16"/>
          <w:szCs w:val="16"/>
          <w:color w:val="auto"/>
        </w:rPr>
      </w:pPr>
    </w:p>
    <w:p>
      <w:pPr>
        <w:jc w:val="both"/>
        <w:ind w:firstLine="656"/>
        <w:spacing w:after="0" w:line="286" w:lineRule="auto"/>
        <w:tabs>
          <w:tab w:leader="none" w:pos="1533" w:val="left"/>
        </w:tabs>
        <w:numPr>
          <w:ilvl w:val="1"/>
          <w:numId w:val="45"/>
        </w:numPr>
        <w:rPr>
          <w:rFonts w:ascii="Arial" w:cs="Arial" w:eastAsia="Arial" w:hAnsi="Arial"/>
          <w:sz w:val="16"/>
          <w:szCs w:val="16"/>
          <w:color w:val="auto"/>
        </w:rPr>
      </w:pPr>
      <w:r>
        <w:rPr>
          <w:rFonts w:ascii="Arial" w:cs="Arial" w:eastAsia="Arial" w:hAnsi="Arial"/>
          <w:sz w:val="16"/>
          <w:szCs w:val="16"/>
          <w:color w:val="auto"/>
        </w:rPr>
        <w:t>Adjustments to the Conversion Rate will be calculated to the nearest 1/10,000th of a share of Common Stock. Notwithstanding anything in this Section 5.05 to the contrary, the Company shall not be required to adjust the Conversion Rate unless the adjustment would result in a change of at least 1% of the Conversion Rate. However, the Company shall carry forward any adjustments that are less than 1% of the Conversion Rate and make such carried forward adjustments (1) when the cumulative net effect of all adjustments not yet made will result in a change of at least 1% of the Conversion Rate or</w:t>
      </w:r>
    </w:p>
    <w:p>
      <w:pPr>
        <w:spacing w:after="0" w:line="1" w:lineRule="exact"/>
        <w:rPr>
          <w:rFonts w:ascii="Arial" w:cs="Arial" w:eastAsia="Arial" w:hAnsi="Arial"/>
          <w:sz w:val="16"/>
          <w:szCs w:val="16"/>
          <w:color w:val="auto"/>
        </w:rPr>
      </w:pPr>
    </w:p>
    <w:p>
      <w:pPr>
        <w:ind w:right="80" w:firstLine="8"/>
        <w:spacing w:after="0" w:line="261" w:lineRule="auto"/>
        <w:tabs>
          <w:tab w:leader="none" w:pos="2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regardless of whether the aggregate adjustment is less than 1%, (i) upon any required repurchases of the Notes in connection with a Fundamental Change and (ii) upon any conversion of Notes.</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544" w:right="279" w:bottom="1440" w:gutter="0" w:footer="0" w:header="0"/>
        </w:sectPr>
      </w:pPr>
    </w:p>
    <w:bookmarkStart w:id="36" w:name="page37"/>
    <w:bookmarkEnd w:id="36"/>
    <w:p>
      <w:pPr>
        <w:ind w:right="40" w:firstLine="656"/>
        <w:spacing w:after="0" w:line="279" w:lineRule="auto"/>
        <w:tabs>
          <w:tab w:leader="none" w:pos="1583" w:val="left"/>
        </w:tabs>
        <w:numPr>
          <w:ilvl w:val="0"/>
          <w:numId w:val="47"/>
        </w:numPr>
        <w:rPr>
          <w:rFonts w:ascii="Arial" w:cs="Arial" w:eastAsia="Arial" w:hAnsi="Arial"/>
          <w:sz w:val="17"/>
          <w:szCs w:val="17"/>
          <w:color w:val="auto"/>
        </w:rPr>
      </w:pPr>
      <w:r>
        <w:rPr>
          <w:rFonts w:ascii="Arial" w:cs="Arial" w:eastAsia="Arial" w:hAnsi="Arial"/>
          <w:sz w:val="17"/>
          <w:szCs w:val="17"/>
          <w:color w:val="auto"/>
        </w:rPr>
        <w:t>Whenever any provision of this Indenture requires the Company to calculate the Closing Sale Prices or the Stock Price over a span of multiple days, the Board of Directors shall make appropriate adjustments to account for any adjustment to the Conversion Rate that becomes effective, or any event requiring an adjustment to the Conversion Rate where the Record Date, the Ex-Dividend Date, the Expiration Date or the Effective Date of the event occurs, at any time during the period from which such Closing Sale Prices or Stock Prices are to be calculated.</w:t>
      </w:r>
    </w:p>
    <w:p>
      <w:pPr>
        <w:spacing w:after="0" w:line="171" w:lineRule="exact"/>
        <w:rPr>
          <w:rFonts w:ascii="Arial" w:cs="Arial" w:eastAsia="Arial" w:hAnsi="Arial"/>
          <w:sz w:val="17"/>
          <w:szCs w:val="17"/>
          <w:color w:val="auto"/>
        </w:rPr>
      </w:pPr>
    </w:p>
    <w:p>
      <w:pPr>
        <w:ind w:right="100" w:firstLine="656"/>
        <w:spacing w:after="0" w:line="286" w:lineRule="auto"/>
        <w:tabs>
          <w:tab w:leader="none" w:pos="1583" w:val="left"/>
        </w:tabs>
        <w:numPr>
          <w:ilvl w:val="0"/>
          <w:numId w:val="47"/>
        </w:numPr>
        <w:rPr>
          <w:rFonts w:ascii="Arial" w:cs="Arial" w:eastAsia="Arial" w:hAnsi="Arial"/>
          <w:sz w:val="17"/>
          <w:szCs w:val="17"/>
          <w:color w:val="auto"/>
        </w:rPr>
      </w:pPr>
      <w:r>
        <w:rPr>
          <w:rFonts w:ascii="Arial" w:cs="Arial" w:eastAsia="Arial" w:hAnsi="Arial"/>
          <w:sz w:val="17"/>
          <w:szCs w:val="17"/>
          <w:color w:val="auto"/>
        </w:rPr>
        <w:t>If the Company issues rights, options or warrants that are only exercisable upon the occurrence of certain triggering events, then (i) the Company will not adjust the Conversion Rate pursuant to the above provisions until the earliest of these triggering events occurs; and (ii) the Company will readjust the Conversion Rate to the extent any of these rights, options or warrants are not exercised before they expire.</w:t>
      </w:r>
    </w:p>
    <w:p>
      <w:pPr>
        <w:spacing w:after="0" w:line="165" w:lineRule="exact"/>
        <w:rPr>
          <w:rFonts w:ascii="Arial" w:cs="Arial" w:eastAsia="Arial" w:hAnsi="Arial"/>
          <w:sz w:val="17"/>
          <w:szCs w:val="17"/>
          <w:color w:val="auto"/>
        </w:rPr>
      </w:pPr>
    </w:p>
    <w:p>
      <w:pPr>
        <w:ind w:right="300" w:firstLine="656"/>
        <w:spacing w:after="0" w:line="342" w:lineRule="auto"/>
        <w:tabs>
          <w:tab w:leader="none" w:pos="1533" w:val="left"/>
        </w:tabs>
        <w:numPr>
          <w:ilvl w:val="0"/>
          <w:numId w:val="47"/>
        </w:numPr>
        <w:rPr>
          <w:rFonts w:ascii="Arial" w:cs="Arial" w:eastAsia="Arial" w:hAnsi="Arial"/>
          <w:sz w:val="16"/>
          <w:szCs w:val="16"/>
          <w:color w:val="auto"/>
        </w:rPr>
      </w:pPr>
      <w:r>
        <w:rPr>
          <w:rFonts w:ascii="Arial" w:cs="Arial" w:eastAsia="Arial" w:hAnsi="Arial"/>
          <w:sz w:val="16"/>
          <w:szCs w:val="16"/>
          <w:color w:val="auto"/>
        </w:rPr>
        <w:t>If the Company adjusts the Conversion Rate pursuant to the above provisions, the Company shall deliver to the Conversion Agent a certificate setting forth the Conversion Rate, detailing the calculation of the Conversion Rate and describing the facts upon which the adjustment is based.</w:t>
      </w:r>
    </w:p>
    <w:p>
      <w:pPr>
        <w:spacing w:after="0" w:line="12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5.06</w:t>
      </w:r>
      <w:r>
        <w:rPr>
          <w:sz w:val="20"/>
          <w:szCs w:val="20"/>
          <w:color w:val="auto"/>
        </w:rPr>
        <w:tab/>
      </w:r>
      <w:r>
        <w:rPr>
          <w:rFonts w:ascii="Arial" w:cs="Arial" w:eastAsia="Arial" w:hAnsi="Arial"/>
          <w:sz w:val="16"/>
          <w:szCs w:val="16"/>
          <w:u w:val="single" w:color="auto"/>
          <w:color w:val="auto"/>
        </w:rPr>
        <w:t>Recapitalizations, Reclassifications and Changes to the Common Stock</w:t>
      </w:r>
      <w:r>
        <w:rPr>
          <w:rFonts w:ascii="Arial" w:cs="Arial" w:eastAsia="Arial" w:hAnsi="Arial"/>
          <w:sz w:val="16"/>
          <w:szCs w:val="16"/>
          <w:color w:val="auto"/>
        </w:rPr>
        <w:t>.</w:t>
      </w:r>
    </w:p>
    <w:p>
      <w:pPr>
        <w:spacing w:after="0" w:line="225" w:lineRule="exact"/>
        <w:rPr>
          <w:sz w:val="20"/>
          <w:szCs w:val="20"/>
          <w:color w:val="auto"/>
        </w:rPr>
      </w:pPr>
    </w:p>
    <w:p>
      <w:pPr>
        <w:ind w:left="1580" w:hanging="924"/>
        <w:spacing w:after="0"/>
        <w:tabs>
          <w:tab w:leader="none" w:pos="1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the event of:</w:t>
      </w:r>
    </w:p>
    <w:p>
      <w:pPr>
        <w:spacing w:after="0" w:line="225" w:lineRule="exact"/>
        <w:rPr>
          <w:sz w:val="20"/>
          <w:szCs w:val="20"/>
          <w:color w:val="auto"/>
        </w:rPr>
      </w:pPr>
    </w:p>
    <w:p>
      <w:pPr>
        <w:ind w:right="240" w:firstLine="4014"/>
        <w:spacing w:after="0" w:line="277" w:lineRule="auto"/>
        <w:tabs>
          <w:tab w:leader="none" w:pos="4715" w:val="left"/>
        </w:tabs>
        <w:numPr>
          <w:ilvl w:val="2"/>
          <w:numId w:val="49"/>
        </w:numPr>
        <w:rPr>
          <w:rFonts w:ascii="Arial" w:cs="Arial" w:eastAsia="Arial" w:hAnsi="Arial"/>
          <w:sz w:val="18"/>
          <w:szCs w:val="18"/>
          <w:color w:val="auto"/>
        </w:rPr>
      </w:pPr>
      <w:r>
        <w:rPr>
          <w:rFonts w:ascii="Arial" w:cs="Arial" w:eastAsia="Arial" w:hAnsi="Arial"/>
          <w:sz w:val="18"/>
          <w:szCs w:val="18"/>
          <w:color w:val="auto"/>
        </w:rPr>
        <w:t>any recapitalization, reclassification or change of the Common Stock (other than changes resulting from a subdivision or combination or changes in par value);</w:t>
      </w:r>
    </w:p>
    <w:p>
      <w:pPr>
        <w:spacing w:after="0" w:line="170" w:lineRule="exact"/>
        <w:rPr>
          <w:rFonts w:ascii="Arial" w:cs="Arial" w:eastAsia="Arial" w:hAnsi="Arial"/>
          <w:sz w:val="18"/>
          <w:szCs w:val="18"/>
          <w:color w:val="auto"/>
        </w:rPr>
      </w:pPr>
    </w:p>
    <w:p>
      <w:pPr>
        <w:ind w:left="4680" w:hanging="756"/>
        <w:spacing w:after="0"/>
        <w:tabs>
          <w:tab w:leader="none" w:pos="468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 consolidation, merger, combination or binding share exchange involving the Company; or</w:t>
      </w:r>
    </w:p>
    <w:p>
      <w:pPr>
        <w:spacing w:after="0" w:line="248" w:lineRule="exact"/>
        <w:rPr>
          <w:rFonts w:ascii="Arial" w:cs="Arial" w:eastAsia="Arial" w:hAnsi="Arial"/>
          <w:sz w:val="16"/>
          <w:szCs w:val="16"/>
          <w:color w:val="auto"/>
        </w:rPr>
      </w:pPr>
    </w:p>
    <w:p>
      <w:pPr>
        <w:ind w:left="4640" w:hanging="806"/>
        <w:spacing w:after="0"/>
        <w:tabs>
          <w:tab w:leader="none" w:pos="4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 sale, assignment, conveyance, transfer, lease or other disposition, in one transaction or a</w:t>
      </w:r>
    </w:p>
    <w:p>
      <w:pPr>
        <w:spacing w:after="0" w:line="46" w:lineRule="exact"/>
        <w:rPr>
          <w:rFonts w:ascii="Arial" w:cs="Arial" w:eastAsia="Arial" w:hAnsi="Arial"/>
          <w:sz w:val="16"/>
          <w:szCs w:val="16"/>
          <w:color w:val="auto"/>
        </w:rPr>
      </w:pPr>
    </w:p>
    <w:p>
      <w:pPr>
        <w:ind w:right="60"/>
        <w:spacing w:after="0" w:line="255" w:lineRule="auto"/>
        <w:rPr>
          <w:rFonts w:ascii="Arial" w:cs="Arial" w:eastAsia="Arial" w:hAnsi="Arial"/>
          <w:sz w:val="16"/>
          <w:szCs w:val="16"/>
          <w:color w:val="auto"/>
        </w:rPr>
      </w:pPr>
      <w:r>
        <w:rPr>
          <w:rFonts w:ascii="Arial" w:cs="Arial" w:eastAsia="Arial" w:hAnsi="Arial"/>
          <w:sz w:val="18"/>
          <w:szCs w:val="18"/>
          <w:color w:val="auto"/>
        </w:rPr>
        <w:t>series of transactions, of all or substantially all of the consolidated assets of the Company and its Subsidiaries, taken as a whole, to any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avoidance of doubt, a pledge of the Company’s assets pursuant to any agreement governing secured indebtedness shall not be deemed to be a sale, lease, transfer, conveyance or other disposition hereunder);</w:t>
      </w:r>
    </w:p>
    <w:p>
      <w:pPr>
        <w:spacing w:after="0" w:line="19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each case, in which holders of outstanding Common Stock are entitled to receive cash, securities or other property for their shares of Common Stock (any such event, a “</w:t>
      </w:r>
      <w:r>
        <w:rPr>
          <w:rFonts w:ascii="Arial" w:cs="Arial" w:eastAsia="Arial" w:hAnsi="Arial"/>
          <w:sz w:val="16"/>
          <w:szCs w:val="16"/>
          <w:u w:val="single" w:color="auto"/>
          <w:color w:val="auto"/>
        </w:rPr>
        <w:t>Merger Event</w:t>
      </w:r>
      <w:r>
        <w:rPr>
          <w:rFonts w:ascii="Arial" w:cs="Arial" w:eastAsia="Arial" w:hAnsi="Arial"/>
          <w:sz w:val="16"/>
          <w:szCs w:val="16"/>
          <w:color w:val="auto"/>
        </w:rPr>
        <w:t>”), the Company or the successor or purchasing company, as the case may be, shall execute with the Trustee a supplemental indenture, providing that, at and after the effective time of such transaction, Holders of each $1,000 Original Principal Amount of Notes will be entitled to convert their Notes into the type and amount of shares of stock, other securities or other property or assets (including cash or any combination thereof) that a holder of a number of shares of Common Stock equal to the Conversion Rate immediately prior to such transaction would have owned or been entitled to receive upon such transaction (“</w:t>
      </w:r>
      <w:r>
        <w:rPr>
          <w:rFonts w:ascii="Arial" w:cs="Arial" w:eastAsia="Arial" w:hAnsi="Arial"/>
          <w:sz w:val="16"/>
          <w:szCs w:val="16"/>
          <w:u w:val="single" w:color="auto"/>
          <w:color w:val="auto"/>
        </w:rPr>
        <w:t>Reference Property</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at and after the effective time of the Merger Event (A) the Company shall continue to have the right to determine the form of consideration to be paid or delivered, as the case may be, upon conversion of Notes in accordance with Section 5.03 and (B) (I) any amount payable in cash upon conversion of the Notes in accordance with Section 5.03 shall continue to be payable in cash, (II) any shares of Common Stock that the Company would have been required to deliver upon conversion of the Notes in accordance with Section 5.03 shall instead be deliverable in the amount and type of Reference Property that a holder of that number of shares of Common Stock would have received in such Merger Event and (III) the Daily VWAP shall be calculated based on the value of a unit of Reference Property. The supplemental indenture shall also provide for anti-dilution and other adjustments that are as nearly equivalent as possible to the adjustments described under Section 5.05. If the Reference Property in respect of any such transaction includes shares of stock, securities or other property or assets of a company other than the successor or purchasing corporation, as the case may be, in such transaction, such other company shall also execute such supplemental indenture, and such supplemental indenture shall contain such additional provisions to protect the interests of the Holders, including the right of Holders to require the Company to repurchase their Notes upon a Fundamental Change as described in Section 3.02, as the Board of Directors reasonably considers necessary by reason of the foregoing. If the Notes become convertible into Reference Property, the Company shall notify the Trustee and the Conversion Agent.</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37" w:name="page38"/>
    <w:bookmarkEnd w:id="37"/>
    <w:p>
      <w:pPr>
        <w:ind w:right="80" w:firstLine="648"/>
        <w:spacing w:after="0" w:line="288" w:lineRule="auto"/>
        <w:rPr>
          <w:sz w:val="20"/>
          <w:szCs w:val="20"/>
          <w:color w:val="auto"/>
        </w:rPr>
      </w:pPr>
      <w:r>
        <w:rPr>
          <w:rFonts w:ascii="Arial" w:cs="Arial" w:eastAsia="Arial" w:hAnsi="Arial"/>
          <w:sz w:val="16"/>
          <w:szCs w:val="16"/>
          <w:color w:val="auto"/>
        </w:rPr>
        <w:t>If the Merger Event causes the Common Stock to be converted into, or exchanged for, the right to receive more than a single type of consideration (determined based in part upon any form of stockholder election), then (i) the Reference Property into which the Notes will be convertible shall be deemed to be (x) the weighted average of the types and amounts of consideration received by the holders of Common Stock that affirmatively make such an election or</w:t>
      </w:r>
    </w:p>
    <w:p>
      <w:pPr>
        <w:ind w:right="120" w:firstLine="8"/>
        <w:spacing w:after="0" w:line="268" w:lineRule="auto"/>
        <w:tabs>
          <w:tab w:leader="none" w:pos="255" w:val="left"/>
        </w:tabs>
        <w:numPr>
          <w:ilvl w:val="0"/>
          <w:numId w:val="52"/>
        </w:numPr>
        <w:rPr>
          <w:rFonts w:ascii="Arial" w:cs="Arial" w:eastAsia="Arial" w:hAnsi="Arial"/>
          <w:sz w:val="17"/>
          <w:szCs w:val="17"/>
          <w:color w:val="auto"/>
        </w:rPr>
      </w:pPr>
      <w:r>
        <w:rPr>
          <w:rFonts w:ascii="Arial" w:cs="Arial" w:eastAsia="Arial" w:hAnsi="Arial"/>
          <w:sz w:val="17"/>
          <w:szCs w:val="17"/>
          <w:color w:val="auto"/>
        </w:rPr>
        <w:t>if no holders of Common Stock affirmatively make such an election, the types and amounts of consideration actually received by the holders of Common Stock, and (ii) the unit of Reference Property for purposes of the immediately preceding paragraph shall refer to the consideration referred to in clause (i) attributable to one share of Common Stock. If the holders of Common Stock receive only cash in such Merger Event, then for all conversions for which the relevant Conversion Date occurs after the effective date of such Merger Event (A) the consideration due upon conversion of each $1,000 Original Principal Amount of Notes shall be solely cash in an amount equal to the Conversion Rate in effect on the Conversion Date (as may be increased by any Additional Shares pursuant to Section 5.07), multiplied by the price paid per share of Common Stock in such Merger Event and (B) the Company shall satisfy the Conversion Obligation by paying cash to converting Holders on the third Business Day immediately following the relevant Conversion Date. The Company shall notify Holders, the Trustee and the Conversion Agent (if other than the Trustee) in writing of such weighted average as soon as practicable after such determination is made.</w:t>
      </w:r>
    </w:p>
    <w:p>
      <w:pPr>
        <w:spacing w:after="0" w:line="182" w:lineRule="exact"/>
        <w:rPr>
          <w:rFonts w:ascii="Arial" w:cs="Arial" w:eastAsia="Arial" w:hAnsi="Arial"/>
          <w:sz w:val="17"/>
          <w:szCs w:val="17"/>
          <w:color w:val="auto"/>
        </w:rPr>
      </w:pPr>
    </w:p>
    <w:p>
      <w:pPr>
        <w:ind w:right="160" w:firstLine="656"/>
        <w:spacing w:after="0" w:line="264" w:lineRule="auto"/>
        <w:tabs>
          <w:tab w:leader="none" w:pos="1533" w:val="left"/>
        </w:tabs>
        <w:numPr>
          <w:ilvl w:val="1"/>
          <w:numId w:val="52"/>
        </w:numPr>
        <w:rPr>
          <w:rFonts w:ascii="Arial" w:cs="Arial" w:eastAsia="Arial" w:hAnsi="Arial"/>
          <w:sz w:val="18"/>
          <w:szCs w:val="18"/>
          <w:color w:val="auto"/>
        </w:rPr>
      </w:pPr>
      <w:r>
        <w:rPr>
          <w:rFonts w:ascii="Arial" w:cs="Arial" w:eastAsia="Arial" w:hAnsi="Arial"/>
          <w:sz w:val="18"/>
          <w:szCs w:val="18"/>
          <w:color w:val="auto"/>
        </w:rPr>
        <w:t>None of the foregoing provisions shall affect the right of a holder of Notes to convert its Notes into cash, shares of Common Stock or a combination of cash and shares of Common Stock, as applicable, as set forth in Section 5.01 and Section 5.03 prior to the effective date of such Merger Event.</w:t>
      </w:r>
    </w:p>
    <w:p>
      <w:pPr>
        <w:spacing w:after="0" w:line="181" w:lineRule="exact"/>
        <w:rPr>
          <w:rFonts w:ascii="Arial" w:cs="Arial" w:eastAsia="Arial" w:hAnsi="Arial"/>
          <w:sz w:val="18"/>
          <w:szCs w:val="18"/>
          <w:color w:val="auto"/>
        </w:rPr>
      </w:pPr>
    </w:p>
    <w:p>
      <w:pPr>
        <w:ind w:left="1580" w:hanging="924"/>
        <w:spacing w:after="0"/>
        <w:tabs>
          <w:tab w:leader="none" w:pos="15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above provisions of this Section shall similarly apply to successive Merger Events.</w:t>
      </w:r>
    </w:p>
    <w:p>
      <w:pPr>
        <w:spacing w:after="0" w:line="225" w:lineRule="exact"/>
        <w:rPr>
          <w:rFonts w:ascii="Arial" w:cs="Arial" w:eastAsia="Arial" w:hAnsi="Arial"/>
          <w:sz w:val="18"/>
          <w:szCs w:val="18"/>
          <w:color w:val="auto"/>
        </w:rPr>
      </w:pPr>
    </w:p>
    <w:p>
      <w:pPr>
        <w:ind w:right="220" w:firstLine="656"/>
        <w:spacing w:after="0" w:line="277" w:lineRule="auto"/>
        <w:tabs>
          <w:tab w:leader="none" w:pos="1533" w:val="left"/>
        </w:tabs>
        <w:numPr>
          <w:ilvl w:val="1"/>
          <w:numId w:val="52"/>
        </w:numPr>
        <w:rPr>
          <w:rFonts w:ascii="Arial" w:cs="Arial" w:eastAsia="Arial" w:hAnsi="Arial"/>
          <w:sz w:val="18"/>
          <w:szCs w:val="18"/>
          <w:color w:val="auto"/>
        </w:rPr>
      </w:pPr>
      <w:r>
        <w:rPr>
          <w:rFonts w:ascii="Arial" w:cs="Arial" w:eastAsia="Arial" w:hAnsi="Arial"/>
          <w:sz w:val="18"/>
          <w:szCs w:val="18"/>
          <w:color w:val="auto"/>
        </w:rPr>
        <w:t>Upon the consummation of any Merger Event, references to “Common Stock” shall be deemed to refer to any Reference Property that constitutes capital stock after giving effect to such Merger Event.</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Adjustment to Conversion Rate upon Conversion upon a Make-Whole Fundamental Change or Prior to the Exercise of the Issuer’s</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Conversion Option Prior to February 1, 2020</w:t>
      </w:r>
    </w:p>
    <w:p>
      <w:pPr>
        <w:spacing w:after="0" w:line="170" w:lineRule="exact"/>
        <w:rPr>
          <w:sz w:val="20"/>
          <w:szCs w:val="20"/>
          <w:color w:val="auto"/>
        </w:rPr>
      </w:pPr>
    </w:p>
    <w:p>
      <w:pPr>
        <w:ind w:firstLine="656"/>
        <w:spacing w:after="0" w:line="287" w:lineRule="auto"/>
        <w:tabs>
          <w:tab w:leader="none" w:pos="1568" w:val="left"/>
        </w:tabs>
        <w:numPr>
          <w:ilvl w:val="0"/>
          <w:numId w:val="53"/>
        </w:numPr>
        <w:rPr>
          <w:rFonts w:ascii="Arial" w:cs="Arial" w:eastAsia="Arial" w:hAnsi="Arial"/>
          <w:sz w:val="16"/>
          <w:szCs w:val="16"/>
          <w:color w:val="auto"/>
        </w:rPr>
      </w:pPr>
      <w:r>
        <w:rPr>
          <w:rFonts w:ascii="Arial" w:cs="Arial" w:eastAsia="Arial" w:hAnsi="Arial"/>
          <w:sz w:val="16"/>
          <w:szCs w:val="16"/>
          <w:color w:val="auto"/>
        </w:rPr>
        <w:t>If (i) a Holder converts its Notes prior to the Company sending the Issuer’s Conversion Notice, prior to February 1, 2020 or (ii) a Holder elects to convert its Notes in connection with a Make-Whole Fundamental Change, then, in each case, the Conversion Rate of such Notes shall be increased by an additional number of shares of Common Stock (the “</w:t>
      </w:r>
      <w:r>
        <w:rPr>
          <w:rFonts w:ascii="Arial" w:cs="Arial" w:eastAsia="Arial" w:hAnsi="Arial"/>
          <w:sz w:val="16"/>
          <w:szCs w:val="16"/>
          <w:u w:val="single" w:color="auto"/>
          <w:color w:val="auto"/>
        </w:rPr>
        <w:t>Additional Shares</w:t>
      </w:r>
      <w:r>
        <w:rPr>
          <w:rFonts w:ascii="Arial" w:cs="Arial" w:eastAsia="Arial" w:hAnsi="Arial"/>
          <w:sz w:val="16"/>
          <w:szCs w:val="16"/>
          <w:color w:val="auto"/>
        </w:rPr>
        <w:t>”) as described below. A conversion shall be deemed to be “in connection with” a Make-Whole Fundamental Change if the Conversion Notice is received by the Conversion Agent during the period that begins on (and includes) the date on which the Make-Whole Fundamental Change occurs or becomes effective (the “</w:t>
      </w:r>
      <w:r>
        <w:rPr>
          <w:rFonts w:ascii="Arial" w:cs="Arial" w:eastAsia="Arial" w:hAnsi="Arial"/>
          <w:sz w:val="16"/>
          <w:szCs w:val="16"/>
          <w:u w:val="single" w:color="auto"/>
          <w:color w:val="auto"/>
        </w:rPr>
        <w:t>Make-Whole Fundamental Change Effective Date</w:t>
      </w:r>
      <w:r>
        <w:rPr>
          <w:rFonts w:ascii="Arial" w:cs="Arial" w:eastAsia="Arial" w:hAnsi="Arial"/>
          <w:sz w:val="16"/>
          <w:szCs w:val="16"/>
          <w:color w:val="auto"/>
        </w:rPr>
        <w:t>”) and ends at the Close of Business on the Business Day immediately preceding the related Fundamental Change Repurchase Date (or, in the case of a Make-Whole Fundamental Change that would have been a Fundamental Change but for the exception provided in clause (2) of the definition thereof, the 35th Trading Day immediately following the Effective Date). In the event any conversion is both (x) “in connection with” a Make-Whole Fundamental Change and (y) prior to the Company sending the Issuer’s Conversion Notice, a Holder of the Notes to be converted will only be entitled to a single increase in the Conversion Rate by Additional Shares. In the event both a Make-Whole Fundamental Change has occurred and a Holder converts its Notes prior to the Company sending the Issuer’s Conversion Option, the determination of Additional Shares in Section 5.07(b) shall be determined based upon a conversion “in connection with” a Make-Whole Fundamental Change and not based upon a conversion prior to the Company sending the Issuer’s Conversion Notice.</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8" w:name="page39"/>
    <w:bookmarkEnd w:id="38"/>
    <w:p>
      <w:pPr>
        <w:ind w:right="60" w:firstLine="656"/>
        <w:spacing w:after="0" w:line="287" w:lineRule="auto"/>
        <w:tabs>
          <w:tab w:leader="none" w:pos="1533" w:val="left"/>
        </w:tabs>
        <w:numPr>
          <w:ilvl w:val="0"/>
          <w:numId w:val="54"/>
        </w:numPr>
        <w:rPr>
          <w:rFonts w:ascii="Arial" w:cs="Arial" w:eastAsia="Arial" w:hAnsi="Arial"/>
          <w:sz w:val="16"/>
          <w:szCs w:val="16"/>
          <w:color w:val="auto"/>
        </w:rPr>
      </w:pPr>
      <w:r>
        <w:rPr>
          <w:rFonts w:ascii="Arial" w:cs="Arial" w:eastAsia="Arial" w:hAnsi="Arial"/>
          <w:sz w:val="16"/>
          <w:szCs w:val="16"/>
          <w:color w:val="auto"/>
        </w:rPr>
        <w:t>For conversions prior to the Company sending the Issuer’s Conversion Notice, prior to February 1, 2020 and not in connection with a Make-Whole Fundamental Change, the number of Additional Shares will be increased by reference to the table below based on (i) an “Effective Date” that is the Conversion Date and (ii) a “Stock Price” that is equal to the greater of (A) $6.85 (as adjusted for events described in Section 5.07) and (B) the average of the Daily VWAPs of the Common Stock over the five (5) consecutive Trading Day period ending on last Trading Day prior to the applicable conversion date. For conversions in connection with a Make-Whole Fundamental Change, the number of Additional Shares will be increased by reference to the table below based on (i) an “Effective Date” that is the Fundamental Change Effective Date and (ii) a “Stock Price” equal to (x) the price paid per share of the Common Stock in the case of a Make-Whole Fundamental Change described in clause (2) of the definition of “Fundamental Change,” in the event that the Common Stock is acquired for cash, or (y) the average of the Closing Sale Prices of the Common Stock over the five Trading Day period ending on the Trading Day immediately preceding the Effective Date of such other Make-Whole Fundamental Change. Notwithstanding the foregoing, if any date that would otherwise be an “Effective Date” is between two Effective Dates in the table below, the “Effective Date” will be deemed to be the earlier of the two dates in the table (for example, if the date of a Make-Whole Fundamental Change is September 15, 2018, the “Effective Date” will be deemed to be August 1, 2018).</w:t>
      </w:r>
    </w:p>
    <w:p>
      <w:pPr>
        <w:spacing w:after="0" w:line="173"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Stock Prices set forth in the first row of the table below (i.e., column headers) and the number of Additional Shares in the table below will be adjusted as of any date on which the Conversion Rate of the Notes is adjusted pursuant to Section 5.05. The adjusted Stock Prices will equal the Stock Prices immediately prior to such adjustment, multiplied by a fraction, the numerator of which is the Conversion Rate immediately prior to the adjustment giving rise to the Stock Price adjustment and the denominator of which is the Conversion Rate as so adjusted. The number of Additional Shares will be adjusted in the same manner and at the same time as the Conversion Rate pursuant to Section 5.05.</w:t>
      </w:r>
    </w:p>
    <w:p>
      <w:pPr>
        <w:spacing w:after="0" w:line="173"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sets forth the number of Additional Shares by which the Conversion Rate for each $1,000 Original Principal Amount of Notes shall be increased based on the Stock Price and the Effective Date: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Effective Date</w:t>
            </w:r>
          </w:p>
        </w:tc>
        <w:tc>
          <w:tcPr>
            <w:tcW w:w="5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w w:val="93"/>
              </w:rPr>
              <w:t>Stock Price</w:t>
            </w:r>
          </w:p>
        </w:tc>
        <w:tc>
          <w:tcPr>
            <w:tcW w:w="6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420" w:type="dxa"/>
            <w:vAlign w:val="bottom"/>
            <w:gridSpan w:val="2"/>
            <w:vMerge w:val="continue"/>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b w:val="1"/>
                <w:bCs w:val="1"/>
                <w:color w:val="auto"/>
              </w:rPr>
              <w:t>$2.00</w:t>
            </w:r>
          </w:p>
        </w:tc>
        <w:tc>
          <w:tcPr>
            <w:tcW w:w="700" w:type="dxa"/>
            <w:vAlign w:val="bottom"/>
          </w:tcPr>
          <w:p>
            <w:pPr>
              <w:ind w:left="100"/>
              <w:spacing w:after="0"/>
              <w:rPr>
                <w:sz w:val="20"/>
                <w:szCs w:val="20"/>
                <w:color w:val="auto"/>
              </w:rPr>
            </w:pPr>
            <w:r>
              <w:rPr>
                <w:rFonts w:ascii="Arial" w:cs="Arial" w:eastAsia="Arial" w:hAnsi="Arial"/>
                <w:sz w:val="18"/>
                <w:szCs w:val="18"/>
                <w:b w:val="1"/>
                <w:bCs w:val="1"/>
                <w:color w:val="auto"/>
              </w:rPr>
              <w:t>$4.00</w:t>
            </w:r>
          </w:p>
        </w:tc>
        <w:tc>
          <w:tcPr>
            <w:tcW w:w="680" w:type="dxa"/>
            <w:vAlign w:val="bottom"/>
          </w:tcPr>
          <w:p>
            <w:pPr>
              <w:ind w:left="80"/>
              <w:spacing w:after="0"/>
              <w:rPr>
                <w:sz w:val="20"/>
                <w:szCs w:val="20"/>
                <w:color w:val="auto"/>
              </w:rPr>
            </w:pPr>
            <w:r>
              <w:rPr>
                <w:rFonts w:ascii="Arial" w:cs="Arial" w:eastAsia="Arial" w:hAnsi="Arial"/>
                <w:sz w:val="18"/>
                <w:szCs w:val="18"/>
                <w:b w:val="1"/>
                <w:bCs w:val="1"/>
                <w:color w:val="auto"/>
              </w:rPr>
              <w:t>$6.00</w:t>
            </w:r>
          </w:p>
        </w:tc>
        <w:tc>
          <w:tcPr>
            <w:tcW w:w="700" w:type="dxa"/>
            <w:vAlign w:val="bottom"/>
          </w:tcPr>
          <w:p>
            <w:pPr>
              <w:ind w:left="100"/>
              <w:spacing w:after="0"/>
              <w:rPr>
                <w:sz w:val="20"/>
                <w:szCs w:val="20"/>
                <w:color w:val="auto"/>
              </w:rPr>
            </w:pPr>
            <w:r>
              <w:rPr>
                <w:rFonts w:ascii="Arial" w:cs="Arial" w:eastAsia="Arial" w:hAnsi="Arial"/>
                <w:sz w:val="18"/>
                <w:szCs w:val="18"/>
                <w:b w:val="1"/>
                <w:bCs w:val="1"/>
                <w:color w:val="auto"/>
              </w:rPr>
              <w:t>$6.85</w:t>
            </w:r>
          </w:p>
        </w:tc>
        <w:tc>
          <w:tcPr>
            <w:tcW w:w="680" w:type="dxa"/>
            <w:vAlign w:val="bottom"/>
          </w:tcPr>
          <w:p>
            <w:pPr>
              <w:ind w:left="80"/>
              <w:spacing w:after="0"/>
              <w:rPr>
                <w:sz w:val="20"/>
                <w:szCs w:val="20"/>
                <w:color w:val="auto"/>
              </w:rPr>
            </w:pPr>
            <w:r>
              <w:rPr>
                <w:rFonts w:ascii="Arial" w:cs="Arial" w:eastAsia="Arial" w:hAnsi="Arial"/>
                <w:sz w:val="18"/>
                <w:szCs w:val="18"/>
                <w:b w:val="1"/>
                <w:bCs w:val="1"/>
                <w:color w:val="auto"/>
              </w:rPr>
              <w:t>$7.88</w:t>
            </w:r>
          </w:p>
        </w:tc>
        <w:tc>
          <w:tcPr>
            <w:tcW w:w="660" w:type="dxa"/>
            <w:vAlign w:val="bottom"/>
          </w:tcPr>
          <w:p>
            <w:pPr>
              <w:ind w:left="100"/>
              <w:spacing w:after="0"/>
              <w:rPr>
                <w:sz w:val="20"/>
                <w:szCs w:val="20"/>
                <w:color w:val="auto"/>
              </w:rPr>
            </w:pPr>
            <w:r>
              <w:rPr>
                <w:rFonts w:ascii="Arial" w:cs="Arial" w:eastAsia="Arial" w:hAnsi="Arial"/>
                <w:sz w:val="18"/>
                <w:szCs w:val="18"/>
                <w:b w:val="1"/>
                <w:bCs w:val="1"/>
                <w:color w:val="auto"/>
              </w:rPr>
              <w:t>$8.67</w:t>
            </w:r>
          </w:p>
        </w:tc>
        <w:tc>
          <w:tcPr>
            <w:tcW w:w="720" w:type="dxa"/>
            <w:vAlign w:val="bottom"/>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$12.50</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$15.00</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$20.00</w:t>
            </w: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$30.00</w:t>
            </w: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$50.00</w:t>
            </w:r>
          </w:p>
        </w:tc>
        <w:tc>
          <w:tcPr>
            <w:tcW w:w="880" w:type="dxa"/>
            <w:vAlign w:val="bottom"/>
          </w:tcPr>
          <w:p>
            <w:pPr>
              <w:ind w:left="80"/>
              <w:spacing w:after="0"/>
              <w:rPr>
                <w:sz w:val="20"/>
                <w:szCs w:val="20"/>
                <w:color w:val="auto"/>
              </w:rPr>
            </w:pPr>
            <w:r>
              <w:rPr>
                <w:rFonts w:ascii="Arial" w:cs="Arial" w:eastAsia="Arial" w:hAnsi="Arial"/>
                <w:sz w:val="18"/>
                <w:szCs w:val="18"/>
                <w:b w:val="1"/>
                <w:bCs w:val="1"/>
                <w:color w:val="auto"/>
              </w:rPr>
              <w:t>$100.00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March 6, 2018</w:t>
            </w: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8.0292</w:t>
            </w:r>
          </w:p>
        </w:tc>
        <w:tc>
          <w:tcPr>
            <w:tcW w:w="70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8.0292</w:t>
            </w:r>
          </w:p>
        </w:tc>
        <w:tc>
          <w:tcPr>
            <w:tcW w:w="68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8.0292</w:t>
            </w:r>
          </w:p>
        </w:tc>
        <w:tc>
          <w:tcPr>
            <w:tcW w:w="70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8.0292</w:t>
            </w:r>
          </w:p>
        </w:tc>
        <w:tc>
          <w:tcPr>
            <w:tcW w:w="68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6.9492</w:t>
            </w:r>
          </w:p>
        </w:tc>
        <w:tc>
          <w:tcPr>
            <w:tcW w:w="6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w w:val="98"/>
              </w:rPr>
              <w:t>6.2942</w:t>
            </w:r>
          </w:p>
        </w:tc>
        <w:tc>
          <w:tcPr>
            <w:tcW w:w="72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5.4279</w:t>
            </w:r>
          </w:p>
        </w:tc>
        <w:tc>
          <w:tcPr>
            <w:tcW w:w="68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4.2968</w:t>
            </w:r>
          </w:p>
        </w:tc>
        <w:tc>
          <w:tcPr>
            <w:tcW w:w="6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3.5443</w:t>
            </w:r>
          </w:p>
        </w:tc>
        <w:tc>
          <w:tcPr>
            <w:tcW w:w="6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2.6036</w:t>
            </w:r>
          </w:p>
        </w:tc>
        <w:tc>
          <w:tcPr>
            <w:tcW w:w="68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1.6607</w:t>
            </w:r>
          </w:p>
        </w:tc>
        <w:tc>
          <w:tcPr>
            <w:tcW w:w="68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0.9081</w:t>
            </w:r>
          </w:p>
        </w:tc>
        <w:tc>
          <w:tcPr>
            <w:tcW w:w="88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0.3414</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August 1, 2018</w:t>
            </w:r>
          </w:p>
        </w:tc>
        <w:tc>
          <w:tcPr>
            <w:tcW w:w="580" w:type="dxa"/>
            <w:vAlign w:val="bottom"/>
          </w:tcPr>
          <w:p>
            <w:pPr>
              <w:spacing w:after="0"/>
              <w:rPr>
                <w:sz w:val="20"/>
                <w:szCs w:val="20"/>
                <w:color w:val="auto"/>
              </w:rPr>
            </w:pPr>
            <w:r>
              <w:rPr>
                <w:rFonts w:ascii="Arial" w:cs="Arial" w:eastAsia="Arial" w:hAnsi="Arial"/>
                <w:sz w:val="18"/>
                <w:szCs w:val="18"/>
                <w:color w:val="auto"/>
              </w:rPr>
              <w:t>6.0219</w:t>
            </w:r>
          </w:p>
        </w:tc>
        <w:tc>
          <w:tcPr>
            <w:tcW w:w="700" w:type="dxa"/>
            <w:vAlign w:val="bottom"/>
          </w:tcPr>
          <w:p>
            <w:pPr>
              <w:ind w:left="100"/>
              <w:spacing w:after="0"/>
              <w:rPr>
                <w:sz w:val="20"/>
                <w:szCs w:val="20"/>
                <w:color w:val="auto"/>
              </w:rPr>
            </w:pPr>
            <w:r>
              <w:rPr>
                <w:rFonts w:ascii="Arial" w:cs="Arial" w:eastAsia="Arial" w:hAnsi="Arial"/>
                <w:sz w:val="18"/>
                <w:szCs w:val="18"/>
                <w:color w:val="auto"/>
              </w:rPr>
              <w:t>6.0219</w:t>
            </w:r>
          </w:p>
        </w:tc>
        <w:tc>
          <w:tcPr>
            <w:tcW w:w="680" w:type="dxa"/>
            <w:vAlign w:val="bottom"/>
          </w:tcPr>
          <w:p>
            <w:pPr>
              <w:ind w:left="80"/>
              <w:spacing w:after="0"/>
              <w:rPr>
                <w:sz w:val="20"/>
                <w:szCs w:val="20"/>
                <w:color w:val="auto"/>
              </w:rPr>
            </w:pPr>
            <w:r>
              <w:rPr>
                <w:rFonts w:ascii="Arial" w:cs="Arial" w:eastAsia="Arial" w:hAnsi="Arial"/>
                <w:sz w:val="18"/>
                <w:szCs w:val="18"/>
                <w:color w:val="auto"/>
              </w:rPr>
              <w:t>6.0219</w:t>
            </w:r>
          </w:p>
        </w:tc>
        <w:tc>
          <w:tcPr>
            <w:tcW w:w="700" w:type="dxa"/>
            <w:vAlign w:val="bottom"/>
          </w:tcPr>
          <w:p>
            <w:pPr>
              <w:ind w:left="100"/>
              <w:spacing w:after="0"/>
              <w:rPr>
                <w:sz w:val="20"/>
                <w:szCs w:val="20"/>
                <w:color w:val="auto"/>
              </w:rPr>
            </w:pPr>
            <w:r>
              <w:rPr>
                <w:rFonts w:ascii="Arial" w:cs="Arial" w:eastAsia="Arial" w:hAnsi="Arial"/>
                <w:sz w:val="18"/>
                <w:szCs w:val="18"/>
                <w:color w:val="auto"/>
              </w:rPr>
              <w:t>6.0219</w:t>
            </w:r>
          </w:p>
        </w:tc>
        <w:tc>
          <w:tcPr>
            <w:tcW w:w="680" w:type="dxa"/>
            <w:vAlign w:val="bottom"/>
          </w:tcPr>
          <w:p>
            <w:pPr>
              <w:ind w:left="80"/>
              <w:spacing w:after="0"/>
              <w:rPr>
                <w:sz w:val="20"/>
                <w:szCs w:val="20"/>
                <w:color w:val="auto"/>
              </w:rPr>
            </w:pPr>
            <w:r>
              <w:rPr>
                <w:rFonts w:ascii="Arial" w:cs="Arial" w:eastAsia="Arial" w:hAnsi="Arial"/>
                <w:sz w:val="18"/>
                <w:szCs w:val="18"/>
                <w:color w:val="auto"/>
              </w:rPr>
              <w:t>5.2145</w:t>
            </w:r>
          </w:p>
        </w:tc>
        <w:tc>
          <w:tcPr>
            <w:tcW w:w="660" w:type="dxa"/>
            <w:vAlign w:val="bottom"/>
          </w:tcPr>
          <w:p>
            <w:pPr>
              <w:ind w:left="100"/>
              <w:spacing w:after="0"/>
              <w:rPr>
                <w:sz w:val="20"/>
                <w:szCs w:val="20"/>
                <w:color w:val="auto"/>
              </w:rPr>
            </w:pPr>
            <w:r>
              <w:rPr>
                <w:rFonts w:ascii="Arial" w:cs="Arial" w:eastAsia="Arial" w:hAnsi="Arial"/>
                <w:sz w:val="18"/>
                <w:szCs w:val="18"/>
                <w:color w:val="auto"/>
                <w:w w:val="98"/>
              </w:rPr>
              <w:t>4.7248</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4.0768</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3.2304</w:t>
            </w:r>
          </w:p>
        </w:tc>
        <w:tc>
          <w:tcPr>
            <w:tcW w:w="680" w:type="dxa"/>
            <w:vAlign w:val="bottom"/>
          </w:tcPr>
          <w:p>
            <w:pPr>
              <w:jc w:val="right"/>
              <w:spacing w:after="0"/>
              <w:rPr>
                <w:sz w:val="20"/>
                <w:szCs w:val="20"/>
                <w:color w:val="auto"/>
              </w:rPr>
            </w:pPr>
            <w:r>
              <w:rPr>
                <w:rFonts w:ascii="Arial" w:cs="Arial" w:eastAsia="Arial" w:hAnsi="Arial"/>
                <w:sz w:val="18"/>
                <w:szCs w:val="18"/>
                <w:color w:val="auto"/>
              </w:rPr>
              <w:t>2.6674</w:t>
            </w:r>
          </w:p>
        </w:tc>
        <w:tc>
          <w:tcPr>
            <w:tcW w:w="680" w:type="dxa"/>
            <w:vAlign w:val="bottom"/>
          </w:tcPr>
          <w:p>
            <w:pPr>
              <w:jc w:val="right"/>
              <w:spacing w:after="0"/>
              <w:rPr>
                <w:sz w:val="20"/>
                <w:szCs w:val="20"/>
                <w:color w:val="auto"/>
              </w:rPr>
            </w:pPr>
            <w:r>
              <w:rPr>
                <w:rFonts w:ascii="Arial" w:cs="Arial" w:eastAsia="Arial" w:hAnsi="Arial"/>
                <w:sz w:val="18"/>
                <w:szCs w:val="18"/>
                <w:color w:val="auto"/>
              </w:rPr>
              <w:t>1.9632</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1.2581</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0.6942</w:t>
            </w:r>
          </w:p>
        </w:tc>
        <w:tc>
          <w:tcPr>
            <w:tcW w:w="880" w:type="dxa"/>
            <w:vAlign w:val="bottom"/>
          </w:tcPr>
          <w:p>
            <w:pPr>
              <w:ind w:left="80"/>
              <w:spacing w:after="0"/>
              <w:rPr>
                <w:sz w:val="20"/>
                <w:szCs w:val="20"/>
                <w:color w:val="auto"/>
              </w:rPr>
            </w:pPr>
            <w:r>
              <w:rPr>
                <w:rFonts w:ascii="Arial" w:cs="Arial" w:eastAsia="Arial" w:hAnsi="Arial"/>
                <w:sz w:val="18"/>
                <w:szCs w:val="18"/>
                <w:color w:val="auto"/>
              </w:rPr>
              <w:t>0.2661</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February 1, 2019</w:t>
            </w:r>
          </w:p>
        </w:tc>
        <w:tc>
          <w:tcPr>
            <w:tcW w:w="580" w:type="dxa"/>
            <w:vAlign w:val="bottom"/>
          </w:tcPr>
          <w:p>
            <w:pPr>
              <w:spacing w:after="0"/>
              <w:rPr>
                <w:sz w:val="20"/>
                <w:szCs w:val="20"/>
                <w:color w:val="auto"/>
              </w:rPr>
            </w:pPr>
            <w:r>
              <w:rPr>
                <w:rFonts w:ascii="Arial" w:cs="Arial" w:eastAsia="Arial" w:hAnsi="Arial"/>
                <w:sz w:val="18"/>
                <w:szCs w:val="18"/>
                <w:color w:val="auto"/>
              </w:rPr>
              <w:t>4.0146</w:t>
            </w:r>
          </w:p>
        </w:tc>
        <w:tc>
          <w:tcPr>
            <w:tcW w:w="700" w:type="dxa"/>
            <w:vAlign w:val="bottom"/>
          </w:tcPr>
          <w:p>
            <w:pPr>
              <w:ind w:left="100"/>
              <w:spacing w:after="0"/>
              <w:rPr>
                <w:sz w:val="20"/>
                <w:szCs w:val="20"/>
                <w:color w:val="auto"/>
              </w:rPr>
            </w:pPr>
            <w:r>
              <w:rPr>
                <w:rFonts w:ascii="Arial" w:cs="Arial" w:eastAsia="Arial" w:hAnsi="Arial"/>
                <w:sz w:val="18"/>
                <w:szCs w:val="18"/>
                <w:color w:val="auto"/>
              </w:rPr>
              <w:t>4.0146</w:t>
            </w:r>
          </w:p>
        </w:tc>
        <w:tc>
          <w:tcPr>
            <w:tcW w:w="680" w:type="dxa"/>
            <w:vAlign w:val="bottom"/>
          </w:tcPr>
          <w:p>
            <w:pPr>
              <w:ind w:left="80"/>
              <w:spacing w:after="0"/>
              <w:rPr>
                <w:sz w:val="20"/>
                <w:szCs w:val="20"/>
                <w:color w:val="auto"/>
              </w:rPr>
            </w:pPr>
            <w:r>
              <w:rPr>
                <w:rFonts w:ascii="Arial" w:cs="Arial" w:eastAsia="Arial" w:hAnsi="Arial"/>
                <w:sz w:val="18"/>
                <w:szCs w:val="18"/>
                <w:color w:val="auto"/>
              </w:rPr>
              <w:t>4.0146</w:t>
            </w:r>
          </w:p>
        </w:tc>
        <w:tc>
          <w:tcPr>
            <w:tcW w:w="700" w:type="dxa"/>
            <w:vAlign w:val="bottom"/>
          </w:tcPr>
          <w:p>
            <w:pPr>
              <w:ind w:left="100"/>
              <w:spacing w:after="0"/>
              <w:rPr>
                <w:sz w:val="20"/>
                <w:szCs w:val="20"/>
                <w:color w:val="auto"/>
              </w:rPr>
            </w:pPr>
            <w:r>
              <w:rPr>
                <w:rFonts w:ascii="Arial" w:cs="Arial" w:eastAsia="Arial" w:hAnsi="Arial"/>
                <w:sz w:val="18"/>
                <w:szCs w:val="18"/>
                <w:color w:val="auto"/>
              </w:rPr>
              <w:t>4.0146</w:t>
            </w:r>
          </w:p>
        </w:tc>
        <w:tc>
          <w:tcPr>
            <w:tcW w:w="680" w:type="dxa"/>
            <w:vAlign w:val="bottom"/>
          </w:tcPr>
          <w:p>
            <w:pPr>
              <w:ind w:left="80"/>
              <w:spacing w:after="0"/>
              <w:rPr>
                <w:sz w:val="20"/>
                <w:szCs w:val="20"/>
                <w:color w:val="auto"/>
              </w:rPr>
            </w:pPr>
            <w:r>
              <w:rPr>
                <w:rFonts w:ascii="Arial" w:cs="Arial" w:eastAsia="Arial" w:hAnsi="Arial"/>
                <w:sz w:val="18"/>
                <w:szCs w:val="18"/>
                <w:color w:val="auto"/>
              </w:rPr>
              <w:t>3.4782</w:t>
            </w:r>
          </w:p>
        </w:tc>
        <w:tc>
          <w:tcPr>
            <w:tcW w:w="660" w:type="dxa"/>
            <w:vAlign w:val="bottom"/>
          </w:tcPr>
          <w:p>
            <w:pPr>
              <w:ind w:left="100"/>
              <w:spacing w:after="0"/>
              <w:rPr>
                <w:sz w:val="20"/>
                <w:szCs w:val="20"/>
                <w:color w:val="auto"/>
              </w:rPr>
            </w:pPr>
            <w:r>
              <w:rPr>
                <w:rFonts w:ascii="Arial" w:cs="Arial" w:eastAsia="Arial" w:hAnsi="Arial"/>
                <w:sz w:val="18"/>
                <w:szCs w:val="18"/>
                <w:color w:val="auto"/>
                <w:w w:val="98"/>
              </w:rPr>
              <w:t>3.1529</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2.7220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2.1593</w:t>
            </w:r>
          </w:p>
        </w:tc>
        <w:tc>
          <w:tcPr>
            <w:tcW w:w="680" w:type="dxa"/>
            <w:vAlign w:val="bottom"/>
          </w:tcPr>
          <w:p>
            <w:pPr>
              <w:jc w:val="right"/>
              <w:spacing w:after="0"/>
              <w:rPr>
                <w:sz w:val="20"/>
                <w:szCs w:val="20"/>
                <w:color w:val="auto"/>
              </w:rPr>
            </w:pPr>
            <w:r>
              <w:rPr>
                <w:rFonts w:ascii="Arial" w:cs="Arial" w:eastAsia="Arial" w:hAnsi="Arial"/>
                <w:sz w:val="18"/>
                <w:szCs w:val="18"/>
                <w:color w:val="auto"/>
              </w:rPr>
              <w:t>1.7850</w:t>
            </w:r>
          </w:p>
        </w:tc>
        <w:tc>
          <w:tcPr>
            <w:tcW w:w="680" w:type="dxa"/>
            <w:vAlign w:val="bottom"/>
          </w:tcPr>
          <w:p>
            <w:pPr>
              <w:jc w:val="right"/>
              <w:spacing w:after="0"/>
              <w:rPr>
                <w:sz w:val="20"/>
                <w:szCs w:val="20"/>
                <w:color w:val="auto"/>
              </w:rPr>
            </w:pPr>
            <w:r>
              <w:rPr>
                <w:rFonts w:ascii="Arial" w:cs="Arial" w:eastAsia="Arial" w:hAnsi="Arial"/>
                <w:sz w:val="18"/>
                <w:szCs w:val="18"/>
                <w:color w:val="auto"/>
              </w:rPr>
              <w:t>1.3164</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0.8479</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0.4723</w:t>
            </w:r>
          </w:p>
        </w:tc>
        <w:tc>
          <w:tcPr>
            <w:tcW w:w="880" w:type="dxa"/>
            <w:vAlign w:val="bottom"/>
          </w:tcPr>
          <w:p>
            <w:pPr>
              <w:ind w:left="80"/>
              <w:spacing w:after="0"/>
              <w:rPr>
                <w:sz w:val="20"/>
                <w:szCs w:val="20"/>
                <w:color w:val="auto"/>
              </w:rPr>
            </w:pPr>
            <w:r>
              <w:rPr>
                <w:rFonts w:ascii="Arial" w:cs="Arial" w:eastAsia="Arial" w:hAnsi="Arial"/>
                <w:sz w:val="18"/>
                <w:szCs w:val="18"/>
                <w:color w:val="auto"/>
              </w:rPr>
              <w:t>0.1847</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August 1, 2019</w:t>
            </w:r>
          </w:p>
        </w:tc>
        <w:tc>
          <w:tcPr>
            <w:tcW w:w="580" w:type="dxa"/>
            <w:vAlign w:val="bottom"/>
          </w:tcPr>
          <w:p>
            <w:pPr>
              <w:spacing w:after="0"/>
              <w:rPr>
                <w:sz w:val="20"/>
                <w:szCs w:val="20"/>
                <w:color w:val="auto"/>
              </w:rPr>
            </w:pPr>
            <w:r>
              <w:rPr>
                <w:rFonts w:ascii="Arial" w:cs="Arial" w:eastAsia="Arial" w:hAnsi="Arial"/>
                <w:sz w:val="18"/>
                <w:szCs w:val="18"/>
                <w:color w:val="auto"/>
              </w:rPr>
              <w:t>2.0073</w:t>
            </w:r>
          </w:p>
        </w:tc>
        <w:tc>
          <w:tcPr>
            <w:tcW w:w="700" w:type="dxa"/>
            <w:vAlign w:val="bottom"/>
          </w:tcPr>
          <w:p>
            <w:pPr>
              <w:ind w:left="100"/>
              <w:spacing w:after="0"/>
              <w:rPr>
                <w:sz w:val="20"/>
                <w:szCs w:val="20"/>
                <w:color w:val="auto"/>
              </w:rPr>
            </w:pPr>
            <w:r>
              <w:rPr>
                <w:rFonts w:ascii="Arial" w:cs="Arial" w:eastAsia="Arial" w:hAnsi="Arial"/>
                <w:sz w:val="18"/>
                <w:szCs w:val="18"/>
                <w:color w:val="auto"/>
              </w:rPr>
              <w:t>2.0073</w:t>
            </w:r>
          </w:p>
        </w:tc>
        <w:tc>
          <w:tcPr>
            <w:tcW w:w="680" w:type="dxa"/>
            <w:vAlign w:val="bottom"/>
          </w:tcPr>
          <w:p>
            <w:pPr>
              <w:ind w:left="80"/>
              <w:spacing w:after="0"/>
              <w:rPr>
                <w:sz w:val="20"/>
                <w:szCs w:val="20"/>
                <w:color w:val="auto"/>
              </w:rPr>
            </w:pPr>
            <w:r>
              <w:rPr>
                <w:rFonts w:ascii="Arial" w:cs="Arial" w:eastAsia="Arial" w:hAnsi="Arial"/>
                <w:sz w:val="18"/>
                <w:szCs w:val="18"/>
                <w:color w:val="auto"/>
              </w:rPr>
              <w:t>2.0073</w:t>
            </w:r>
          </w:p>
        </w:tc>
        <w:tc>
          <w:tcPr>
            <w:tcW w:w="700" w:type="dxa"/>
            <w:vAlign w:val="bottom"/>
          </w:tcPr>
          <w:p>
            <w:pPr>
              <w:ind w:left="100"/>
              <w:spacing w:after="0"/>
              <w:rPr>
                <w:sz w:val="20"/>
                <w:szCs w:val="20"/>
                <w:color w:val="auto"/>
              </w:rPr>
            </w:pPr>
            <w:r>
              <w:rPr>
                <w:rFonts w:ascii="Arial" w:cs="Arial" w:eastAsia="Arial" w:hAnsi="Arial"/>
                <w:sz w:val="18"/>
                <w:szCs w:val="18"/>
                <w:color w:val="auto"/>
              </w:rPr>
              <w:t>2.0073</w:t>
            </w:r>
          </w:p>
        </w:tc>
        <w:tc>
          <w:tcPr>
            <w:tcW w:w="680" w:type="dxa"/>
            <w:vAlign w:val="bottom"/>
          </w:tcPr>
          <w:p>
            <w:pPr>
              <w:ind w:left="80"/>
              <w:spacing w:after="0"/>
              <w:rPr>
                <w:sz w:val="20"/>
                <w:szCs w:val="20"/>
                <w:color w:val="auto"/>
              </w:rPr>
            </w:pPr>
            <w:r>
              <w:rPr>
                <w:rFonts w:ascii="Arial" w:cs="Arial" w:eastAsia="Arial" w:hAnsi="Arial"/>
                <w:sz w:val="18"/>
                <w:szCs w:val="18"/>
                <w:color w:val="auto"/>
              </w:rPr>
              <w:t>1.7398</w:t>
            </w:r>
          </w:p>
        </w:tc>
        <w:tc>
          <w:tcPr>
            <w:tcW w:w="660" w:type="dxa"/>
            <w:vAlign w:val="bottom"/>
          </w:tcPr>
          <w:p>
            <w:pPr>
              <w:ind w:left="100"/>
              <w:spacing w:after="0"/>
              <w:rPr>
                <w:sz w:val="20"/>
                <w:szCs w:val="20"/>
                <w:color w:val="auto"/>
              </w:rPr>
            </w:pPr>
            <w:r>
              <w:rPr>
                <w:rFonts w:ascii="Arial" w:cs="Arial" w:eastAsia="Arial" w:hAnsi="Arial"/>
                <w:sz w:val="18"/>
                <w:szCs w:val="18"/>
                <w:color w:val="auto"/>
                <w:w w:val="98"/>
              </w:rPr>
              <w:t>1.5778</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1.3627</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1.0822</w:t>
            </w:r>
          </w:p>
        </w:tc>
        <w:tc>
          <w:tcPr>
            <w:tcW w:w="680" w:type="dxa"/>
            <w:vAlign w:val="bottom"/>
          </w:tcPr>
          <w:p>
            <w:pPr>
              <w:jc w:val="right"/>
              <w:spacing w:after="0"/>
              <w:rPr>
                <w:sz w:val="20"/>
                <w:szCs w:val="20"/>
                <w:color w:val="auto"/>
              </w:rPr>
            </w:pPr>
            <w:r>
              <w:rPr>
                <w:rFonts w:ascii="Arial" w:cs="Arial" w:eastAsia="Arial" w:hAnsi="Arial"/>
                <w:sz w:val="18"/>
                <w:szCs w:val="18"/>
                <w:color w:val="auto"/>
              </w:rPr>
              <w:t>0.8954</w:t>
            </w:r>
          </w:p>
        </w:tc>
        <w:tc>
          <w:tcPr>
            <w:tcW w:w="680" w:type="dxa"/>
            <w:vAlign w:val="bottom"/>
          </w:tcPr>
          <w:p>
            <w:pPr>
              <w:jc w:val="right"/>
              <w:spacing w:after="0"/>
              <w:rPr>
                <w:sz w:val="20"/>
                <w:szCs w:val="20"/>
                <w:color w:val="auto"/>
              </w:rPr>
            </w:pPr>
            <w:r>
              <w:rPr>
                <w:rFonts w:ascii="Arial" w:cs="Arial" w:eastAsia="Arial" w:hAnsi="Arial"/>
                <w:sz w:val="18"/>
                <w:szCs w:val="18"/>
                <w:color w:val="auto"/>
              </w:rPr>
              <w:t>0.6620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0.4282</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0.2411</w:t>
            </w:r>
          </w:p>
        </w:tc>
        <w:tc>
          <w:tcPr>
            <w:tcW w:w="880" w:type="dxa"/>
            <w:vAlign w:val="bottom"/>
          </w:tcPr>
          <w:p>
            <w:pPr>
              <w:ind w:left="80"/>
              <w:spacing w:after="0"/>
              <w:rPr>
                <w:sz w:val="20"/>
                <w:szCs w:val="20"/>
                <w:color w:val="auto"/>
              </w:rPr>
            </w:pPr>
            <w:r>
              <w:rPr>
                <w:rFonts w:ascii="Arial" w:cs="Arial" w:eastAsia="Arial" w:hAnsi="Arial"/>
                <w:sz w:val="18"/>
                <w:szCs w:val="18"/>
                <w:color w:val="auto"/>
              </w:rPr>
              <w:t>0.0980</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February 1, 2020</w:t>
            </w:r>
          </w:p>
        </w:tc>
        <w:tc>
          <w:tcPr>
            <w:tcW w:w="580" w:type="dxa"/>
            <w:vAlign w:val="bottom"/>
          </w:tcPr>
          <w:p>
            <w:pPr>
              <w:spacing w:after="0"/>
              <w:rPr>
                <w:sz w:val="20"/>
                <w:szCs w:val="20"/>
                <w:color w:val="auto"/>
              </w:rPr>
            </w:pPr>
            <w:r>
              <w:rPr>
                <w:rFonts w:ascii="Arial" w:cs="Arial" w:eastAsia="Arial" w:hAnsi="Arial"/>
                <w:sz w:val="18"/>
                <w:szCs w:val="18"/>
                <w:color w:val="auto"/>
              </w:rPr>
              <w:t>1.8829</w:t>
            </w:r>
          </w:p>
        </w:tc>
        <w:tc>
          <w:tcPr>
            <w:tcW w:w="700" w:type="dxa"/>
            <w:vAlign w:val="bottom"/>
          </w:tcPr>
          <w:p>
            <w:pPr>
              <w:ind w:left="100"/>
              <w:spacing w:after="0"/>
              <w:rPr>
                <w:sz w:val="20"/>
                <w:szCs w:val="20"/>
                <w:color w:val="auto"/>
              </w:rPr>
            </w:pPr>
            <w:r>
              <w:rPr>
                <w:rFonts w:ascii="Arial" w:cs="Arial" w:eastAsia="Arial" w:hAnsi="Arial"/>
                <w:sz w:val="18"/>
                <w:szCs w:val="18"/>
                <w:color w:val="auto"/>
              </w:rPr>
              <w:t>1.8829</w:t>
            </w:r>
          </w:p>
        </w:tc>
        <w:tc>
          <w:tcPr>
            <w:tcW w:w="680" w:type="dxa"/>
            <w:vAlign w:val="bottom"/>
          </w:tcPr>
          <w:p>
            <w:pPr>
              <w:ind w:left="80"/>
              <w:spacing w:after="0"/>
              <w:rPr>
                <w:sz w:val="20"/>
                <w:szCs w:val="20"/>
                <w:color w:val="auto"/>
              </w:rPr>
            </w:pPr>
            <w:r>
              <w:rPr>
                <w:rFonts w:ascii="Arial" w:cs="Arial" w:eastAsia="Arial" w:hAnsi="Arial"/>
                <w:sz w:val="18"/>
                <w:szCs w:val="18"/>
                <w:color w:val="auto"/>
              </w:rPr>
              <w:t>1.8829</w:t>
            </w:r>
          </w:p>
        </w:tc>
        <w:tc>
          <w:tcPr>
            <w:tcW w:w="700" w:type="dxa"/>
            <w:vAlign w:val="bottom"/>
          </w:tcPr>
          <w:p>
            <w:pPr>
              <w:ind w:left="100"/>
              <w:spacing w:after="0"/>
              <w:rPr>
                <w:sz w:val="20"/>
                <w:szCs w:val="20"/>
                <w:color w:val="auto"/>
              </w:rPr>
            </w:pPr>
            <w:r>
              <w:rPr>
                <w:rFonts w:ascii="Arial" w:cs="Arial" w:eastAsia="Arial" w:hAnsi="Arial"/>
                <w:sz w:val="18"/>
                <w:szCs w:val="18"/>
                <w:color w:val="auto"/>
              </w:rPr>
              <w:t>1.8829</w:t>
            </w:r>
          </w:p>
        </w:tc>
        <w:tc>
          <w:tcPr>
            <w:tcW w:w="680" w:type="dxa"/>
            <w:vAlign w:val="bottom"/>
          </w:tcPr>
          <w:p>
            <w:pPr>
              <w:ind w:left="80"/>
              <w:spacing w:after="0"/>
              <w:rPr>
                <w:sz w:val="20"/>
                <w:szCs w:val="20"/>
                <w:color w:val="auto"/>
              </w:rPr>
            </w:pPr>
            <w:r>
              <w:rPr>
                <w:rFonts w:ascii="Arial" w:cs="Arial" w:eastAsia="Arial" w:hAnsi="Arial"/>
                <w:sz w:val="18"/>
                <w:szCs w:val="18"/>
                <w:color w:val="auto"/>
              </w:rPr>
              <w:t>1.6328</w:t>
            </w:r>
          </w:p>
        </w:tc>
        <w:tc>
          <w:tcPr>
            <w:tcW w:w="660" w:type="dxa"/>
            <w:vAlign w:val="bottom"/>
          </w:tcPr>
          <w:p>
            <w:pPr>
              <w:ind w:left="100"/>
              <w:spacing w:after="0"/>
              <w:rPr>
                <w:sz w:val="20"/>
                <w:szCs w:val="20"/>
                <w:color w:val="auto"/>
              </w:rPr>
            </w:pPr>
            <w:r>
              <w:rPr>
                <w:rFonts w:ascii="Arial" w:cs="Arial" w:eastAsia="Arial" w:hAnsi="Arial"/>
                <w:sz w:val="18"/>
                <w:szCs w:val="18"/>
                <w:color w:val="auto"/>
                <w:w w:val="98"/>
              </w:rPr>
              <w:t>1.4814</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1.2799</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1.0178</w:t>
            </w:r>
          </w:p>
        </w:tc>
        <w:tc>
          <w:tcPr>
            <w:tcW w:w="680" w:type="dxa"/>
            <w:vAlign w:val="bottom"/>
          </w:tcPr>
          <w:p>
            <w:pPr>
              <w:jc w:val="right"/>
              <w:spacing w:after="0"/>
              <w:rPr>
                <w:sz w:val="20"/>
                <w:szCs w:val="20"/>
                <w:color w:val="auto"/>
              </w:rPr>
            </w:pPr>
            <w:r>
              <w:rPr>
                <w:rFonts w:ascii="Arial" w:cs="Arial" w:eastAsia="Arial" w:hAnsi="Arial"/>
                <w:sz w:val="18"/>
                <w:szCs w:val="18"/>
                <w:color w:val="auto"/>
              </w:rPr>
              <w:t>0.8431</w:t>
            </w:r>
          </w:p>
        </w:tc>
        <w:tc>
          <w:tcPr>
            <w:tcW w:w="680" w:type="dxa"/>
            <w:vAlign w:val="bottom"/>
          </w:tcPr>
          <w:p>
            <w:pPr>
              <w:jc w:val="right"/>
              <w:spacing w:after="0"/>
              <w:rPr>
                <w:sz w:val="20"/>
                <w:szCs w:val="20"/>
                <w:color w:val="auto"/>
              </w:rPr>
            </w:pPr>
            <w:r>
              <w:rPr>
                <w:rFonts w:ascii="Arial" w:cs="Arial" w:eastAsia="Arial" w:hAnsi="Arial"/>
                <w:sz w:val="18"/>
                <w:szCs w:val="18"/>
                <w:color w:val="auto"/>
              </w:rPr>
              <w:t>0.6250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0.4062</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0.2314</w:t>
            </w:r>
          </w:p>
        </w:tc>
        <w:tc>
          <w:tcPr>
            <w:tcW w:w="880" w:type="dxa"/>
            <w:vAlign w:val="bottom"/>
          </w:tcPr>
          <w:p>
            <w:pPr>
              <w:ind w:left="80"/>
              <w:spacing w:after="0"/>
              <w:rPr>
                <w:sz w:val="20"/>
                <w:szCs w:val="20"/>
                <w:color w:val="auto"/>
              </w:rPr>
            </w:pPr>
            <w:r>
              <w:rPr>
                <w:rFonts w:ascii="Arial" w:cs="Arial" w:eastAsia="Arial" w:hAnsi="Arial"/>
                <w:sz w:val="18"/>
                <w:szCs w:val="18"/>
                <w:color w:val="auto"/>
              </w:rPr>
              <w:t>0.0980</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August 1, 2020</w:t>
            </w:r>
          </w:p>
        </w:tc>
        <w:tc>
          <w:tcPr>
            <w:tcW w:w="580" w:type="dxa"/>
            <w:vAlign w:val="bottom"/>
          </w:tcPr>
          <w:p>
            <w:pPr>
              <w:spacing w:after="0"/>
              <w:rPr>
                <w:sz w:val="20"/>
                <w:szCs w:val="20"/>
                <w:color w:val="auto"/>
              </w:rPr>
            </w:pPr>
            <w:r>
              <w:rPr>
                <w:rFonts w:ascii="Arial" w:cs="Arial" w:eastAsia="Arial" w:hAnsi="Arial"/>
                <w:sz w:val="18"/>
                <w:szCs w:val="18"/>
                <w:color w:val="auto"/>
              </w:rPr>
              <w:t>1.5748</w:t>
            </w:r>
          </w:p>
        </w:tc>
        <w:tc>
          <w:tcPr>
            <w:tcW w:w="700" w:type="dxa"/>
            <w:vAlign w:val="bottom"/>
          </w:tcPr>
          <w:p>
            <w:pPr>
              <w:ind w:left="100"/>
              <w:spacing w:after="0"/>
              <w:rPr>
                <w:sz w:val="20"/>
                <w:szCs w:val="20"/>
                <w:color w:val="auto"/>
              </w:rPr>
            </w:pPr>
            <w:r>
              <w:rPr>
                <w:rFonts w:ascii="Arial" w:cs="Arial" w:eastAsia="Arial" w:hAnsi="Arial"/>
                <w:sz w:val="18"/>
                <w:szCs w:val="18"/>
                <w:color w:val="auto"/>
              </w:rPr>
              <w:t>1.5748</w:t>
            </w:r>
          </w:p>
        </w:tc>
        <w:tc>
          <w:tcPr>
            <w:tcW w:w="680" w:type="dxa"/>
            <w:vAlign w:val="bottom"/>
          </w:tcPr>
          <w:p>
            <w:pPr>
              <w:ind w:left="80"/>
              <w:spacing w:after="0"/>
              <w:rPr>
                <w:sz w:val="20"/>
                <w:szCs w:val="20"/>
                <w:color w:val="auto"/>
              </w:rPr>
            </w:pPr>
            <w:r>
              <w:rPr>
                <w:rFonts w:ascii="Arial" w:cs="Arial" w:eastAsia="Arial" w:hAnsi="Arial"/>
                <w:sz w:val="18"/>
                <w:szCs w:val="18"/>
                <w:color w:val="auto"/>
              </w:rPr>
              <w:t>1.5748</w:t>
            </w:r>
          </w:p>
        </w:tc>
        <w:tc>
          <w:tcPr>
            <w:tcW w:w="700" w:type="dxa"/>
            <w:vAlign w:val="bottom"/>
          </w:tcPr>
          <w:p>
            <w:pPr>
              <w:ind w:left="100"/>
              <w:spacing w:after="0"/>
              <w:rPr>
                <w:sz w:val="20"/>
                <w:szCs w:val="20"/>
                <w:color w:val="auto"/>
              </w:rPr>
            </w:pPr>
            <w:r>
              <w:rPr>
                <w:rFonts w:ascii="Arial" w:cs="Arial" w:eastAsia="Arial" w:hAnsi="Arial"/>
                <w:sz w:val="18"/>
                <w:szCs w:val="18"/>
                <w:color w:val="auto"/>
              </w:rPr>
              <w:t>1.5748</w:t>
            </w:r>
          </w:p>
        </w:tc>
        <w:tc>
          <w:tcPr>
            <w:tcW w:w="680" w:type="dxa"/>
            <w:vAlign w:val="bottom"/>
          </w:tcPr>
          <w:p>
            <w:pPr>
              <w:ind w:left="80"/>
              <w:spacing w:after="0"/>
              <w:rPr>
                <w:sz w:val="20"/>
                <w:szCs w:val="20"/>
                <w:color w:val="auto"/>
              </w:rPr>
            </w:pPr>
            <w:r>
              <w:rPr>
                <w:rFonts w:ascii="Arial" w:cs="Arial" w:eastAsia="Arial" w:hAnsi="Arial"/>
                <w:sz w:val="18"/>
                <w:szCs w:val="18"/>
                <w:color w:val="auto"/>
              </w:rPr>
              <w:t>1.3660</w:t>
            </w:r>
          </w:p>
        </w:tc>
        <w:tc>
          <w:tcPr>
            <w:tcW w:w="660" w:type="dxa"/>
            <w:vAlign w:val="bottom"/>
          </w:tcPr>
          <w:p>
            <w:pPr>
              <w:ind w:left="100"/>
              <w:spacing w:after="0"/>
              <w:rPr>
                <w:sz w:val="20"/>
                <w:szCs w:val="20"/>
                <w:color w:val="auto"/>
              </w:rPr>
            </w:pPr>
            <w:r>
              <w:rPr>
                <w:rFonts w:ascii="Arial" w:cs="Arial" w:eastAsia="Arial" w:hAnsi="Arial"/>
                <w:sz w:val="18"/>
                <w:szCs w:val="18"/>
                <w:color w:val="auto"/>
                <w:w w:val="98"/>
              </w:rPr>
              <w:t>1.2396</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1.0715</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0.8527</w:t>
            </w:r>
          </w:p>
        </w:tc>
        <w:tc>
          <w:tcPr>
            <w:tcW w:w="680" w:type="dxa"/>
            <w:vAlign w:val="bottom"/>
          </w:tcPr>
          <w:p>
            <w:pPr>
              <w:jc w:val="right"/>
              <w:spacing w:after="0"/>
              <w:rPr>
                <w:sz w:val="20"/>
                <w:szCs w:val="20"/>
                <w:color w:val="auto"/>
              </w:rPr>
            </w:pPr>
            <w:r>
              <w:rPr>
                <w:rFonts w:ascii="Arial" w:cs="Arial" w:eastAsia="Arial" w:hAnsi="Arial"/>
                <w:sz w:val="18"/>
                <w:szCs w:val="18"/>
                <w:color w:val="auto"/>
              </w:rPr>
              <w:t>0.7067</w:t>
            </w:r>
          </w:p>
        </w:tc>
        <w:tc>
          <w:tcPr>
            <w:tcW w:w="680" w:type="dxa"/>
            <w:vAlign w:val="bottom"/>
          </w:tcPr>
          <w:p>
            <w:pPr>
              <w:jc w:val="right"/>
              <w:spacing w:after="0"/>
              <w:rPr>
                <w:sz w:val="20"/>
                <w:szCs w:val="20"/>
                <w:color w:val="auto"/>
              </w:rPr>
            </w:pPr>
            <w:r>
              <w:rPr>
                <w:rFonts w:ascii="Arial" w:cs="Arial" w:eastAsia="Arial" w:hAnsi="Arial"/>
                <w:sz w:val="18"/>
                <w:szCs w:val="18"/>
                <w:color w:val="auto"/>
              </w:rPr>
              <w:t>0.5246</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0.3422</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0.1964</w:t>
            </w:r>
          </w:p>
        </w:tc>
        <w:tc>
          <w:tcPr>
            <w:tcW w:w="880" w:type="dxa"/>
            <w:vAlign w:val="bottom"/>
          </w:tcPr>
          <w:p>
            <w:pPr>
              <w:ind w:left="80"/>
              <w:spacing w:after="0"/>
              <w:rPr>
                <w:sz w:val="20"/>
                <w:szCs w:val="20"/>
                <w:color w:val="auto"/>
              </w:rPr>
            </w:pPr>
            <w:r>
              <w:rPr>
                <w:rFonts w:ascii="Arial" w:cs="Arial" w:eastAsia="Arial" w:hAnsi="Arial"/>
                <w:sz w:val="18"/>
                <w:szCs w:val="18"/>
                <w:color w:val="auto"/>
              </w:rPr>
              <w:t>0.0857</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February 1, 2021</w:t>
            </w:r>
          </w:p>
        </w:tc>
        <w:tc>
          <w:tcPr>
            <w:tcW w:w="580" w:type="dxa"/>
            <w:vAlign w:val="bottom"/>
          </w:tcPr>
          <w:p>
            <w:pPr>
              <w:spacing w:after="0"/>
              <w:rPr>
                <w:sz w:val="20"/>
                <w:szCs w:val="20"/>
                <w:color w:val="auto"/>
              </w:rPr>
            </w:pPr>
            <w:r>
              <w:rPr>
                <w:rFonts w:ascii="Arial" w:cs="Arial" w:eastAsia="Arial" w:hAnsi="Arial"/>
                <w:sz w:val="18"/>
                <w:szCs w:val="18"/>
                <w:color w:val="auto"/>
              </w:rPr>
              <w:t>1.2666</w:t>
            </w:r>
          </w:p>
        </w:tc>
        <w:tc>
          <w:tcPr>
            <w:tcW w:w="700" w:type="dxa"/>
            <w:vAlign w:val="bottom"/>
          </w:tcPr>
          <w:p>
            <w:pPr>
              <w:ind w:left="100"/>
              <w:spacing w:after="0"/>
              <w:rPr>
                <w:sz w:val="20"/>
                <w:szCs w:val="20"/>
                <w:color w:val="auto"/>
              </w:rPr>
            </w:pPr>
            <w:r>
              <w:rPr>
                <w:rFonts w:ascii="Arial" w:cs="Arial" w:eastAsia="Arial" w:hAnsi="Arial"/>
                <w:sz w:val="18"/>
                <w:szCs w:val="18"/>
                <w:color w:val="auto"/>
              </w:rPr>
              <w:t>1.2666</w:t>
            </w:r>
          </w:p>
        </w:tc>
        <w:tc>
          <w:tcPr>
            <w:tcW w:w="680" w:type="dxa"/>
            <w:vAlign w:val="bottom"/>
          </w:tcPr>
          <w:p>
            <w:pPr>
              <w:ind w:left="80"/>
              <w:spacing w:after="0"/>
              <w:rPr>
                <w:sz w:val="20"/>
                <w:szCs w:val="20"/>
                <w:color w:val="auto"/>
              </w:rPr>
            </w:pPr>
            <w:r>
              <w:rPr>
                <w:rFonts w:ascii="Arial" w:cs="Arial" w:eastAsia="Arial" w:hAnsi="Arial"/>
                <w:sz w:val="18"/>
                <w:szCs w:val="18"/>
                <w:color w:val="auto"/>
              </w:rPr>
              <w:t>1.2666</w:t>
            </w:r>
          </w:p>
        </w:tc>
        <w:tc>
          <w:tcPr>
            <w:tcW w:w="700" w:type="dxa"/>
            <w:vAlign w:val="bottom"/>
          </w:tcPr>
          <w:p>
            <w:pPr>
              <w:ind w:left="100"/>
              <w:spacing w:after="0"/>
              <w:rPr>
                <w:sz w:val="20"/>
                <w:szCs w:val="20"/>
                <w:color w:val="auto"/>
              </w:rPr>
            </w:pPr>
            <w:r>
              <w:rPr>
                <w:rFonts w:ascii="Arial" w:cs="Arial" w:eastAsia="Arial" w:hAnsi="Arial"/>
                <w:sz w:val="18"/>
                <w:szCs w:val="18"/>
                <w:color w:val="auto"/>
              </w:rPr>
              <w:t>1.2666</w:t>
            </w:r>
          </w:p>
        </w:tc>
        <w:tc>
          <w:tcPr>
            <w:tcW w:w="680" w:type="dxa"/>
            <w:vAlign w:val="bottom"/>
          </w:tcPr>
          <w:p>
            <w:pPr>
              <w:ind w:left="80"/>
              <w:spacing w:after="0"/>
              <w:rPr>
                <w:sz w:val="20"/>
                <w:szCs w:val="20"/>
                <w:color w:val="auto"/>
              </w:rPr>
            </w:pPr>
            <w:r>
              <w:rPr>
                <w:rFonts w:ascii="Arial" w:cs="Arial" w:eastAsia="Arial" w:hAnsi="Arial"/>
                <w:sz w:val="18"/>
                <w:szCs w:val="18"/>
                <w:color w:val="auto"/>
              </w:rPr>
              <w:t>1.0992</w:t>
            </w:r>
          </w:p>
        </w:tc>
        <w:tc>
          <w:tcPr>
            <w:tcW w:w="660" w:type="dxa"/>
            <w:vAlign w:val="bottom"/>
          </w:tcPr>
          <w:p>
            <w:pPr>
              <w:ind w:left="100"/>
              <w:spacing w:after="0"/>
              <w:rPr>
                <w:sz w:val="20"/>
                <w:szCs w:val="20"/>
                <w:color w:val="auto"/>
              </w:rPr>
            </w:pPr>
            <w:r>
              <w:rPr>
                <w:rFonts w:ascii="Arial" w:cs="Arial" w:eastAsia="Arial" w:hAnsi="Arial"/>
                <w:sz w:val="18"/>
                <w:szCs w:val="18"/>
                <w:color w:val="auto"/>
                <w:w w:val="98"/>
              </w:rPr>
              <w:t>0.9978</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0.8631</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0.6877</w:t>
            </w:r>
          </w:p>
        </w:tc>
        <w:tc>
          <w:tcPr>
            <w:tcW w:w="680" w:type="dxa"/>
            <w:vAlign w:val="bottom"/>
          </w:tcPr>
          <w:p>
            <w:pPr>
              <w:jc w:val="right"/>
              <w:spacing w:after="0"/>
              <w:rPr>
                <w:sz w:val="20"/>
                <w:szCs w:val="20"/>
                <w:color w:val="auto"/>
              </w:rPr>
            </w:pPr>
            <w:r>
              <w:rPr>
                <w:rFonts w:ascii="Arial" w:cs="Arial" w:eastAsia="Arial" w:hAnsi="Arial"/>
                <w:sz w:val="18"/>
                <w:szCs w:val="18"/>
                <w:color w:val="auto"/>
              </w:rPr>
              <w:t>0.5703</w:t>
            </w:r>
          </w:p>
        </w:tc>
        <w:tc>
          <w:tcPr>
            <w:tcW w:w="680" w:type="dxa"/>
            <w:vAlign w:val="bottom"/>
          </w:tcPr>
          <w:p>
            <w:pPr>
              <w:jc w:val="right"/>
              <w:spacing w:after="0"/>
              <w:rPr>
                <w:sz w:val="20"/>
                <w:szCs w:val="20"/>
                <w:color w:val="auto"/>
              </w:rPr>
            </w:pPr>
            <w:r>
              <w:rPr>
                <w:rFonts w:ascii="Arial" w:cs="Arial" w:eastAsia="Arial" w:hAnsi="Arial"/>
                <w:sz w:val="18"/>
                <w:szCs w:val="18"/>
                <w:color w:val="auto"/>
              </w:rPr>
              <w:t>0.4242</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0.2781</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0.1614</w:t>
            </w:r>
          </w:p>
        </w:tc>
        <w:tc>
          <w:tcPr>
            <w:tcW w:w="880" w:type="dxa"/>
            <w:vAlign w:val="bottom"/>
          </w:tcPr>
          <w:p>
            <w:pPr>
              <w:ind w:left="80"/>
              <w:spacing w:after="0"/>
              <w:rPr>
                <w:sz w:val="20"/>
                <w:szCs w:val="20"/>
                <w:color w:val="auto"/>
              </w:rPr>
            </w:pPr>
            <w:r>
              <w:rPr>
                <w:rFonts w:ascii="Arial" w:cs="Arial" w:eastAsia="Arial" w:hAnsi="Arial"/>
                <w:sz w:val="18"/>
                <w:szCs w:val="18"/>
                <w:color w:val="auto"/>
              </w:rPr>
              <w:t>0.0734</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August 1, 2021</w:t>
            </w:r>
          </w:p>
        </w:tc>
        <w:tc>
          <w:tcPr>
            <w:tcW w:w="580" w:type="dxa"/>
            <w:vAlign w:val="bottom"/>
          </w:tcPr>
          <w:p>
            <w:pPr>
              <w:spacing w:after="0"/>
              <w:rPr>
                <w:sz w:val="20"/>
                <w:szCs w:val="20"/>
                <w:color w:val="auto"/>
              </w:rPr>
            </w:pPr>
            <w:r>
              <w:rPr>
                <w:rFonts w:ascii="Arial" w:cs="Arial" w:eastAsia="Arial" w:hAnsi="Arial"/>
                <w:sz w:val="18"/>
                <w:szCs w:val="18"/>
                <w:color w:val="auto"/>
              </w:rPr>
              <w:t>1.2666</w:t>
            </w:r>
          </w:p>
        </w:tc>
        <w:tc>
          <w:tcPr>
            <w:tcW w:w="700" w:type="dxa"/>
            <w:vAlign w:val="bottom"/>
          </w:tcPr>
          <w:p>
            <w:pPr>
              <w:ind w:left="100"/>
              <w:spacing w:after="0"/>
              <w:rPr>
                <w:sz w:val="20"/>
                <w:szCs w:val="20"/>
                <w:color w:val="auto"/>
              </w:rPr>
            </w:pPr>
            <w:r>
              <w:rPr>
                <w:rFonts w:ascii="Arial" w:cs="Arial" w:eastAsia="Arial" w:hAnsi="Arial"/>
                <w:sz w:val="18"/>
                <w:szCs w:val="18"/>
                <w:color w:val="auto"/>
              </w:rPr>
              <w:t>1.2666</w:t>
            </w:r>
          </w:p>
        </w:tc>
        <w:tc>
          <w:tcPr>
            <w:tcW w:w="680" w:type="dxa"/>
            <w:vAlign w:val="bottom"/>
          </w:tcPr>
          <w:p>
            <w:pPr>
              <w:ind w:left="80"/>
              <w:spacing w:after="0"/>
              <w:rPr>
                <w:sz w:val="20"/>
                <w:szCs w:val="20"/>
                <w:color w:val="auto"/>
              </w:rPr>
            </w:pPr>
            <w:r>
              <w:rPr>
                <w:rFonts w:ascii="Arial" w:cs="Arial" w:eastAsia="Arial" w:hAnsi="Arial"/>
                <w:sz w:val="18"/>
                <w:szCs w:val="18"/>
                <w:color w:val="auto"/>
              </w:rPr>
              <w:t>1.2666</w:t>
            </w:r>
          </w:p>
        </w:tc>
        <w:tc>
          <w:tcPr>
            <w:tcW w:w="700" w:type="dxa"/>
            <w:vAlign w:val="bottom"/>
          </w:tcPr>
          <w:p>
            <w:pPr>
              <w:ind w:left="100"/>
              <w:spacing w:after="0"/>
              <w:rPr>
                <w:sz w:val="20"/>
                <w:szCs w:val="20"/>
                <w:color w:val="auto"/>
              </w:rPr>
            </w:pPr>
            <w:r>
              <w:rPr>
                <w:rFonts w:ascii="Arial" w:cs="Arial" w:eastAsia="Arial" w:hAnsi="Arial"/>
                <w:sz w:val="18"/>
                <w:szCs w:val="18"/>
                <w:color w:val="auto"/>
              </w:rPr>
              <w:t>1.2666</w:t>
            </w:r>
          </w:p>
        </w:tc>
        <w:tc>
          <w:tcPr>
            <w:tcW w:w="680" w:type="dxa"/>
            <w:vAlign w:val="bottom"/>
          </w:tcPr>
          <w:p>
            <w:pPr>
              <w:ind w:left="80"/>
              <w:spacing w:after="0"/>
              <w:rPr>
                <w:sz w:val="20"/>
                <w:szCs w:val="20"/>
                <w:color w:val="auto"/>
              </w:rPr>
            </w:pPr>
            <w:r>
              <w:rPr>
                <w:rFonts w:ascii="Arial" w:cs="Arial" w:eastAsia="Arial" w:hAnsi="Arial"/>
                <w:sz w:val="18"/>
                <w:szCs w:val="18"/>
                <w:color w:val="auto"/>
              </w:rPr>
              <w:t>0.5496</w:t>
            </w:r>
          </w:p>
        </w:tc>
        <w:tc>
          <w:tcPr>
            <w:tcW w:w="660" w:type="dxa"/>
            <w:vAlign w:val="bottom"/>
          </w:tcPr>
          <w:p>
            <w:pPr>
              <w:ind w:left="100"/>
              <w:spacing w:after="0"/>
              <w:rPr>
                <w:sz w:val="20"/>
                <w:szCs w:val="20"/>
                <w:color w:val="auto"/>
              </w:rPr>
            </w:pPr>
            <w:r>
              <w:rPr>
                <w:rFonts w:ascii="Arial" w:cs="Arial" w:eastAsia="Arial" w:hAnsi="Arial"/>
                <w:sz w:val="18"/>
                <w:szCs w:val="18"/>
                <w:color w:val="auto"/>
                <w:w w:val="98"/>
              </w:rPr>
              <w:t>0.4989</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0.4315</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0.3438</w:t>
            </w:r>
          </w:p>
        </w:tc>
        <w:tc>
          <w:tcPr>
            <w:tcW w:w="680" w:type="dxa"/>
            <w:vAlign w:val="bottom"/>
          </w:tcPr>
          <w:p>
            <w:pPr>
              <w:jc w:val="right"/>
              <w:spacing w:after="0"/>
              <w:rPr>
                <w:sz w:val="20"/>
                <w:szCs w:val="20"/>
                <w:color w:val="auto"/>
              </w:rPr>
            </w:pPr>
            <w:r>
              <w:rPr>
                <w:rFonts w:ascii="Arial" w:cs="Arial" w:eastAsia="Arial" w:hAnsi="Arial"/>
                <w:sz w:val="18"/>
                <w:szCs w:val="18"/>
                <w:color w:val="auto"/>
              </w:rPr>
              <w:t>0.2851</w:t>
            </w:r>
          </w:p>
        </w:tc>
        <w:tc>
          <w:tcPr>
            <w:tcW w:w="680" w:type="dxa"/>
            <w:vAlign w:val="bottom"/>
          </w:tcPr>
          <w:p>
            <w:pPr>
              <w:jc w:val="right"/>
              <w:spacing w:after="0"/>
              <w:rPr>
                <w:sz w:val="20"/>
                <w:szCs w:val="20"/>
                <w:color w:val="auto"/>
              </w:rPr>
            </w:pPr>
            <w:r>
              <w:rPr>
                <w:rFonts w:ascii="Arial" w:cs="Arial" w:eastAsia="Arial" w:hAnsi="Arial"/>
                <w:sz w:val="18"/>
                <w:szCs w:val="18"/>
                <w:color w:val="auto"/>
              </w:rPr>
              <w:t>0.2121</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0.1391</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0.0807</w:t>
            </w:r>
          </w:p>
        </w:tc>
        <w:tc>
          <w:tcPr>
            <w:tcW w:w="880" w:type="dxa"/>
            <w:vAlign w:val="bottom"/>
          </w:tcPr>
          <w:p>
            <w:pPr>
              <w:ind w:left="80"/>
              <w:spacing w:after="0"/>
              <w:rPr>
                <w:sz w:val="20"/>
                <w:szCs w:val="20"/>
                <w:color w:val="auto"/>
              </w:rPr>
            </w:pPr>
            <w:r>
              <w:rPr>
                <w:rFonts w:ascii="Arial" w:cs="Arial" w:eastAsia="Arial" w:hAnsi="Arial"/>
                <w:sz w:val="18"/>
                <w:szCs w:val="18"/>
                <w:color w:val="auto"/>
              </w:rPr>
              <w:t>0.0367</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February 1, 2022</w:t>
            </w:r>
          </w:p>
        </w:tc>
        <w:tc>
          <w:tcPr>
            <w:tcW w:w="580" w:type="dxa"/>
            <w:vAlign w:val="bottom"/>
          </w:tcPr>
          <w:p>
            <w:pPr>
              <w:spacing w:after="0"/>
              <w:rPr>
                <w:sz w:val="20"/>
                <w:szCs w:val="20"/>
                <w:color w:val="auto"/>
              </w:rPr>
            </w:pPr>
            <w:r>
              <w:rPr>
                <w:rFonts w:ascii="Arial" w:cs="Arial" w:eastAsia="Arial" w:hAnsi="Arial"/>
                <w:sz w:val="18"/>
                <w:szCs w:val="18"/>
                <w:color w:val="auto"/>
              </w:rPr>
              <w:t>1.2666</w:t>
            </w:r>
          </w:p>
        </w:tc>
        <w:tc>
          <w:tcPr>
            <w:tcW w:w="700" w:type="dxa"/>
            <w:vAlign w:val="bottom"/>
          </w:tcPr>
          <w:p>
            <w:pPr>
              <w:ind w:left="100"/>
              <w:spacing w:after="0"/>
              <w:rPr>
                <w:sz w:val="20"/>
                <w:szCs w:val="20"/>
                <w:color w:val="auto"/>
              </w:rPr>
            </w:pPr>
            <w:r>
              <w:rPr>
                <w:rFonts w:ascii="Arial" w:cs="Arial" w:eastAsia="Arial" w:hAnsi="Arial"/>
                <w:sz w:val="18"/>
                <w:szCs w:val="18"/>
                <w:color w:val="auto"/>
              </w:rPr>
              <w:t>1.2666</w:t>
            </w:r>
          </w:p>
        </w:tc>
        <w:tc>
          <w:tcPr>
            <w:tcW w:w="680" w:type="dxa"/>
            <w:vAlign w:val="bottom"/>
          </w:tcPr>
          <w:p>
            <w:pPr>
              <w:ind w:left="80"/>
              <w:spacing w:after="0"/>
              <w:rPr>
                <w:sz w:val="20"/>
                <w:szCs w:val="20"/>
                <w:color w:val="auto"/>
              </w:rPr>
            </w:pPr>
            <w:r>
              <w:rPr>
                <w:rFonts w:ascii="Arial" w:cs="Arial" w:eastAsia="Arial" w:hAnsi="Arial"/>
                <w:sz w:val="18"/>
                <w:szCs w:val="18"/>
                <w:color w:val="auto"/>
              </w:rPr>
              <w:t>1.2666</w:t>
            </w:r>
          </w:p>
        </w:tc>
        <w:tc>
          <w:tcPr>
            <w:tcW w:w="700" w:type="dxa"/>
            <w:vAlign w:val="bottom"/>
          </w:tcPr>
          <w:p>
            <w:pPr>
              <w:ind w:left="100"/>
              <w:spacing w:after="0"/>
              <w:rPr>
                <w:sz w:val="20"/>
                <w:szCs w:val="20"/>
                <w:color w:val="auto"/>
              </w:rPr>
            </w:pPr>
            <w:r>
              <w:rPr>
                <w:rFonts w:ascii="Arial" w:cs="Arial" w:eastAsia="Arial" w:hAnsi="Arial"/>
                <w:sz w:val="18"/>
                <w:szCs w:val="18"/>
                <w:color w:val="auto"/>
              </w:rPr>
              <w:t>1.2666</w:t>
            </w:r>
          </w:p>
        </w:tc>
        <w:tc>
          <w:tcPr>
            <w:tcW w:w="680" w:type="dxa"/>
            <w:vAlign w:val="bottom"/>
          </w:tcPr>
          <w:p>
            <w:pPr>
              <w:ind w:left="80"/>
              <w:spacing w:after="0"/>
              <w:rPr>
                <w:sz w:val="20"/>
                <w:szCs w:val="20"/>
                <w:color w:val="auto"/>
              </w:rPr>
            </w:pPr>
            <w:r>
              <w:rPr>
                <w:rFonts w:ascii="Arial" w:cs="Arial" w:eastAsia="Arial" w:hAnsi="Arial"/>
                <w:sz w:val="18"/>
                <w:szCs w:val="18"/>
                <w:color w:val="auto"/>
              </w:rPr>
              <w:t>0.0000</w:t>
            </w:r>
          </w:p>
        </w:tc>
        <w:tc>
          <w:tcPr>
            <w:tcW w:w="660" w:type="dxa"/>
            <w:vAlign w:val="bottom"/>
          </w:tcPr>
          <w:p>
            <w:pPr>
              <w:ind w:left="100"/>
              <w:spacing w:after="0"/>
              <w:rPr>
                <w:sz w:val="20"/>
                <w:szCs w:val="20"/>
                <w:color w:val="auto"/>
              </w:rPr>
            </w:pPr>
            <w:r>
              <w:rPr>
                <w:rFonts w:ascii="Arial" w:cs="Arial" w:eastAsia="Arial" w:hAnsi="Arial"/>
                <w:sz w:val="18"/>
                <w:szCs w:val="18"/>
                <w:color w:val="auto"/>
                <w:w w:val="98"/>
              </w:rPr>
              <w:t>0.0000</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0.0000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0.0000</w:t>
            </w:r>
          </w:p>
        </w:tc>
        <w:tc>
          <w:tcPr>
            <w:tcW w:w="680" w:type="dxa"/>
            <w:vAlign w:val="bottom"/>
          </w:tcPr>
          <w:p>
            <w:pPr>
              <w:jc w:val="right"/>
              <w:spacing w:after="0"/>
              <w:rPr>
                <w:sz w:val="20"/>
                <w:szCs w:val="20"/>
                <w:color w:val="auto"/>
              </w:rPr>
            </w:pPr>
            <w:r>
              <w:rPr>
                <w:rFonts w:ascii="Arial" w:cs="Arial" w:eastAsia="Arial" w:hAnsi="Arial"/>
                <w:sz w:val="18"/>
                <w:szCs w:val="18"/>
                <w:color w:val="auto"/>
              </w:rPr>
              <w:t>0.0000</w:t>
            </w:r>
          </w:p>
        </w:tc>
        <w:tc>
          <w:tcPr>
            <w:tcW w:w="680" w:type="dxa"/>
            <w:vAlign w:val="bottom"/>
          </w:tcPr>
          <w:p>
            <w:pPr>
              <w:jc w:val="right"/>
              <w:spacing w:after="0"/>
              <w:rPr>
                <w:sz w:val="20"/>
                <w:szCs w:val="20"/>
                <w:color w:val="auto"/>
              </w:rPr>
            </w:pPr>
            <w:r>
              <w:rPr>
                <w:rFonts w:ascii="Arial" w:cs="Arial" w:eastAsia="Arial" w:hAnsi="Arial"/>
                <w:sz w:val="18"/>
                <w:szCs w:val="18"/>
                <w:color w:val="auto"/>
              </w:rPr>
              <w:t>0.0000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0.0000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0.0000</w:t>
            </w:r>
          </w:p>
        </w:tc>
        <w:tc>
          <w:tcPr>
            <w:tcW w:w="880" w:type="dxa"/>
            <w:vAlign w:val="bottom"/>
          </w:tcPr>
          <w:p>
            <w:pPr>
              <w:ind w:left="80"/>
              <w:spacing w:after="0"/>
              <w:rPr>
                <w:sz w:val="20"/>
                <w:szCs w:val="20"/>
                <w:color w:val="auto"/>
              </w:rPr>
            </w:pPr>
            <w:r>
              <w:rPr>
                <w:rFonts w:ascii="Arial" w:cs="Arial" w:eastAsia="Arial" w:hAnsi="Arial"/>
                <w:sz w:val="18"/>
                <w:szCs w:val="18"/>
                <w:color w:val="auto"/>
              </w:rPr>
              <w:t>0.0000</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August 1, 2022</w:t>
            </w:r>
          </w:p>
        </w:tc>
        <w:tc>
          <w:tcPr>
            <w:tcW w:w="580" w:type="dxa"/>
            <w:vAlign w:val="bottom"/>
          </w:tcPr>
          <w:p>
            <w:pPr>
              <w:spacing w:after="0"/>
              <w:rPr>
                <w:sz w:val="20"/>
                <w:szCs w:val="20"/>
                <w:color w:val="auto"/>
              </w:rPr>
            </w:pPr>
            <w:r>
              <w:rPr>
                <w:rFonts w:ascii="Arial" w:cs="Arial" w:eastAsia="Arial" w:hAnsi="Arial"/>
                <w:sz w:val="18"/>
                <w:szCs w:val="18"/>
                <w:color w:val="auto"/>
              </w:rPr>
              <w:t>1.2666</w:t>
            </w:r>
          </w:p>
        </w:tc>
        <w:tc>
          <w:tcPr>
            <w:tcW w:w="700" w:type="dxa"/>
            <w:vAlign w:val="bottom"/>
          </w:tcPr>
          <w:p>
            <w:pPr>
              <w:ind w:left="100"/>
              <w:spacing w:after="0"/>
              <w:rPr>
                <w:sz w:val="20"/>
                <w:szCs w:val="20"/>
                <w:color w:val="auto"/>
              </w:rPr>
            </w:pPr>
            <w:r>
              <w:rPr>
                <w:rFonts w:ascii="Arial" w:cs="Arial" w:eastAsia="Arial" w:hAnsi="Arial"/>
                <w:sz w:val="18"/>
                <w:szCs w:val="18"/>
                <w:color w:val="auto"/>
              </w:rPr>
              <w:t>1.2666</w:t>
            </w:r>
          </w:p>
        </w:tc>
        <w:tc>
          <w:tcPr>
            <w:tcW w:w="680" w:type="dxa"/>
            <w:vAlign w:val="bottom"/>
          </w:tcPr>
          <w:p>
            <w:pPr>
              <w:ind w:left="80"/>
              <w:spacing w:after="0"/>
              <w:rPr>
                <w:sz w:val="20"/>
                <w:szCs w:val="20"/>
                <w:color w:val="auto"/>
              </w:rPr>
            </w:pPr>
            <w:r>
              <w:rPr>
                <w:rFonts w:ascii="Arial" w:cs="Arial" w:eastAsia="Arial" w:hAnsi="Arial"/>
                <w:sz w:val="18"/>
                <w:szCs w:val="18"/>
                <w:color w:val="auto"/>
              </w:rPr>
              <w:t>1.2666</w:t>
            </w:r>
          </w:p>
        </w:tc>
        <w:tc>
          <w:tcPr>
            <w:tcW w:w="700" w:type="dxa"/>
            <w:vAlign w:val="bottom"/>
          </w:tcPr>
          <w:p>
            <w:pPr>
              <w:ind w:left="100"/>
              <w:spacing w:after="0"/>
              <w:rPr>
                <w:sz w:val="20"/>
                <w:szCs w:val="20"/>
                <w:color w:val="auto"/>
              </w:rPr>
            </w:pPr>
            <w:r>
              <w:rPr>
                <w:rFonts w:ascii="Arial" w:cs="Arial" w:eastAsia="Arial" w:hAnsi="Arial"/>
                <w:sz w:val="18"/>
                <w:szCs w:val="18"/>
                <w:color w:val="auto"/>
              </w:rPr>
              <w:t>1.2666</w:t>
            </w:r>
          </w:p>
        </w:tc>
        <w:tc>
          <w:tcPr>
            <w:tcW w:w="680" w:type="dxa"/>
            <w:vAlign w:val="bottom"/>
          </w:tcPr>
          <w:p>
            <w:pPr>
              <w:ind w:left="80"/>
              <w:spacing w:after="0"/>
              <w:rPr>
                <w:sz w:val="20"/>
                <w:szCs w:val="20"/>
                <w:color w:val="auto"/>
              </w:rPr>
            </w:pPr>
            <w:r>
              <w:rPr>
                <w:rFonts w:ascii="Arial" w:cs="Arial" w:eastAsia="Arial" w:hAnsi="Arial"/>
                <w:sz w:val="18"/>
                <w:szCs w:val="18"/>
                <w:color w:val="auto"/>
              </w:rPr>
              <w:t>0.0000</w:t>
            </w:r>
          </w:p>
        </w:tc>
        <w:tc>
          <w:tcPr>
            <w:tcW w:w="660" w:type="dxa"/>
            <w:vAlign w:val="bottom"/>
          </w:tcPr>
          <w:p>
            <w:pPr>
              <w:ind w:left="100"/>
              <w:spacing w:after="0"/>
              <w:rPr>
                <w:sz w:val="20"/>
                <w:szCs w:val="20"/>
                <w:color w:val="auto"/>
              </w:rPr>
            </w:pPr>
            <w:r>
              <w:rPr>
                <w:rFonts w:ascii="Arial" w:cs="Arial" w:eastAsia="Arial" w:hAnsi="Arial"/>
                <w:sz w:val="18"/>
                <w:szCs w:val="18"/>
                <w:color w:val="auto"/>
                <w:w w:val="98"/>
              </w:rPr>
              <w:t>0.0000</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0.0000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0.0000</w:t>
            </w:r>
          </w:p>
        </w:tc>
        <w:tc>
          <w:tcPr>
            <w:tcW w:w="680" w:type="dxa"/>
            <w:vAlign w:val="bottom"/>
          </w:tcPr>
          <w:p>
            <w:pPr>
              <w:jc w:val="right"/>
              <w:spacing w:after="0"/>
              <w:rPr>
                <w:sz w:val="20"/>
                <w:szCs w:val="20"/>
                <w:color w:val="auto"/>
              </w:rPr>
            </w:pPr>
            <w:r>
              <w:rPr>
                <w:rFonts w:ascii="Arial" w:cs="Arial" w:eastAsia="Arial" w:hAnsi="Arial"/>
                <w:sz w:val="18"/>
                <w:szCs w:val="18"/>
                <w:color w:val="auto"/>
              </w:rPr>
              <w:t>0.0000</w:t>
            </w:r>
          </w:p>
        </w:tc>
        <w:tc>
          <w:tcPr>
            <w:tcW w:w="680" w:type="dxa"/>
            <w:vAlign w:val="bottom"/>
          </w:tcPr>
          <w:p>
            <w:pPr>
              <w:jc w:val="right"/>
              <w:spacing w:after="0"/>
              <w:rPr>
                <w:sz w:val="20"/>
                <w:szCs w:val="20"/>
                <w:color w:val="auto"/>
              </w:rPr>
            </w:pPr>
            <w:r>
              <w:rPr>
                <w:rFonts w:ascii="Arial" w:cs="Arial" w:eastAsia="Arial" w:hAnsi="Arial"/>
                <w:sz w:val="18"/>
                <w:szCs w:val="18"/>
                <w:color w:val="auto"/>
              </w:rPr>
              <w:t>0.0000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0.0000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0.0000</w:t>
            </w:r>
          </w:p>
        </w:tc>
        <w:tc>
          <w:tcPr>
            <w:tcW w:w="880" w:type="dxa"/>
            <w:vAlign w:val="bottom"/>
          </w:tcPr>
          <w:p>
            <w:pPr>
              <w:ind w:left="80"/>
              <w:spacing w:after="0"/>
              <w:rPr>
                <w:sz w:val="20"/>
                <w:szCs w:val="20"/>
                <w:color w:val="auto"/>
              </w:rPr>
            </w:pPr>
            <w:r>
              <w:rPr>
                <w:rFonts w:ascii="Arial" w:cs="Arial" w:eastAsia="Arial" w:hAnsi="Arial"/>
                <w:sz w:val="18"/>
                <w:szCs w:val="18"/>
                <w:color w:val="auto"/>
              </w:rPr>
              <w:t>0.0000</w:t>
            </w:r>
          </w:p>
        </w:tc>
        <w:tc>
          <w:tcPr>
            <w:tcW w:w="0" w:type="dxa"/>
            <w:vAlign w:val="bottom"/>
          </w:tcPr>
          <w:p>
            <w:pPr>
              <w:spacing w:after="0"/>
              <w:rPr>
                <w:sz w:val="1"/>
                <w:szCs w:val="1"/>
                <w:color w:val="auto"/>
              </w:rPr>
            </w:pPr>
          </w:p>
        </w:tc>
      </w:tr>
      <w:tr>
        <w:trPr>
          <w:trHeight w:val="230"/>
        </w:trPr>
        <w:tc>
          <w:tcPr>
            <w:tcW w:w="2420" w:type="dxa"/>
            <w:vAlign w:val="bottom"/>
            <w:gridSpan w:val="2"/>
          </w:tcPr>
          <w:p>
            <w:pPr>
              <w:spacing w:after="0"/>
              <w:rPr>
                <w:sz w:val="20"/>
                <w:szCs w:val="20"/>
                <w:color w:val="auto"/>
              </w:rPr>
            </w:pPr>
            <w:r>
              <w:rPr>
                <w:rFonts w:ascii="Arial" w:cs="Arial" w:eastAsia="Arial" w:hAnsi="Arial"/>
                <w:sz w:val="18"/>
                <w:szCs w:val="18"/>
                <w:color w:val="auto"/>
              </w:rPr>
              <w:t>February 6, 2023</w:t>
            </w:r>
          </w:p>
        </w:tc>
        <w:tc>
          <w:tcPr>
            <w:tcW w:w="580" w:type="dxa"/>
            <w:vAlign w:val="bottom"/>
          </w:tcPr>
          <w:p>
            <w:pPr>
              <w:spacing w:after="0"/>
              <w:rPr>
                <w:sz w:val="20"/>
                <w:szCs w:val="20"/>
                <w:color w:val="auto"/>
              </w:rPr>
            </w:pPr>
            <w:r>
              <w:rPr>
                <w:rFonts w:ascii="Arial" w:cs="Arial" w:eastAsia="Arial" w:hAnsi="Arial"/>
                <w:sz w:val="18"/>
                <w:szCs w:val="18"/>
                <w:color w:val="auto"/>
              </w:rPr>
              <w:t>1.2666</w:t>
            </w:r>
          </w:p>
        </w:tc>
        <w:tc>
          <w:tcPr>
            <w:tcW w:w="700" w:type="dxa"/>
            <w:vAlign w:val="bottom"/>
          </w:tcPr>
          <w:p>
            <w:pPr>
              <w:ind w:left="100"/>
              <w:spacing w:after="0"/>
              <w:rPr>
                <w:sz w:val="20"/>
                <w:szCs w:val="20"/>
                <w:color w:val="auto"/>
              </w:rPr>
            </w:pPr>
            <w:r>
              <w:rPr>
                <w:rFonts w:ascii="Arial" w:cs="Arial" w:eastAsia="Arial" w:hAnsi="Arial"/>
                <w:sz w:val="18"/>
                <w:szCs w:val="18"/>
                <w:color w:val="auto"/>
              </w:rPr>
              <w:t>1.2666</w:t>
            </w:r>
          </w:p>
        </w:tc>
        <w:tc>
          <w:tcPr>
            <w:tcW w:w="680" w:type="dxa"/>
            <w:vAlign w:val="bottom"/>
          </w:tcPr>
          <w:p>
            <w:pPr>
              <w:ind w:left="80"/>
              <w:spacing w:after="0"/>
              <w:rPr>
                <w:sz w:val="20"/>
                <w:szCs w:val="20"/>
                <w:color w:val="auto"/>
              </w:rPr>
            </w:pPr>
            <w:r>
              <w:rPr>
                <w:rFonts w:ascii="Arial" w:cs="Arial" w:eastAsia="Arial" w:hAnsi="Arial"/>
                <w:sz w:val="18"/>
                <w:szCs w:val="18"/>
                <w:color w:val="auto"/>
              </w:rPr>
              <w:t>1.2666</w:t>
            </w:r>
          </w:p>
        </w:tc>
        <w:tc>
          <w:tcPr>
            <w:tcW w:w="700" w:type="dxa"/>
            <w:vAlign w:val="bottom"/>
          </w:tcPr>
          <w:p>
            <w:pPr>
              <w:ind w:left="100"/>
              <w:spacing w:after="0"/>
              <w:rPr>
                <w:sz w:val="20"/>
                <w:szCs w:val="20"/>
                <w:color w:val="auto"/>
              </w:rPr>
            </w:pPr>
            <w:r>
              <w:rPr>
                <w:rFonts w:ascii="Arial" w:cs="Arial" w:eastAsia="Arial" w:hAnsi="Arial"/>
                <w:sz w:val="18"/>
                <w:szCs w:val="18"/>
                <w:color w:val="auto"/>
              </w:rPr>
              <w:t>1.2666</w:t>
            </w:r>
          </w:p>
        </w:tc>
        <w:tc>
          <w:tcPr>
            <w:tcW w:w="680" w:type="dxa"/>
            <w:vAlign w:val="bottom"/>
          </w:tcPr>
          <w:p>
            <w:pPr>
              <w:ind w:left="80"/>
              <w:spacing w:after="0"/>
              <w:rPr>
                <w:sz w:val="20"/>
                <w:szCs w:val="20"/>
                <w:color w:val="auto"/>
              </w:rPr>
            </w:pPr>
            <w:r>
              <w:rPr>
                <w:rFonts w:ascii="Arial" w:cs="Arial" w:eastAsia="Arial" w:hAnsi="Arial"/>
                <w:sz w:val="18"/>
                <w:szCs w:val="18"/>
                <w:color w:val="auto"/>
              </w:rPr>
              <w:t>0.0000</w:t>
            </w:r>
          </w:p>
        </w:tc>
        <w:tc>
          <w:tcPr>
            <w:tcW w:w="660" w:type="dxa"/>
            <w:vAlign w:val="bottom"/>
          </w:tcPr>
          <w:p>
            <w:pPr>
              <w:ind w:left="100"/>
              <w:spacing w:after="0"/>
              <w:rPr>
                <w:sz w:val="20"/>
                <w:szCs w:val="20"/>
                <w:color w:val="auto"/>
              </w:rPr>
            </w:pPr>
            <w:r>
              <w:rPr>
                <w:rFonts w:ascii="Arial" w:cs="Arial" w:eastAsia="Arial" w:hAnsi="Arial"/>
                <w:sz w:val="18"/>
                <w:szCs w:val="18"/>
                <w:color w:val="auto"/>
                <w:w w:val="98"/>
              </w:rPr>
              <w:t>0.0000</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0.0000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0.0000</w:t>
            </w:r>
          </w:p>
        </w:tc>
        <w:tc>
          <w:tcPr>
            <w:tcW w:w="680" w:type="dxa"/>
            <w:vAlign w:val="bottom"/>
          </w:tcPr>
          <w:p>
            <w:pPr>
              <w:jc w:val="right"/>
              <w:spacing w:after="0"/>
              <w:rPr>
                <w:sz w:val="20"/>
                <w:szCs w:val="20"/>
                <w:color w:val="auto"/>
              </w:rPr>
            </w:pPr>
            <w:r>
              <w:rPr>
                <w:rFonts w:ascii="Arial" w:cs="Arial" w:eastAsia="Arial" w:hAnsi="Arial"/>
                <w:sz w:val="18"/>
                <w:szCs w:val="18"/>
                <w:color w:val="auto"/>
              </w:rPr>
              <w:t>0.0000</w:t>
            </w:r>
          </w:p>
        </w:tc>
        <w:tc>
          <w:tcPr>
            <w:tcW w:w="680" w:type="dxa"/>
            <w:vAlign w:val="bottom"/>
          </w:tcPr>
          <w:p>
            <w:pPr>
              <w:jc w:val="right"/>
              <w:spacing w:after="0"/>
              <w:rPr>
                <w:sz w:val="20"/>
                <w:szCs w:val="20"/>
                <w:color w:val="auto"/>
              </w:rPr>
            </w:pPr>
            <w:r>
              <w:rPr>
                <w:rFonts w:ascii="Arial" w:cs="Arial" w:eastAsia="Arial" w:hAnsi="Arial"/>
                <w:sz w:val="18"/>
                <w:szCs w:val="18"/>
                <w:color w:val="auto"/>
              </w:rPr>
              <w:t>0.0000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0.0000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0.0000</w:t>
            </w:r>
          </w:p>
        </w:tc>
        <w:tc>
          <w:tcPr>
            <w:tcW w:w="880" w:type="dxa"/>
            <w:vAlign w:val="bottom"/>
          </w:tcPr>
          <w:p>
            <w:pPr>
              <w:ind w:left="80"/>
              <w:spacing w:after="0"/>
              <w:rPr>
                <w:sz w:val="20"/>
                <w:szCs w:val="20"/>
                <w:color w:val="auto"/>
              </w:rPr>
            </w:pPr>
            <w:r>
              <w:rPr>
                <w:rFonts w:ascii="Arial" w:cs="Arial" w:eastAsia="Arial" w:hAnsi="Arial"/>
                <w:sz w:val="18"/>
                <w:szCs w:val="18"/>
                <w:color w:val="auto"/>
              </w:rPr>
              <w:t>0.0000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40" w:right="640" w:hanging="4984"/>
        <w:spacing w:after="0" w:line="778" w:lineRule="auto"/>
        <w:tabs>
          <w:tab w:leader="none" w:pos="158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exact Stock Price and Effective Date may not be set forth in the table in Section 5.07(b), in which case if the Stock Price is: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9" w:name="page40"/>
    <w:bookmarkEnd w:id="39"/>
    <w:p>
      <w:pPr>
        <w:ind w:left="4720" w:hanging="706"/>
        <w:spacing w:after="0"/>
        <w:tabs>
          <w:tab w:leader="none" w:pos="4720" w:val="left"/>
        </w:tabs>
        <w:numPr>
          <w:ilvl w:val="3"/>
          <w:numId w:val="56"/>
        </w:numPr>
        <w:rPr>
          <w:rFonts w:ascii="Arial" w:cs="Arial" w:eastAsia="Arial" w:hAnsi="Arial"/>
          <w:sz w:val="16"/>
          <w:szCs w:val="16"/>
          <w:color w:val="auto"/>
        </w:rPr>
      </w:pPr>
      <w:r>
        <w:rPr>
          <w:rFonts w:ascii="Arial" w:cs="Arial" w:eastAsia="Arial" w:hAnsi="Arial"/>
          <w:sz w:val="16"/>
          <w:szCs w:val="16"/>
          <w:color w:val="auto"/>
        </w:rPr>
        <w:t>between two Stock Prices in the table, the number of Additional Shares will be determined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by a straight-line interpolation between the number of Additional Shares set forth for the higher and lower Stock Prices;</w:t>
      </w:r>
    </w:p>
    <w:p>
      <w:pPr>
        <w:spacing w:after="0" w:line="210" w:lineRule="exact"/>
        <w:rPr>
          <w:rFonts w:ascii="Arial" w:cs="Arial" w:eastAsia="Arial" w:hAnsi="Arial"/>
          <w:sz w:val="16"/>
          <w:szCs w:val="16"/>
          <w:color w:val="auto"/>
        </w:rPr>
      </w:pPr>
    </w:p>
    <w:p>
      <w:pPr>
        <w:ind w:left="4680" w:hanging="756"/>
        <w:spacing w:after="0"/>
        <w:tabs>
          <w:tab w:leader="none" w:pos="4680" w:val="left"/>
        </w:tabs>
        <w:numPr>
          <w:ilvl w:val="2"/>
          <w:numId w:val="57"/>
        </w:numPr>
        <w:rPr>
          <w:rFonts w:ascii="Arial" w:cs="Arial" w:eastAsia="Arial" w:hAnsi="Arial"/>
          <w:sz w:val="16"/>
          <w:szCs w:val="16"/>
          <w:color w:val="auto"/>
        </w:rPr>
      </w:pPr>
      <w:r>
        <w:rPr>
          <w:rFonts w:ascii="Arial" w:cs="Arial" w:eastAsia="Arial" w:hAnsi="Arial"/>
          <w:sz w:val="16"/>
          <w:szCs w:val="16"/>
          <w:color w:val="auto"/>
        </w:rPr>
        <w:t>in excess of $100.00 per share (subject to adjustment in the same manner as the Stock Prices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set forth in the column headings of the table above), the Conversion Rate will not be increased; and</w:t>
      </w:r>
    </w:p>
    <w:p>
      <w:pPr>
        <w:spacing w:after="0" w:line="210" w:lineRule="exact"/>
        <w:rPr>
          <w:rFonts w:ascii="Arial" w:cs="Arial" w:eastAsia="Arial" w:hAnsi="Arial"/>
          <w:sz w:val="16"/>
          <w:szCs w:val="16"/>
          <w:color w:val="auto"/>
        </w:rPr>
      </w:pPr>
    </w:p>
    <w:p>
      <w:pPr>
        <w:ind w:left="4640" w:hanging="806"/>
        <w:spacing w:after="0"/>
        <w:tabs>
          <w:tab w:leader="none" w:pos="4640" w:val="left"/>
        </w:tabs>
        <w:numPr>
          <w:ilvl w:val="1"/>
          <w:numId w:val="58"/>
        </w:numPr>
        <w:rPr>
          <w:rFonts w:ascii="Arial" w:cs="Arial" w:eastAsia="Arial" w:hAnsi="Arial"/>
          <w:sz w:val="16"/>
          <w:szCs w:val="16"/>
          <w:color w:val="auto"/>
        </w:rPr>
      </w:pPr>
      <w:r>
        <w:rPr>
          <w:rFonts w:ascii="Arial" w:cs="Arial" w:eastAsia="Arial" w:hAnsi="Arial"/>
          <w:sz w:val="16"/>
          <w:szCs w:val="16"/>
          <w:color w:val="auto"/>
        </w:rPr>
        <w:t>less than $2.00 per share (subject to adjustment in the same manner as the Stock Prices set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forth in the column headings of the table above), the Conversion Rate will not be increased.</w:t>
      </w:r>
    </w:p>
    <w:p>
      <w:pPr>
        <w:spacing w:after="0" w:line="210" w:lineRule="exact"/>
        <w:rPr>
          <w:rFonts w:ascii="Arial" w:cs="Arial" w:eastAsia="Arial" w:hAnsi="Arial"/>
          <w:sz w:val="16"/>
          <w:szCs w:val="16"/>
          <w:color w:val="auto"/>
        </w:rPr>
      </w:pPr>
    </w:p>
    <w:p>
      <w:pPr>
        <w:ind w:right="80" w:firstLine="656"/>
        <w:spacing w:after="0" w:line="264" w:lineRule="auto"/>
        <w:tabs>
          <w:tab w:leader="none" w:pos="1533"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Notwithstanding anything herein to the contrary, the Company may not increase the Conversion Rate to more than 134.9730 shares per $1,000 Original Principal Amount of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will adjust such number of shares for the same events for which the Company will adjust the Conversion Rate pursuant to Section 5.05.</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5.08</w:t>
      </w:r>
      <w:r>
        <w:rPr>
          <w:sz w:val="20"/>
          <w:szCs w:val="20"/>
          <w:color w:val="auto"/>
        </w:rPr>
        <w:tab/>
      </w:r>
      <w:r>
        <w:rPr>
          <w:rFonts w:ascii="Arial" w:cs="Arial" w:eastAsia="Arial" w:hAnsi="Arial"/>
          <w:sz w:val="15"/>
          <w:szCs w:val="15"/>
          <w:u w:val="single" w:color="auto"/>
          <w:color w:val="auto"/>
        </w:rPr>
        <w:t>Reserved Shares</w:t>
      </w:r>
      <w:r>
        <w:rPr>
          <w:rFonts w:ascii="Arial" w:cs="Arial" w:eastAsia="Arial" w:hAnsi="Arial"/>
          <w:sz w:val="15"/>
          <w:szCs w:val="15"/>
          <w:color w:val="auto"/>
        </w:rPr>
        <w:t>.</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 shall at all times reserve out of its authorized but unissued Common Stock a sufficient number of shares of Common Stock to permit the conversion, in accordance herewith, of all of the Notes (assuming, for such purposes, that at the time of computation of such number of shares, all such Notes would be converted by a single Holder). The shares of Common Stock due upon conversion of a global note shall be delivered by the Company in accordance with the Depositary’s customary practices.</w:t>
      </w:r>
    </w:p>
    <w:p>
      <w:pPr>
        <w:spacing w:after="0" w:line="187" w:lineRule="exact"/>
        <w:rPr>
          <w:sz w:val="20"/>
          <w:szCs w:val="20"/>
          <w:color w:val="auto"/>
        </w:rPr>
      </w:pPr>
    </w:p>
    <w:p>
      <w:pPr>
        <w:ind w:right="680" w:firstLine="648"/>
        <w:spacing w:after="0" w:line="308" w:lineRule="auto"/>
        <w:rPr>
          <w:sz w:val="20"/>
          <w:szCs w:val="20"/>
          <w:color w:val="auto"/>
        </w:rPr>
      </w:pPr>
      <w:r>
        <w:rPr>
          <w:rFonts w:ascii="Arial" w:cs="Arial" w:eastAsia="Arial" w:hAnsi="Arial"/>
          <w:sz w:val="17"/>
          <w:szCs w:val="17"/>
          <w:color w:val="auto"/>
        </w:rPr>
        <w:t>All shares of Common Stock issued upon conversion of the Notes shall be validly issued, fully paid and non-assessable and shall be free of preemptive or similar rights and free of any lien or adverse claim that arises from the action or inaction of the Company.</w:t>
      </w:r>
    </w:p>
    <w:p>
      <w:pPr>
        <w:spacing w:after="0" w:line="147"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The Company shall comply with all securities laws regulating the offer and delivery of shares of Common Stock upon conversion of the Notes and shall list such shares on each national securities exchange or automated quotation system on which the shares of Common Stock are listed on the applicable Conversion Date.</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5.09</w:t>
      </w:r>
      <w:r>
        <w:rPr>
          <w:sz w:val="20"/>
          <w:szCs w:val="20"/>
          <w:color w:val="auto"/>
        </w:rPr>
        <w:tab/>
      </w:r>
      <w:r>
        <w:rPr>
          <w:rFonts w:ascii="Arial" w:cs="Arial" w:eastAsia="Arial" w:hAnsi="Arial"/>
          <w:sz w:val="16"/>
          <w:szCs w:val="16"/>
          <w:u w:val="single" w:color="auto"/>
          <w:color w:val="auto"/>
        </w:rPr>
        <w:t>Trustee Adjustment Disclaimer</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Trustee has no duty to determine when an adjustment under this Article V should be made, how it should be made or what it should be. The Trustee has no duty to determine whether a supplemental indenture need be entered into or whether any provisions of any supplemental indenture are correct. The Trustee shall not be accountable for and makes no representation as to the validity or value of any securities or assets issued upon conversion of the Notes. The Trustee shall not be responsible for making any calculations hereunder nor the Company’s failure to comply with this Article V. Each Conversion Agent (other than the Company or an Affiliate of the Company) shall have the same protection under this Section 5.09 as the Trustee. Neither the Trustee nor any Conversion Agent shall be responsible for any failure of the Company to issue, transfer or deliver any shares of Common Stock or stock certificates or other securities or property or cash upon the surrender of any Note for the purpose of conversion or to comply with any of the duties, responsibilities or covenants of the Company contained in this Article. Without limiting the generality of the foregoing, neither the Trustee nor any Conversion Agent shall be under any responsibility to determine the correctness of any provisions contained in any supplemental indenture entered into pursuant to Section 5.06 relating either to the kind or amount of shares of stock or securities or property (including cash) receivable by Holders upon the conversion of their Notes after any event referred to in such Section 5.06 or to any adjustment to be made with respect thereto, but, may accept (without any independent investigation) as conclusive evidence of the correctness of any such provisions, and shall be protected in relying upon, the Officers’ Certificate (which the Company shall be obligated to file with the Trustee prior to the execution of any such supplemental indenture) with respect thereto The Trustee shall have no obligation to monitor the Company’s or any Holder’s compliance with Section 5.11 hereof.</w:t>
      </w: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692" w:right="299" w:bottom="1440" w:gutter="0" w:footer="0" w:header="0"/>
        </w:sectPr>
      </w:pPr>
    </w:p>
    <w:bookmarkStart w:id="40" w:name="page41"/>
    <w:bookmarkEnd w:id="40"/>
    <w:p>
      <w:pPr>
        <w:ind w:left="660"/>
        <w:spacing w:after="0"/>
        <w:tabs>
          <w:tab w:leader="none" w:pos="1940" w:val="left"/>
        </w:tabs>
        <w:rPr>
          <w:sz w:val="20"/>
          <w:szCs w:val="20"/>
          <w:color w:val="auto"/>
        </w:rPr>
      </w:pPr>
      <w:r>
        <w:rPr>
          <w:rFonts w:ascii="Arial" w:cs="Arial" w:eastAsia="Arial" w:hAnsi="Arial"/>
          <w:sz w:val="18"/>
          <w:szCs w:val="18"/>
          <w:color w:val="auto"/>
        </w:rPr>
        <w:t>Section 5.10</w:t>
      </w:r>
      <w:r>
        <w:rPr>
          <w:sz w:val="20"/>
          <w:szCs w:val="20"/>
          <w:color w:val="auto"/>
        </w:rPr>
        <w:tab/>
      </w:r>
      <w:r>
        <w:rPr>
          <w:rFonts w:ascii="Arial" w:cs="Arial" w:eastAsia="Arial" w:hAnsi="Arial"/>
          <w:sz w:val="16"/>
          <w:szCs w:val="16"/>
          <w:u w:val="single" w:color="auto"/>
          <w:color w:val="auto"/>
        </w:rPr>
        <w:t>Issuer’s Conversion Option.</w:t>
      </w:r>
    </w:p>
    <w:p>
      <w:pPr>
        <w:spacing w:after="0" w:line="225" w:lineRule="exact"/>
        <w:rPr>
          <w:sz w:val="20"/>
          <w:szCs w:val="20"/>
          <w:color w:val="auto"/>
        </w:rPr>
      </w:pPr>
    </w:p>
    <w:p>
      <w:pPr>
        <w:ind w:firstLine="656"/>
        <w:spacing w:after="0" w:line="276" w:lineRule="auto"/>
        <w:tabs>
          <w:tab w:leader="none" w:pos="1568" w:val="left"/>
        </w:tabs>
        <w:numPr>
          <w:ilvl w:val="0"/>
          <w:numId w:val="60"/>
        </w:numPr>
        <w:rPr>
          <w:rFonts w:ascii="Arial" w:cs="Arial" w:eastAsia="Arial" w:hAnsi="Arial"/>
          <w:sz w:val="17"/>
          <w:szCs w:val="17"/>
          <w:color w:val="auto"/>
        </w:rPr>
      </w:pPr>
      <w:r>
        <w:rPr>
          <w:rFonts w:ascii="Arial" w:cs="Arial" w:eastAsia="Arial" w:hAnsi="Arial"/>
          <w:sz w:val="17"/>
          <w:szCs w:val="17"/>
          <w:color w:val="auto"/>
        </w:rPr>
        <w:t>If at any time prior to the Maturity Date, the Closing Sale Price of the Common Stock has equaled or exceeded 110% of the Conversion Price then in effect for at least 20 Trading Days in any 30 Trading Day period (an “</w:t>
      </w:r>
      <w:r>
        <w:rPr>
          <w:rFonts w:ascii="Arial" w:cs="Arial" w:eastAsia="Arial" w:hAnsi="Arial"/>
          <w:sz w:val="17"/>
          <w:szCs w:val="17"/>
          <w:u w:val="single" w:color="auto"/>
          <w:color w:val="auto"/>
        </w:rPr>
        <w:t>Issuer’s Conversion Trigger Event</w:t>
      </w:r>
      <w:r>
        <w:rPr>
          <w:rFonts w:ascii="Arial" w:cs="Arial" w:eastAsia="Arial" w:hAnsi="Arial"/>
          <w:sz w:val="17"/>
          <w:szCs w:val="17"/>
          <w:color w:val="auto"/>
        </w:rPr>
        <w:t>”), the Company may, at its option, elect to convert the Original Principal Amount of the Notes in whole but not in part (the “</w:t>
      </w:r>
      <w:r>
        <w:rPr>
          <w:rFonts w:ascii="Arial" w:cs="Arial" w:eastAsia="Arial" w:hAnsi="Arial"/>
          <w:sz w:val="17"/>
          <w:szCs w:val="17"/>
          <w:u w:val="single" w:color="auto"/>
          <w:color w:val="auto"/>
        </w:rPr>
        <w:t>Issuer’s Conversion Option</w:t>
      </w:r>
      <w:r>
        <w:rPr>
          <w:rFonts w:ascii="Arial" w:cs="Arial" w:eastAsia="Arial" w:hAnsi="Arial"/>
          <w:sz w:val="17"/>
          <w:szCs w:val="17"/>
          <w:color w:val="auto"/>
        </w:rPr>
        <w:t>”) into cash, shares of Common Stock or a combination thereof, determined in accordance with Section 5.03(a) hereof, by sending (or instructing the Trustee to send) an Issuer’s Conversion Notice no later than the Open of Business on the third Business Day immediately following the Issuer’s Conversion Trigger Event.</w:t>
      </w:r>
    </w:p>
    <w:p>
      <w:pPr>
        <w:spacing w:after="0" w:line="172" w:lineRule="exact"/>
        <w:rPr>
          <w:rFonts w:ascii="Arial" w:cs="Arial" w:eastAsia="Arial" w:hAnsi="Arial"/>
          <w:sz w:val="17"/>
          <w:szCs w:val="17"/>
          <w:color w:val="auto"/>
        </w:rPr>
      </w:pPr>
    </w:p>
    <w:p>
      <w:pPr>
        <w:ind w:right="60" w:firstLine="656"/>
        <w:spacing w:after="0" w:line="287" w:lineRule="auto"/>
        <w:tabs>
          <w:tab w:leader="none" w:pos="1533" w:val="left"/>
        </w:tabs>
        <w:numPr>
          <w:ilvl w:val="0"/>
          <w:numId w:val="60"/>
        </w:numPr>
        <w:rPr>
          <w:rFonts w:ascii="Arial" w:cs="Arial" w:eastAsia="Arial" w:hAnsi="Arial"/>
          <w:sz w:val="16"/>
          <w:szCs w:val="16"/>
          <w:color w:val="auto"/>
        </w:rPr>
      </w:pPr>
      <w:r>
        <w:rPr>
          <w:rFonts w:ascii="Arial" w:cs="Arial" w:eastAsia="Arial" w:hAnsi="Arial"/>
          <w:sz w:val="16"/>
          <w:szCs w:val="16"/>
          <w:color w:val="auto"/>
        </w:rPr>
        <w:t>If the Company elects to exercise its Issuer’s Conversion Option pursuant to Section 5.10(a), the Company shall mail or cause to be delivered to each Holder (with a copy to the Trustee and the Conversion Agent) a notice (an “</w:t>
      </w:r>
      <w:r>
        <w:rPr>
          <w:rFonts w:ascii="Arial" w:cs="Arial" w:eastAsia="Arial" w:hAnsi="Arial"/>
          <w:sz w:val="16"/>
          <w:szCs w:val="16"/>
          <w:u w:val="single" w:color="auto"/>
          <w:color w:val="auto"/>
        </w:rPr>
        <w:t>Issuer’s Conversion Notice</w:t>
      </w:r>
      <w:r>
        <w:rPr>
          <w:rFonts w:ascii="Arial" w:cs="Arial" w:eastAsia="Arial" w:hAnsi="Arial"/>
          <w:sz w:val="16"/>
          <w:szCs w:val="16"/>
          <w:color w:val="auto"/>
        </w:rPr>
        <w:t>”) of an Issuer’s Conversion Option not more than 30 Trading Days but not less than 10 Trading Days prior to the day selected by the Company on which the Notes will be converted pursuant to the Issuer’s Conversion Option (the “</w:t>
      </w:r>
      <w:r>
        <w:rPr>
          <w:rFonts w:ascii="Arial" w:cs="Arial" w:eastAsia="Arial" w:hAnsi="Arial"/>
          <w:sz w:val="16"/>
          <w:szCs w:val="16"/>
          <w:u w:val="single" w:color="auto"/>
          <w:color w:val="auto"/>
        </w:rPr>
        <w:t>Issuer’s Conversion Date</w:t>
      </w:r>
      <w:r>
        <w:rPr>
          <w:rFonts w:ascii="Arial" w:cs="Arial" w:eastAsia="Arial" w:hAnsi="Arial"/>
          <w:sz w:val="16"/>
          <w:szCs w:val="16"/>
          <w:color w:val="auto"/>
        </w:rPr>
        <w:t>”; except that in cases in which the Company elects to satisfy its Conversion Obligation by Cash Settlement or Combination Settlement, the Company shall mail or cause to be delivered to each Holder (with a copy to the Trustee and the Conversion Agent) a notice of an Issuer’s Conversion Option not more than 45 Trading Days but not less than 30 Trading Days prior to the day selected by the Company on which the Notes will be converted pursuant to the Issuer’s Conversion Option; and the date such Issuer’s Conversion Notice is sent to the Holders in the manner herein provided, the “</w:t>
      </w:r>
      <w:r>
        <w:rPr>
          <w:rFonts w:ascii="Arial" w:cs="Arial" w:eastAsia="Arial" w:hAnsi="Arial"/>
          <w:sz w:val="16"/>
          <w:szCs w:val="16"/>
          <w:u w:val="single" w:color="auto"/>
          <w:color w:val="auto"/>
        </w:rPr>
        <w:t>Issuer’s Conversion Notice Date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Company’s right to exercise the Issuer’s Conversion Option shall be suspended during the period beginning on the date of the Fundamental Change Repurchase Notice and continuing to, and including, the applicable Fundamental Change Repurchase Date. With respect to certificated Notes, such delivery shall be by first class mail, and with respect to Notes represented by global notes, such delivery shall be pursuant to the applicable procedures of the Depositary. The Issuer’s Conversion Notice, if sent in the manner herein provided, shall be conclusively presumed to have been duly given, whether or not any Holder receives such notice.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Issuer’s Conversion Notice shall state:</w:t>
      </w:r>
    </w:p>
    <w:p>
      <w:pPr>
        <w:spacing w:after="0" w:line="225" w:lineRule="exact"/>
        <w:rPr>
          <w:sz w:val="20"/>
          <w:szCs w:val="20"/>
          <w:color w:val="auto"/>
        </w:rPr>
      </w:pPr>
    </w:p>
    <w:p>
      <w:pPr>
        <w:ind w:left="4540" w:hanging="706"/>
        <w:spacing w:after="0"/>
        <w:tabs>
          <w:tab w:leader="none" w:pos="4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Issuer’s Conversion Date;</w:t>
      </w:r>
    </w:p>
    <w:p>
      <w:pPr>
        <w:spacing w:after="0" w:line="225" w:lineRule="exact"/>
        <w:rPr>
          <w:rFonts w:ascii="Arial" w:cs="Arial" w:eastAsia="Arial" w:hAnsi="Arial"/>
          <w:sz w:val="18"/>
          <w:szCs w:val="18"/>
          <w:color w:val="auto"/>
        </w:rPr>
      </w:pPr>
    </w:p>
    <w:p>
      <w:pPr>
        <w:ind w:left="4640" w:hanging="761"/>
        <w:spacing w:after="0"/>
        <w:tabs>
          <w:tab w:leader="none" w:pos="46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CUSIP or similar number or numbers of the Notes being converted, and that no</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representation is made as to the correctness or accuracy of the CUSIP number, if any, listed in such notice or printed on the Notes;</w:t>
      </w:r>
    </w:p>
    <w:p>
      <w:pPr>
        <w:spacing w:after="0" w:line="210" w:lineRule="exact"/>
        <w:rPr>
          <w:rFonts w:ascii="Arial" w:cs="Arial" w:eastAsia="Arial" w:hAnsi="Arial"/>
          <w:sz w:val="18"/>
          <w:szCs w:val="18"/>
          <w:color w:val="auto"/>
        </w:rPr>
      </w:pPr>
    </w:p>
    <w:p>
      <w:pPr>
        <w:ind w:left="4640" w:hanging="806"/>
        <w:spacing w:after="0"/>
        <w:tabs>
          <w:tab w:leader="none" w:pos="4640" w:val="left"/>
        </w:tabs>
        <w:numPr>
          <w:ilvl w:val="1"/>
          <w:numId w:val="61"/>
        </w:numPr>
        <w:rPr>
          <w:rFonts w:ascii="Arial" w:cs="Arial" w:eastAsia="Arial" w:hAnsi="Arial"/>
          <w:sz w:val="16"/>
          <w:szCs w:val="16"/>
          <w:color w:val="auto"/>
        </w:rPr>
      </w:pPr>
      <w:r>
        <w:rPr>
          <w:rFonts w:ascii="Arial" w:cs="Arial" w:eastAsia="Arial" w:hAnsi="Arial"/>
          <w:sz w:val="16"/>
          <w:szCs w:val="16"/>
          <w:color w:val="auto"/>
        </w:rPr>
        <w:t>that on and after the Issuer’s Conversion Date interest on the Notes to be converted will cease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accrue and the Notes will cease to be outstanding;</w:t>
      </w:r>
    </w:p>
    <w:p>
      <w:pPr>
        <w:spacing w:after="0" w:line="210" w:lineRule="exact"/>
        <w:rPr>
          <w:rFonts w:ascii="Arial" w:cs="Arial" w:eastAsia="Arial" w:hAnsi="Arial"/>
          <w:sz w:val="16"/>
          <w:szCs w:val="16"/>
          <w:color w:val="auto"/>
        </w:rPr>
      </w:pPr>
    </w:p>
    <w:p>
      <w:pPr>
        <w:ind w:left="4640" w:hanging="806"/>
        <w:spacing w:after="0"/>
        <w:tabs>
          <w:tab w:leader="none" w:pos="4640" w:val="left"/>
        </w:tabs>
        <w:numPr>
          <w:ilvl w:val="1"/>
          <w:numId w:val="61"/>
        </w:numPr>
        <w:rPr>
          <w:rFonts w:ascii="Arial" w:cs="Arial" w:eastAsia="Arial" w:hAnsi="Arial"/>
          <w:sz w:val="16"/>
          <w:szCs w:val="16"/>
          <w:color w:val="auto"/>
        </w:rPr>
      </w:pPr>
      <w:r>
        <w:rPr>
          <w:rFonts w:ascii="Arial" w:cs="Arial" w:eastAsia="Arial" w:hAnsi="Arial"/>
          <w:sz w:val="16"/>
          <w:szCs w:val="16"/>
          <w:color w:val="auto"/>
        </w:rPr>
        <w:t>the name and address of each Paying Agent and Conversion Agent and the place or places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where such Notes are to be surrendered;</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41" w:name="page42"/>
    <w:bookmarkEnd w:id="41"/>
    <w:p>
      <w:pPr>
        <w:ind w:left="4580" w:hanging="746"/>
        <w:spacing w:after="0"/>
        <w:tabs>
          <w:tab w:leader="none" w:pos="4580" w:val="left"/>
        </w:tabs>
        <w:numPr>
          <w:ilvl w:val="1"/>
          <w:numId w:val="62"/>
        </w:numPr>
        <w:rPr>
          <w:rFonts w:ascii="Arial" w:cs="Arial" w:eastAsia="Arial" w:hAnsi="Arial"/>
          <w:sz w:val="17"/>
          <w:szCs w:val="17"/>
          <w:color w:val="auto"/>
        </w:rPr>
      </w:pPr>
      <w:r>
        <w:rPr>
          <w:rFonts w:ascii="Arial" w:cs="Arial" w:eastAsia="Arial" w:hAnsi="Arial"/>
          <w:sz w:val="17"/>
          <w:szCs w:val="17"/>
          <w:color w:val="auto"/>
        </w:rPr>
        <w:t>that the Notes subject to the Issuer’s Conversion Option may still be voluntarily converted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pursuant to Section 5.01 on or prior to the close of Business on the Business Day immediately preceding the Issuer’s Conversion Date; and</w:t>
      </w:r>
    </w:p>
    <w:p>
      <w:pPr>
        <w:spacing w:after="0" w:line="210" w:lineRule="exact"/>
        <w:rPr>
          <w:rFonts w:ascii="Arial" w:cs="Arial" w:eastAsia="Arial" w:hAnsi="Arial"/>
          <w:sz w:val="17"/>
          <w:szCs w:val="17"/>
          <w:color w:val="auto"/>
        </w:rPr>
      </w:pPr>
    </w:p>
    <w:p>
      <w:pPr>
        <w:ind w:left="4640" w:hanging="806"/>
        <w:spacing w:after="0"/>
        <w:tabs>
          <w:tab w:leader="none" w:pos="4640" w:val="left"/>
        </w:tabs>
        <w:numPr>
          <w:ilvl w:val="1"/>
          <w:numId w:val="62"/>
        </w:numPr>
        <w:rPr>
          <w:rFonts w:ascii="Arial" w:cs="Arial" w:eastAsia="Arial" w:hAnsi="Arial"/>
          <w:sz w:val="16"/>
          <w:szCs w:val="16"/>
          <w:color w:val="auto"/>
        </w:rPr>
      </w:pPr>
      <w:r>
        <w:rPr>
          <w:rFonts w:ascii="Arial" w:cs="Arial" w:eastAsia="Arial" w:hAnsi="Arial"/>
          <w:sz w:val="16"/>
          <w:szCs w:val="16"/>
          <w:color w:val="auto"/>
        </w:rPr>
        <w:t>the Conversion Rate then in effect, the Settlement Method and the Specified Dollar Amount.</w:t>
      </w:r>
    </w:p>
    <w:p>
      <w:pPr>
        <w:spacing w:after="0" w:line="248" w:lineRule="exact"/>
        <w:rPr>
          <w:rFonts w:ascii="Arial" w:cs="Arial" w:eastAsia="Arial" w:hAnsi="Arial"/>
          <w:sz w:val="16"/>
          <w:szCs w:val="16"/>
          <w:color w:val="auto"/>
        </w:rPr>
      </w:pPr>
    </w:p>
    <w:p>
      <w:pPr>
        <w:ind w:right="40" w:firstLine="656"/>
        <w:spacing w:after="0" w:line="259" w:lineRule="auto"/>
        <w:tabs>
          <w:tab w:leader="none" w:pos="15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Notwithstanding the foregoing, the Company may only exercise its Issuer’s Conversion Option pursuant to Section 5.10(a) if, as evidenced by an Officers’ Certificate, all of the conditions listed below (the “</w:t>
      </w:r>
      <w:r>
        <w:rPr>
          <w:rFonts w:ascii="Arial" w:cs="Arial" w:eastAsia="Arial" w:hAnsi="Arial"/>
          <w:sz w:val="18"/>
          <w:szCs w:val="18"/>
          <w:u w:val="single" w:color="auto"/>
          <w:color w:val="auto"/>
        </w:rPr>
        <w:t>Equity Conditions</w:t>
      </w:r>
      <w:r>
        <w:rPr>
          <w:rFonts w:ascii="Arial" w:cs="Arial" w:eastAsia="Arial" w:hAnsi="Arial"/>
          <w:sz w:val="18"/>
          <w:szCs w:val="18"/>
          <w:color w:val="auto"/>
        </w:rPr>
        <w:t>”) are satisfied on each day during the period (x) commencing on the Issuer’s Conversion Notice Date and (y) ending on the Issuer’s Conversion Date (the “</w:t>
      </w:r>
      <w:r>
        <w:rPr>
          <w:rFonts w:ascii="Arial" w:cs="Arial" w:eastAsia="Arial" w:hAnsi="Arial"/>
          <w:sz w:val="18"/>
          <w:szCs w:val="18"/>
          <w:u w:val="single" w:color="auto"/>
          <w:color w:val="auto"/>
        </w:rPr>
        <w:t>Equity Conditions Measuring Period</w:t>
      </w:r>
      <w:r>
        <w:rPr>
          <w:rFonts w:ascii="Arial" w:cs="Arial" w:eastAsia="Arial" w:hAnsi="Arial"/>
          <w:sz w:val="18"/>
          <w:szCs w:val="18"/>
          <w:color w:val="auto"/>
        </w:rPr>
        <w:t>”). The Equity Conditions are as follows:</w:t>
      </w:r>
    </w:p>
    <w:p>
      <w:pPr>
        <w:spacing w:after="0" w:line="186" w:lineRule="exact"/>
        <w:rPr>
          <w:rFonts w:ascii="Arial" w:cs="Arial" w:eastAsia="Arial" w:hAnsi="Arial"/>
          <w:sz w:val="18"/>
          <w:szCs w:val="18"/>
          <w:color w:val="auto"/>
        </w:rPr>
      </w:pPr>
    </w:p>
    <w:p>
      <w:pPr>
        <w:ind w:left="4540" w:hanging="706"/>
        <w:spacing w:after="0"/>
        <w:tabs>
          <w:tab w:leader="none" w:pos="4540" w:val="left"/>
        </w:tabs>
        <w:numPr>
          <w:ilvl w:val="1"/>
          <w:numId w:val="63"/>
        </w:numPr>
        <w:rPr>
          <w:rFonts w:ascii="Arial" w:cs="Arial" w:eastAsia="Arial" w:hAnsi="Arial"/>
          <w:sz w:val="16"/>
          <w:szCs w:val="16"/>
          <w:color w:val="auto"/>
        </w:rPr>
      </w:pPr>
      <w:r>
        <w:rPr>
          <w:rFonts w:ascii="Arial" w:cs="Arial" w:eastAsia="Arial" w:hAnsi="Arial"/>
          <w:sz w:val="16"/>
          <w:szCs w:val="16"/>
          <w:color w:val="auto"/>
        </w:rPr>
        <w:t>either (1) any shares of Common Stock issuable upon conversion of the Notes and held by a</w:t>
      </w:r>
    </w:p>
    <w:p>
      <w:pPr>
        <w:spacing w:after="0" w:line="46" w:lineRule="exact"/>
        <w:rPr>
          <w:rFonts w:ascii="Arial" w:cs="Arial" w:eastAsia="Arial" w:hAnsi="Arial"/>
          <w:sz w:val="16"/>
          <w:szCs w:val="16"/>
          <w:color w:val="auto"/>
        </w:rPr>
      </w:pPr>
    </w:p>
    <w:p>
      <w:pPr>
        <w:ind w:right="220"/>
        <w:spacing w:after="0" w:line="295" w:lineRule="auto"/>
        <w:rPr>
          <w:rFonts w:ascii="Arial" w:cs="Arial" w:eastAsia="Arial" w:hAnsi="Arial"/>
          <w:sz w:val="16"/>
          <w:szCs w:val="16"/>
          <w:color w:val="auto"/>
        </w:rPr>
      </w:pPr>
      <w:r>
        <w:rPr>
          <w:rFonts w:ascii="Arial" w:cs="Arial" w:eastAsia="Arial" w:hAnsi="Arial"/>
          <w:sz w:val="16"/>
          <w:szCs w:val="16"/>
          <w:color w:val="auto"/>
        </w:rPr>
        <w:t>non-Affiliate of the Company shall be eligible for sale without the need for registration under any applicable federal or state securities laws or (2) a shelf registration statement registering the resale of the shares of Common Stock issuable upon conversion of the Notes has been filed by the Company and been declared effective by the SEC or is automatically effective and is available for use, and the Company expects such shelf registration statement to remain effective and available for use from the Issuer’s Conversion Notice Date until thirty (30) days following the Issuer’s Conversion Date;</w:t>
      </w:r>
    </w:p>
    <w:p>
      <w:pPr>
        <w:spacing w:after="0" w:line="161" w:lineRule="exact"/>
        <w:rPr>
          <w:rFonts w:ascii="Arial" w:cs="Arial" w:eastAsia="Arial" w:hAnsi="Arial"/>
          <w:sz w:val="16"/>
          <w:szCs w:val="16"/>
          <w:color w:val="auto"/>
        </w:rPr>
      </w:pPr>
    </w:p>
    <w:p>
      <w:pPr>
        <w:ind w:left="4600" w:hanging="766"/>
        <w:spacing w:after="0"/>
        <w:tabs>
          <w:tab w:leader="none" w:pos="46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during the Equity Conditions Measuring Period, the Common Stock is listed or traded on The</w:t>
      </w:r>
    </w:p>
    <w:p>
      <w:pPr>
        <w:spacing w:after="0" w:line="46" w:lineRule="exact"/>
        <w:rPr>
          <w:rFonts w:ascii="Arial" w:cs="Arial" w:eastAsia="Arial" w:hAnsi="Arial"/>
          <w:sz w:val="16"/>
          <w:szCs w:val="16"/>
          <w:color w:val="auto"/>
        </w:rPr>
      </w:pPr>
    </w:p>
    <w:p>
      <w:pPr>
        <w:spacing w:after="0" w:line="253" w:lineRule="auto"/>
        <w:rPr>
          <w:rFonts w:ascii="Arial" w:cs="Arial" w:eastAsia="Arial" w:hAnsi="Arial"/>
          <w:sz w:val="16"/>
          <w:szCs w:val="16"/>
          <w:color w:val="auto"/>
        </w:rPr>
      </w:pPr>
      <w:r>
        <w:rPr>
          <w:rFonts w:ascii="Arial" w:cs="Arial" w:eastAsia="Arial" w:hAnsi="Arial"/>
          <w:sz w:val="18"/>
          <w:szCs w:val="18"/>
          <w:color w:val="auto"/>
        </w:rPr>
        <w:t>NASDAQ Global Select Market, The NASDAQ Global Market, the New York Stock Exchange, or any of their respective successors (each, an “</w:t>
      </w:r>
      <w:r>
        <w:rPr>
          <w:rFonts w:ascii="Arial" w:cs="Arial" w:eastAsia="Arial" w:hAnsi="Arial"/>
          <w:sz w:val="18"/>
          <w:szCs w:val="18"/>
          <w:u w:val="single" w:color="auto"/>
          <w:color w:val="auto"/>
        </w:rPr>
        <w:t>Eligible</w:t>
      </w:r>
      <w:r>
        <w:rPr>
          <w:rFonts w:ascii="Arial" w:cs="Arial" w:eastAsia="Arial" w:hAnsi="Arial"/>
          <w:sz w:val="18"/>
          <w:szCs w:val="18"/>
          <w:color w:val="auto"/>
        </w:rPr>
        <w:t xml:space="preserve"> </w:t>
      </w:r>
      <w:r>
        <w:rPr>
          <w:rFonts w:ascii="Arial" w:cs="Arial" w:eastAsia="Arial" w:hAnsi="Arial"/>
          <w:sz w:val="18"/>
          <w:szCs w:val="18"/>
          <w:u w:val="single" w:color="auto"/>
          <w:color w:val="auto"/>
        </w:rPr>
        <w:t>Market</w:t>
      </w:r>
      <w:r>
        <w:rPr>
          <w:rFonts w:ascii="Arial" w:cs="Arial" w:eastAsia="Arial" w:hAnsi="Arial"/>
          <w:sz w:val="18"/>
          <w:szCs w:val="18"/>
          <w:color w:val="auto"/>
        </w:rPr>
        <w:t>”) and shall not have been suspended from trading on such exchange or market (other than suspensions of not more than two Trading Days and occurring prior to the applicable date of determination due to business announcements by the Company) nor shall delisting or suspension by such exchange or market been threatened or pending either (A) in writing by such exchange or market or (B) by falling below the then effective minimum listing maintenance requirements of such exchange or market;</w:t>
      </w:r>
    </w:p>
    <w:p>
      <w:pPr>
        <w:spacing w:after="0" w:line="191" w:lineRule="exact"/>
        <w:rPr>
          <w:rFonts w:ascii="Arial" w:cs="Arial" w:eastAsia="Arial" w:hAnsi="Arial"/>
          <w:sz w:val="16"/>
          <w:szCs w:val="16"/>
          <w:color w:val="auto"/>
        </w:rPr>
      </w:pPr>
    </w:p>
    <w:p>
      <w:pPr>
        <w:ind w:left="4640" w:hanging="806"/>
        <w:spacing w:after="0"/>
        <w:tabs>
          <w:tab w:leader="none" w:pos="4640" w:val="left"/>
        </w:tabs>
        <w:numPr>
          <w:ilvl w:val="1"/>
          <w:numId w:val="63"/>
        </w:numPr>
        <w:rPr>
          <w:rFonts w:ascii="Arial" w:cs="Arial" w:eastAsia="Arial" w:hAnsi="Arial"/>
          <w:sz w:val="16"/>
          <w:szCs w:val="16"/>
          <w:color w:val="auto"/>
        </w:rPr>
      </w:pPr>
      <w:r>
        <w:rPr>
          <w:rFonts w:ascii="Arial" w:cs="Arial" w:eastAsia="Arial" w:hAnsi="Arial"/>
          <w:sz w:val="16"/>
          <w:szCs w:val="16"/>
          <w:color w:val="auto"/>
        </w:rPr>
        <w:t>any applicable shares of Common Stock to be issued upon conversion may be issued in full</w:t>
      </w:r>
    </w:p>
    <w:p>
      <w:pPr>
        <w:spacing w:after="0" w:line="46" w:lineRule="exact"/>
        <w:rPr>
          <w:rFonts w:ascii="Arial" w:cs="Arial" w:eastAsia="Arial" w:hAnsi="Arial"/>
          <w:sz w:val="16"/>
          <w:szCs w:val="16"/>
          <w:color w:val="auto"/>
        </w:rPr>
      </w:pPr>
    </w:p>
    <w:p>
      <w:pPr>
        <w:ind w:right="540"/>
        <w:spacing w:after="0" w:line="261" w:lineRule="auto"/>
        <w:rPr>
          <w:rFonts w:ascii="Arial" w:cs="Arial" w:eastAsia="Arial" w:hAnsi="Arial"/>
          <w:sz w:val="16"/>
          <w:szCs w:val="16"/>
          <w:color w:val="auto"/>
        </w:rPr>
      </w:pPr>
      <w:r>
        <w:rPr>
          <w:rFonts w:ascii="Arial" w:cs="Arial" w:eastAsia="Arial" w:hAnsi="Arial"/>
          <w:sz w:val="18"/>
          <w:szCs w:val="18"/>
          <w:color w:val="auto"/>
        </w:rPr>
        <w:t>without violating the rules or regulations of The NASDAQ Global Select Market or any other applicable Eligible Market on which the Common Stock delivered upon conversion is then listed or trading; and</w:t>
      </w:r>
    </w:p>
    <w:p>
      <w:pPr>
        <w:spacing w:after="0" w:line="183" w:lineRule="exact"/>
        <w:rPr>
          <w:rFonts w:ascii="Arial" w:cs="Arial" w:eastAsia="Arial" w:hAnsi="Arial"/>
          <w:sz w:val="16"/>
          <w:szCs w:val="16"/>
          <w:color w:val="auto"/>
        </w:rPr>
      </w:pPr>
    </w:p>
    <w:p>
      <w:pPr>
        <w:ind w:left="4640" w:hanging="806"/>
        <w:spacing w:after="0"/>
        <w:tabs>
          <w:tab w:leader="none" w:pos="4640" w:val="left"/>
        </w:tabs>
        <w:numPr>
          <w:ilvl w:val="1"/>
          <w:numId w:val="63"/>
        </w:numPr>
        <w:rPr>
          <w:rFonts w:ascii="Arial" w:cs="Arial" w:eastAsia="Arial" w:hAnsi="Arial"/>
          <w:sz w:val="16"/>
          <w:szCs w:val="16"/>
          <w:color w:val="auto"/>
        </w:rPr>
      </w:pPr>
      <w:r>
        <w:rPr>
          <w:rFonts w:ascii="Arial" w:cs="Arial" w:eastAsia="Arial" w:hAnsi="Arial"/>
          <w:sz w:val="16"/>
          <w:szCs w:val="16"/>
          <w:color w:val="auto"/>
        </w:rPr>
        <w:t>prior to the Issuer’s Conversion Notice Date , to the extent any Notes have been delivered to</w:t>
      </w:r>
    </w:p>
    <w:p>
      <w:pPr>
        <w:spacing w:after="0" w:line="46" w:lineRule="exact"/>
        <w:rPr>
          <w:rFonts w:ascii="Arial" w:cs="Arial" w:eastAsia="Arial" w:hAnsi="Arial"/>
          <w:sz w:val="16"/>
          <w:szCs w:val="16"/>
          <w:color w:val="auto"/>
        </w:rPr>
      </w:pPr>
    </w:p>
    <w:p>
      <w:pPr>
        <w:spacing w:after="0" w:line="255" w:lineRule="auto"/>
        <w:rPr>
          <w:rFonts w:ascii="Arial" w:cs="Arial" w:eastAsia="Arial" w:hAnsi="Arial"/>
          <w:sz w:val="16"/>
          <w:szCs w:val="16"/>
          <w:color w:val="auto"/>
        </w:rPr>
      </w:pPr>
      <w:r>
        <w:rPr>
          <w:rFonts w:ascii="Arial" w:cs="Arial" w:eastAsia="Arial" w:hAnsi="Arial"/>
          <w:sz w:val="18"/>
          <w:szCs w:val="18"/>
          <w:color w:val="auto"/>
        </w:rPr>
        <w:t>the Company for exchange in accordance with the terms of the Notes, the Company shall have delivered and paid the number of shares of Common Stock and the amount of cash due upon conversion of the Notes to the Holders in accordance with Section 5.03, and no other Default or Event of Default under the Indenture shall have occurred and be continuing.</w:t>
      </w:r>
    </w:p>
    <w:p>
      <w:pPr>
        <w:spacing w:after="0" w:line="190" w:lineRule="exact"/>
        <w:rPr>
          <w:rFonts w:ascii="Arial" w:cs="Arial" w:eastAsia="Arial" w:hAnsi="Arial"/>
          <w:sz w:val="16"/>
          <w:szCs w:val="16"/>
          <w:color w:val="auto"/>
        </w:rPr>
      </w:pPr>
    </w:p>
    <w:p>
      <w:pPr>
        <w:ind w:right="100" w:firstLine="656"/>
        <w:spacing w:after="0" w:line="270" w:lineRule="auto"/>
        <w:tabs>
          <w:tab w:leader="none" w:pos="1533" w:val="left"/>
        </w:tabs>
        <w:numPr>
          <w:ilvl w:val="0"/>
          <w:numId w:val="63"/>
        </w:numPr>
        <w:rPr>
          <w:rFonts w:ascii="Arial" w:cs="Arial" w:eastAsia="Arial" w:hAnsi="Arial"/>
          <w:sz w:val="17"/>
          <w:szCs w:val="17"/>
          <w:color w:val="auto"/>
        </w:rPr>
      </w:pPr>
      <w:r>
        <w:rPr>
          <w:rFonts w:ascii="Arial" w:cs="Arial" w:eastAsia="Arial" w:hAnsi="Arial"/>
          <w:sz w:val="17"/>
          <w:szCs w:val="17"/>
          <w:color w:val="auto"/>
        </w:rPr>
        <w:t>Each Holder of a Note, by the Holder’s acceptance thereof, agrees to take the following actions prior to the Issuer’s Conversion Date if deemed necessary by the Company or, in the case of Notes represented by global notes, if required by DTC or any successor Depositary: (i) surrendering the converted Note to the Conversion Agent, (ii) furnishing appropriate endorsements and transfer documents if required by the Registrar or the Conversion Agent, (iii) if the Note is held in book-entry form, completing and delivering to the Depositary appropriate instructions pursuant to the Depositary’s book-entry conversion programs, (iv) paying the funds, if any, required by Section 2.04 and, if required, all taxes or duties, if any, and (v) any other action necessary to effectuate the Issuer’s Conversion Option as may be reasonably requested by the Company. In the event that a Holder does not take any of the actions set forth in the immediately preceding sentence prior to the Issuer’s Conversion Date, each Holder of a Note, by the Holder’s acceptance thereof, authorizes and directs the Company to take any action on the Holder’s behalf to effect the Issuer’s Conversion Option and appoints the Company such Holder’s attorney-in-fact for any and all such purposes. Such appointment as attorney-in-fact is coupled with an interest and is irrevocable so long as any Note is Outstanding.</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42" w:name="page43"/>
    <w:bookmarkEnd w:id="42"/>
    <w:p>
      <w:pPr>
        <w:jc w:val="both"/>
        <w:ind w:right="20" w:firstLine="656"/>
        <w:spacing w:after="0" w:line="259" w:lineRule="auto"/>
        <w:tabs>
          <w:tab w:leader="none" w:pos="15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Upon conversion pursuant to an Issuer’s Conversion Option, interest on the Notes or portion of Notes so converted shall cease to accrue and such Notes shall cease to be outstanding and cease to be entitled to any benefit under the Indenture, and the Holders thereof shall have no right in respect of such Notes except the cash, shares of Common Stock or combination thereof, as applicable, to which they are entitled pursuant to Section 5.03(a) and this Section 5.10.</w:t>
      </w:r>
    </w:p>
    <w:p>
      <w:pPr>
        <w:spacing w:after="0" w:line="186" w:lineRule="exact"/>
        <w:rPr>
          <w:rFonts w:ascii="Arial" w:cs="Arial" w:eastAsia="Arial" w:hAnsi="Arial"/>
          <w:sz w:val="18"/>
          <w:szCs w:val="18"/>
          <w:color w:val="auto"/>
        </w:rPr>
      </w:pPr>
    </w:p>
    <w:p>
      <w:pPr>
        <w:ind w:right="140" w:firstLine="656"/>
        <w:spacing w:after="0" w:line="277" w:lineRule="auto"/>
        <w:tabs>
          <w:tab w:leader="none" w:pos="154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Trustee and the Conversion Agent have no duty to verify whether the Equity Conditions have been satisfied and may conclusively rely on the Officers’ Certificate delivered in connection therewith.</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5.11</w:t>
      </w:r>
      <w:r>
        <w:rPr>
          <w:sz w:val="20"/>
          <w:szCs w:val="20"/>
          <w:color w:val="auto"/>
        </w:rPr>
        <w:tab/>
      </w:r>
      <w:r>
        <w:rPr>
          <w:rFonts w:ascii="Arial" w:cs="Arial" w:eastAsia="Arial" w:hAnsi="Arial"/>
          <w:sz w:val="16"/>
          <w:szCs w:val="16"/>
          <w:u w:val="single" w:color="auto"/>
          <w:color w:val="auto"/>
        </w:rPr>
        <w:t>Limitation on Beneficial Ownership Upon Conversion</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Notwithstanding anything to the contrary in this Article V, no Holder will be entitled to receive shares of Common Stock upon conversion, and 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purported delivery of shares of Common Stock upon conversion of Notes shall be void and of no effect, to the extent (but only to the extent) that such receipt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delivery would cause (i) such converting Holder to become the owner of 4.9% or more of the Common Stock or (ii) percentage ownership in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any owner of 4.9% or more of Common Stock to increase, unless such converting Holder has received prior approval of the Board of Directors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Section 382 Limitation</w:t>
      </w:r>
      <w:r>
        <w:rPr>
          <w:rFonts w:ascii="Arial" w:cs="Arial" w:eastAsia="Arial" w:hAnsi="Arial"/>
          <w:sz w:val="16"/>
          <w:szCs w:val="16"/>
          <w:color w:val="auto"/>
        </w:rPr>
        <w:t>”). If any delivery of shares of Common Stock owed to a Holder upon conversion of Notes is not made, in whole or in part, as a result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the Section 382 Limitation, the Company’s obligation to make such delivery shall not be extinguished and the Company shall deliver such shares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Common Stock as promptly as practicable after such delivery (i) would not result in such converting Holder becoming an owner of 4.9% or more of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and (ii) would not cause the percentage ownership in the Company of any owner of 4.9% or more of Common Stock to increase and such converting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Holder gives notice thereof to the Company.</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EVENTS OF DEFAULT</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w:t>
      </w:r>
    </w:p>
    <w:p>
      <w:pPr>
        <w:spacing w:after="0" w:line="225"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Section 6.01 of the Base Indenture shall not apply to, and have no force and effect with respect to, the Notes and any reference to Section 6.01 of the Base Indenture with respect to the Notes shall be superseded by and references thereto shall be deemed to refer to this Section 6.01.</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the following shall constitute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under this Indenture:</w:t>
      </w:r>
    </w:p>
    <w:p>
      <w:pPr>
        <w:spacing w:after="0" w:line="225" w:lineRule="exact"/>
        <w:rPr>
          <w:sz w:val="20"/>
          <w:szCs w:val="20"/>
          <w:color w:val="auto"/>
        </w:rPr>
      </w:pPr>
    </w:p>
    <w:p>
      <w:pPr>
        <w:ind w:left="4540" w:hanging="706"/>
        <w:spacing w:after="0"/>
        <w:tabs>
          <w:tab w:leader="none" w:pos="4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Company fails to pay the Accreted Principal Amount of any Note when due;</w:t>
      </w:r>
    </w:p>
    <w:p>
      <w:pPr>
        <w:spacing w:after="0" w:line="225" w:lineRule="exact"/>
        <w:rPr>
          <w:rFonts w:ascii="Arial" w:cs="Arial" w:eastAsia="Arial" w:hAnsi="Arial"/>
          <w:sz w:val="18"/>
          <w:szCs w:val="18"/>
          <w:color w:val="auto"/>
        </w:rPr>
      </w:pPr>
    </w:p>
    <w:p>
      <w:pPr>
        <w:ind w:left="4600" w:hanging="766"/>
        <w:spacing w:after="0"/>
        <w:tabs>
          <w:tab w:leader="none" w:pos="46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Company fails to deliver the Settlement Amount owing upon conversion of any Note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when due, and such failure continues for five Business Days;</w:t>
      </w:r>
    </w:p>
    <w:p>
      <w:pPr>
        <w:spacing w:after="0" w:line="210" w:lineRule="exact"/>
        <w:rPr>
          <w:rFonts w:ascii="Arial" w:cs="Arial" w:eastAsia="Arial" w:hAnsi="Arial"/>
          <w:sz w:val="17"/>
          <w:szCs w:val="17"/>
          <w:color w:val="auto"/>
        </w:rPr>
      </w:pPr>
    </w:p>
    <w:p>
      <w:pPr>
        <w:ind w:left="4640" w:hanging="806"/>
        <w:spacing w:after="0"/>
        <w:tabs>
          <w:tab w:leader="none" w:pos="46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Company fails to pay any interest on any Note when due, and such failure continues for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30 calendar days;</w:t>
      </w:r>
    </w:p>
    <w:p>
      <w:pPr>
        <w:spacing w:after="0" w:line="210" w:lineRule="exact"/>
        <w:rPr>
          <w:rFonts w:ascii="Arial" w:cs="Arial" w:eastAsia="Arial" w:hAnsi="Arial"/>
          <w:sz w:val="16"/>
          <w:szCs w:val="16"/>
          <w:color w:val="auto"/>
        </w:rPr>
      </w:pPr>
    </w:p>
    <w:p>
      <w:pPr>
        <w:ind w:left="4640" w:hanging="806"/>
        <w:spacing w:after="0"/>
        <w:tabs>
          <w:tab w:leader="none" w:pos="4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Company fails to pay the Redemption Price of any Note when due;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43" w:name="page44"/>
    <w:bookmarkEnd w:id="43"/>
    <w:p>
      <w:pPr>
        <w:ind w:left="4580" w:hanging="746"/>
        <w:spacing w:after="0"/>
        <w:tabs>
          <w:tab w:leader="none" w:pos="45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Company fails to pay the Repurchase Price or Fundamental Change Repurchase Price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Note when due;</w:t>
      </w:r>
    </w:p>
    <w:p>
      <w:pPr>
        <w:spacing w:after="0" w:line="211" w:lineRule="exact"/>
        <w:rPr>
          <w:sz w:val="20"/>
          <w:szCs w:val="20"/>
          <w:color w:val="auto"/>
        </w:rPr>
      </w:pPr>
    </w:p>
    <w:p>
      <w:pPr>
        <w:ind w:right="480" w:firstLine="3834"/>
        <w:spacing w:after="0" w:line="277" w:lineRule="auto"/>
        <w:tabs>
          <w:tab w:leader="none" w:pos="4625" w:val="left"/>
        </w:tabs>
        <w:numPr>
          <w:ilvl w:val="2"/>
          <w:numId w:val="67"/>
        </w:numPr>
        <w:rPr>
          <w:rFonts w:ascii="Arial" w:cs="Arial" w:eastAsia="Arial" w:hAnsi="Arial"/>
          <w:sz w:val="18"/>
          <w:szCs w:val="18"/>
          <w:color w:val="auto"/>
        </w:rPr>
      </w:pPr>
      <w:r>
        <w:rPr>
          <w:rFonts w:ascii="Arial" w:cs="Arial" w:eastAsia="Arial" w:hAnsi="Arial"/>
          <w:sz w:val="18"/>
          <w:szCs w:val="18"/>
          <w:color w:val="auto"/>
        </w:rPr>
        <w:t>the Company fails to provide timely notice of a Fundamental Change or a Make-Whole Fundamental Change in accordance with the terms of this Indenture;</w:t>
      </w:r>
    </w:p>
    <w:p>
      <w:pPr>
        <w:spacing w:after="0" w:line="170" w:lineRule="exact"/>
        <w:rPr>
          <w:rFonts w:ascii="Arial" w:cs="Arial" w:eastAsia="Arial" w:hAnsi="Arial"/>
          <w:sz w:val="18"/>
          <w:szCs w:val="18"/>
          <w:color w:val="auto"/>
        </w:rPr>
      </w:pPr>
    </w:p>
    <w:p>
      <w:pPr>
        <w:ind w:right="20" w:firstLine="3834"/>
        <w:spacing w:after="0" w:line="259" w:lineRule="auto"/>
        <w:tabs>
          <w:tab w:leader="none" w:pos="4675" w:val="left"/>
        </w:tabs>
        <w:numPr>
          <w:ilvl w:val="2"/>
          <w:numId w:val="67"/>
        </w:numPr>
        <w:rPr>
          <w:rFonts w:ascii="Arial" w:cs="Arial" w:eastAsia="Arial" w:hAnsi="Arial"/>
          <w:sz w:val="18"/>
          <w:szCs w:val="18"/>
          <w:color w:val="auto"/>
        </w:rPr>
      </w:pPr>
      <w:r>
        <w:rPr>
          <w:rFonts w:ascii="Arial" w:cs="Arial" w:eastAsia="Arial" w:hAnsi="Arial"/>
          <w:sz w:val="18"/>
          <w:szCs w:val="18"/>
          <w:color w:val="auto"/>
        </w:rPr>
        <w:t>the Company fails to perform any other covenant required of it in this Indenture (other than a covenant or agreement a default in whose performance or whose breach is specifically dealt with in clauses (i) through (vi) above) and such failure continues for 60 calendar days after notice is given in accordance with this Indenture by the Trustee or Holders of not less than 25% in aggregate principal amount of the outstanding Notes;</w:t>
      </w:r>
    </w:p>
    <w:p>
      <w:pPr>
        <w:spacing w:after="0" w:line="186" w:lineRule="exact"/>
        <w:rPr>
          <w:rFonts w:ascii="Arial" w:cs="Arial" w:eastAsia="Arial" w:hAnsi="Arial"/>
          <w:sz w:val="18"/>
          <w:szCs w:val="18"/>
          <w:color w:val="auto"/>
        </w:rPr>
      </w:pPr>
    </w:p>
    <w:p>
      <w:pPr>
        <w:ind w:left="4680" w:hanging="891"/>
        <w:spacing w:after="0"/>
        <w:tabs>
          <w:tab w:leader="none" w:pos="4680" w:val="left"/>
        </w:tabs>
        <w:numPr>
          <w:ilvl w:val="1"/>
          <w:numId w:val="68"/>
        </w:numPr>
        <w:rPr>
          <w:rFonts w:ascii="Arial" w:cs="Arial" w:eastAsia="Arial" w:hAnsi="Arial"/>
          <w:sz w:val="16"/>
          <w:szCs w:val="16"/>
          <w:color w:val="auto"/>
        </w:rPr>
      </w:pPr>
      <w:r>
        <w:rPr>
          <w:rFonts w:ascii="Arial" w:cs="Arial" w:eastAsia="Arial" w:hAnsi="Arial"/>
          <w:sz w:val="16"/>
          <w:szCs w:val="16"/>
          <w:color w:val="auto"/>
        </w:rPr>
        <w:t>(A) the Company’s failure, or the failure of any of the Company’s Significant Subsidiaries, to</w:t>
      </w:r>
    </w:p>
    <w:p>
      <w:pPr>
        <w:spacing w:after="0" w:line="46" w:lineRule="exact"/>
        <w:rPr>
          <w:rFonts w:ascii="Arial" w:cs="Arial" w:eastAsia="Arial" w:hAnsi="Arial"/>
          <w:sz w:val="16"/>
          <w:szCs w:val="16"/>
          <w:color w:val="auto"/>
        </w:rPr>
      </w:pPr>
    </w:p>
    <w:p>
      <w:pPr>
        <w:ind w:right="100"/>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make any payment at maturity (after giving effect to any applicable grace period) of Indebtedness, in a principal amount in excess of $15.0 million and continuance of such failure, or (B) the acceleration of Indebtedness of the Company or any of the Company’s Significant Subsidiaries in an amount in excess of $15.0 million because of a default with respect to such Indebtedness, unless such Indebtedness is discharged or such acceleration has been cured, waived, rescinded or annulled, in either case within a period of 30 days after written notice to us given in accordance with this Indenture by the Trustee or Holders of not less than 25% in aggregate principal amount of the outstanding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any such failure or acceleration referred to in clause</w:t>
      </w:r>
    </w:p>
    <w:p>
      <w:pPr>
        <w:spacing w:after="0" w:line="3" w:lineRule="exact"/>
        <w:rPr>
          <w:rFonts w:ascii="Arial" w:cs="Arial" w:eastAsia="Arial" w:hAnsi="Arial"/>
          <w:sz w:val="16"/>
          <w:szCs w:val="16"/>
          <w:color w:val="auto"/>
        </w:rPr>
      </w:pPr>
    </w:p>
    <w:p>
      <w:pPr>
        <w:ind w:left="300" w:hanging="292"/>
        <w:spacing w:after="0"/>
        <w:tabs>
          <w:tab w:leader="none" w:pos="3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or (B) above shall cease or be cured, waived, rescinded or annulled, then the Event of Default by reason thereof shall be deemed not to have occurred;</w:t>
      </w:r>
    </w:p>
    <w:p>
      <w:pPr>
        <w:spacing w:after="0" w:line="233" w:lineRule="exact"/>
        <w:rPr>
          <w:rFonts w:ascii="Arial" w:cs="Arial" w:eastAsia="Arial" w:hAnsi="Arial"/>
          <w:sz w:val="16"/>
          <w:szCs w:val="16"/>
          <w:color w:val="auto"/>
        </w:rPr>
      </w:pPr>
    </w:p>
    <w:p>
      <w:pPr>
        <w:ind w:left="4640" w:hanging="806"/>
        <w:spacing w:after="0"/>
        <w:tabs>
          <w:tab w:leader="none" w:pos="4640" w:val="left"/>
        </w:tabs>
        <w:numPr>
          <w:ilvl w:val="2"/>
          <w:numId w:val="69"/>
        </w:numPr>
        <w:rPr>
          <w:rFonts w:ascii="Arial" w:cs="Arial" w:eastAsia="Arial" w:hAnsi="Arial"/>
          <w:sz w:val="17"/>
          <w:szCs w:val="17"/>
          <w:color w:val="auto"/>
        </w:rPr>
      </w:pPr>
      <w:r>
        <w:rPr>
          <w:rFonts w:ascii="Arial" w:cs="Arial" w:eastAsia="Arial" w:hAnsi="Arial"/>
          <w:sz w:val="17"/>
          <w:szCs w:val="17"/>
          <w:color w:val="auto"/>
        </w:rPr>
        <w:t>the entry of a decree or order for relief in respect of the Company or any of its Significant</w:t>
      </w:r>
    </w:p>
    <w:p>
      <w:pPr>
        <w:spacing w:after="0" w:line="34" w:lineRule="exact"/>
        <w:rPr>
          <w:rFonts w:ascii="Arial" w:cs="Arial" w:eastAsia="Arial" w:hAnsi="Arial"/>
          <w:sz w:val="17"/>
          <w:szCs w:val="17"/>
          <w:color w:val="auto"/>
        </w:rPr>
      </w:pPr>
    </w:p>
    <w:p>
      <w:pPr>
        <w:spacing w:after="0" w:line="252" w:lineRule="auto"/>
        <w:rPr>
          <w:rFonts w:ascii="Arial" w:cs="Arial" w:eastAsia="Arial" w:hAnsi="Arial"/>
          <w:sz w:val="17"/>
          <w:szCs w:val="17"/>
          <w:color w:val="auto"/>
        </w:rPr>
      </w:pPr>
      <w:r>
        <w:rPr>
          <w:rFonts w:ascii="Arial" w:cs="Arial" w:eastAsia="Arial" w:hAnsi="Arial"/>
          <w:sz w:val="18"/>
          <w:szCs w:val="18"/>
          <w:color w:val="auto"/>
        </w:rPr>
        <w:t>Subsidiaries by a court having jurisdiction in the premises in an involuntary case under Bankruptcy Law, as now or hereafter constituted, or a decree or order adjudging the Company or any of its Significant Subsidiaries a bankrupt or insolvent, or approving as properly filed a petition seeking reorganization, arrangement, adjustment or composition of or in respect of the Company or any of its Significant Subsidiaries under any applicable Federal or State law, or appointing a receiver, liquidator, assignee, custodian, trustee, or sequestrator (or other similar official) of the Company or any of its Significant Subsidiaries or of any substantial part of their respective properties, or ordering the winding up or liquidation of its affairs, and the continuance of any such decree or order unstayed and in effect for a period of 60 consecutive days; and</w:t>
      </w:r>
    </w:p>
    <w:p>
      <w:pPr>
        <w:spacing w:after="0" w:line="194" w:lineRule="exact"/>
        <w:rPr>
          <w:rFonts w:ascii="Arial" w:cs="Arial" w:eastAsia="Arial" w:hAnsi="Arial"/>
          <w:sz w:val="17"/>
          <w:szCs w:val="17"/>
          <w:color w:val="auto"/>
        </w:rPr>
      </w:pPr>
    </w:p>
    <w:p>
      <w:pPr>
        <w:ind w:right="40" w:firstLine="3834"/>
        <w:spacing w:after="0" w:line="255" w:lineRule="auto"/>
        <w:tabs>
          <w:tab w:leader="none" w:pos="4575" w:val="left"/>
        </w:tabs>
        <w:numPr>
          <w:ilvl w:val="2"/>
          <w:numId w:val="69"/>
        </w:numPr>
        <w:rPr>
          <w:rFonts w:ascii="Arial" w:cs="Arial" w:eastAsia="Arial" w:hAnsi="Arial"/>
          <w:sz w:val="18"/>
          <w:szCs w:val="18"/>
          <w:color w:val="auto"/>
        </w:rPr>
      </w:pPr>
      <w:r>
        <w:rPr>
          <w:rFonts w:ascii="Arial" w:cs="Arial" w:eastAsia="Arial" w:hAnsi="Arial"/>
          <w:sz w:val="18"/>
          <w:szCs w:val="18"/>
          <w:color w:val="auto"/>
        </w:rPr>
        <w:t>the commencement by the Company or any of its Significant Subsidiaries of a voluntary case under the Bankruptcy Law, as now or hereafter constituted, or the consent by it to the entry of an order for relief in an involuntary case under any such law or to the appointment of a receiver, liquidator, assignee, custodian, trustee, or sequestrator (or other similar official) of the Company or any of its Significant Subsidiaries or of any substantial part of their respective properties, or the making by it of an assignment for the benefit of its creditors, or the admission by it in writing of its inability to pay its debts generally as they become due, or the taking of corporate action by the Company or any of its Significant Subsidiaries in furtherance of any such action.</w:t>
      </w:r>
    </w:p>
    <w:p>
      <w:pPr>
        <w:spacing w:after="0" w:line="19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6"/>
          <w:szCs w:val="16"/>
          <w:u w:val="single" w:color="auto"/>
          <w:color w:val="auto"/>
        </w:rPr>
        <w:t>Acceleration of Maturity; Rescission and Annulment</w:t>
      </w:r>
      <w:r>
        <w:rPr>
          <w:rFonts w:ascii="Arial" w:cs="Arial" w:eastAsia="Arial" w:hAnsi="Arial"/>
          <w:sz w:val="16"/>
          <w:szCs w:val="16"/>
          <w:color w:val="auto"/>
        </w:rPr>
        <w:t>.</w:t>
      </w:r>
    </w:p>
    <w:p>
      <w:pPr>
        <w:spacing w:after="0" w:line="225"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Section 6.02 of the Base Indenture shall not apply to, and have no force and effect with respect to, the Notes and any reference to Section 6.02 of the Base Indenture with respect to the Notes shall be superseded by and references thereto shall be deemed to refer to this Section 6.02.</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4" w:name="page45"/>
    <w:bookmarkEnd w:id="44"/>
    <w:p>
      <w:pPr>
        <w:ind w:right="60" w:firstLine="648"/>
        <w:spacing w:after="0" w:line="273" w:lineRule="auto"/>
        <w:rPr>
          <w:sz w:val="20"/>
          <w:szCs w:val="20"/>
          <w:color w:val="auto"/>
        </w:rPr>
      </w:pPr>
      <w:r>
        <w:rPr>
          <w:rFonts w:ascii="Arial" w:cs="Arial" w:eastAsia="Arial" w:hAnsi="Arial"/>
          <w:sz w:val="17"/>
          <w:szCs w:val="17"/>
          <w:color w:val="auto"/>
        </w:rPr>
        <w:t>If an Event of Default with respect to the Notes, other than an Event of Default pursuant to Section 6.01(ix) or (x) with respect to the Company, occurs and is continuing, then in every case the Trustee or the Holders of not less than 25% in aggregate principal amount of the outstanding Notes may declare the Accreted Principal Amount of the Notes to be due and payable immediately, by a notice in writing to the Company (and to the Trustee if given by Holders), and upon any such declaration such Accreted Principal Amount (or specified portion) shall become immediately due and payable. If an Event of Default with respect to the Notes pursuant to Sections 6.01(x) or (xi) occurs with respect to the Company, the Accreted Principal Amount of the Notes and accrued and unpaid interest, if any, shall automatically become immediately due and payable.</w:t>
      </w:r>
    </w:p>
    <w:p>
      <w:pPr>
        <w:spacing w:after="0" w:line="17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At any time after such a declaration of acceleration with respect to the Notes has been made and before a judgment or decree for payment of the money due based on such acceleration has been obtained by the Trustee as provided for in Section 6.03 of the Base Indenture, the Holders of a majority in principal amount of the outstanding Notes, by written notice to the Company and the Trustee, may rescind and annul such declaration and its consequences if all Events of Default with respect to the Notes, other than the non-payment of the Accreted Principal Amount and interest, if any, of the Notes which have become due solely by such declaration of acceleration, have been cured or waived as provided in Section 6.05 of this Second Supplemental Indenture. No such rescission shall affect any subsequent default or impair any right consequent thereon.</w:t>
      </w:r>
    </w:p>
    <w:p>
      <w:pPr>
        <w:spacing w:after="0" w:line="17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6"/>
          <w:szCs w:val="16"/>
          <w:u w:val="single" w:color="auto"/>
          <w:color w:val="auto"/>
        </w:rPr>
        <w:t>Additional Interest</w:t>
      </w:r>
      <w:r>
        <w:rPr>
          <w:rFonts w:ascii="Arial" w:cs="Arial" w:eastAsia="Arial" w:hAnsi="Arial"/>
          <w:sz w:val="16"/>
          <w:szCs w:val="16"/>
          <w:color w:val="auto"/>
        </w:rPr>
        <w:t>.</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Notwithstanding anything else in this Indenture to the contrary, if the Company so elects, the sole remedy under the Indenture for an Event of Default relating to (i) the Company’s failure to file with the Trustee pursuant to Section 314(a)(1) of the TIA any documents or reports that the Company is required to file with the Commission pursuant to Section 13 or 15(d) of the Exchange Act or (ii) the Company’s failure to comply with its reporting obligations to the Trustee and the Commission, pursuant to Section 9.01, will, for the first 270 days after the occurrence of such an Event of Default, consist exclusively of the right to receive additional interest on the Notes at an annual rate equal to 0.25% of the aggregate principal amount of the Notes for the first 90 days after the occurrence of such an Event of Default and at an annual rate equal to 0.50% of the aggregate principal amount of the Notes from the 91st day to, but not including, the 271st day thereafter (or, if applicable, the earlier date on which the Event of Default relating to the reporting obligations is cured or waived) (“</w:t>
      </w:r>
      <w:r>
        <w:rPr>
          <w:rFonts w:ascii="Arial" w:cs="Arial" w:eastAsia="Arial" w:hAnsi="Arial"/>
          <w:sz w:val="16"/>
          <w:szCs w:val="16"/>
          <w:u w:val="single" w:color="auto"/>
          <w:color w:val="auto"/>
        </w:rPr>
        <w:t>Additional Interest</w:t>
      </w:r>
      <w:r>
        <w:rPr>
          <w:rFonts w:ascii="Arial" w:cs="Arial" w:eastAsia="Arial" w:hAnsi="Arial"/>
          <w:sz w:val="16"/>
          <w:szCs w:val="16"/>
          <w:color w:val="auto"/>
        </w:rPr>
        <w:t>”). Any such Additional Interest will be payable in the same manner and on the same dates as the stated interest payable on the Notes. If the Event of Default is continuing on the 271st day after an Event of Default relating to a failure to comply with the reporting obligations described above first occurs, the Notes will be subject to acceleration as provided in Section 6.02 of this Second Supplemental Indenture. The provisions of this Indenture described in this paragraph will not affect the rights of Holders of Notes in the event of the occurrence of any other Events of Default.</w:t>
      </w:r>
    </w:p>
    <w:p>
      <w:pPr>
        <w:spacing w:after="0" w:line="173"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 order to elect to pay Additional Interest as the sole remedy during the first 270 days after the occurrence of an Event of Default relating to the Company’s failure to comply with the reporting obligations set forth in clauses (i) or (ii) of the immediately preceding paragraph, the Company must notify in writing all Holders and the Trustee and Paying Agent of such election on or before the Close of Business on the fifth Business Day prior to the date on which such Event of Default would otherwise occur. Upon the Company’s failure to timely give such notice or pay Additional Interest, the Notes will be immediately subject to acceleration as provided in Section 6.02 of this Second Supplemental Indenture.</w:t>
      </w: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45" w:name="page46"/>
    <w:bookmarkEnd w:id="45"/>
    <w:p>
      <w:pPr>
        <w:ind w:left="660"/>
        <w:spacing w:after="0"/>
        <w:tabs>
          <w:tab w:leader="none" w:pos="1940" w:val="left"/>
        </w:tabs>
        <w:rPr>
          <w:sz w:val="20"/>
          <w:szCs w:val="20"/>
          <w:color w:val="auto"/>
        </w:rPr>
      </w:pPr>
      <w:r>
        <w:rPr>
          <w:rFonts w:ascii="Arial" w:cs="Arial" w:eastAsia="Arial" w:hAnsi="Arial"/>
          <w:sz w:val="18"/>
          <w:szCs w:val="18"/>
          <w:color w:val="auto"/>
        </w:rPr>
        <w:t>Section 6.04</w:t>
      </w:r>
      <w:r>
        <w:rPr>
          <w:sz w:val="20"/>
          <w:szCs w:val="20"/>
          <w:color w:val="auto"/>
        </w:rPr>
        <w:tab/>
      </w:r>
      <w:r>
        <w:rPr>
          <w:rFonts w:ascii="Arial" w:cs="Arial" w:eastAsia="Arial" w:hAnsi="Arial"/>
          <w:sz w:val="15"/>
          <w:szCs w:val="15"/>
          <w:u w:val="single" w:color="auto"/>
          <w:color w:val="auto"/>
        </w:rPr>
        <w:t>Suits</w:t>
      </w:r>
      <w:r>
        <w:rPr>
          <w:rFonts w:ascii="Arial" w:cs="Arial" w:eastAsia="Arial" w:hAnsi="Arial"/>
          <w:sz w:val="15"/>
          <w:szCs w:val="15"/>
          <w:color w:val="auto"/>
        </w:rPr>
        <w:t>.</w:t>
      </w:r>
    </w:p>
    <w:p>
      <w:pPr>
        <w:spacing w:after="0" w:line="225"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Section 6.07 of the Base Indenture shall not apply to, and have no force and effect with respect to, the Notes and any reference to Section 6.07 of the Base Indenture with respect to the Notes shall be superseded by and references thereto shall be deemed to refer to this Section 6.04.</w:t>
      </w:r>
    </w:p>
    <w:p>
      <w:pPr>
        <w:spacing w:after="0" w:line="147" w:lineRule="exact"/>
        <w:rPr>
          <w:sz w:val="20"/>
          <w:szCs w:val="20"/>
          <w:color w:val="auto"/>
        </w:rPr>
      </w:pPr>
    </w:p>
    <w:p>
      <w:pPr>
        <w:ind w:right="920" w:firstLine="648"/>
        <w:spacing w:after="0" w:line="308" w:lineRule="auto"/>
        <w:rPr>
          <w:sz w:val="20"/>
          <w:szCs w:val="20"/>
          <w:color w:val="auto"/>
        </w:rPr>
      </w:pPr>
      <w:r>
        <w:rPr>
          <w:rFonts w:ascii="Arial" w:cs="Arial" w:eastAsia="Arial" w:hAnsi="Arial"/>
          <w:sz w:val="17"/>
          <w:szCs w:val="17"/>
          <w:color w:val="auto"/>
        </w:rPr>
        <w:t>No Holder of the Notes shall have any right to institute any proceeding, judicial or otherwise, with respect to the Base Indenture, Second Supplemental Indenture or the Notes, or for the appointment of a receiver or trustee, or for any other remedy hereunder, unless:</w:t>
      </w:r>
    </w:p>
    <w:p>
      <w:pPr>
        <w:spacing w:after="0" w:line="147" w:lineRule="exact"/>
        <w:rPr>
          <w:sz w:val="20"/>
          <w:szCs w:val="20"/>
          <w:color w:val="auto"/>
        </w:rPr>
      </w:pPr>
    </w:p>
    <w:p>
      <w:pPr>
        <w:ind w:left="1580" w:hanging="924"/>
        <w:spacing w:after="0"/>
        <w:tabs>
          <w:tab w:leader="none" w:pos="1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such Holder has previously given written notice to the Trustee of a continuing Event of Default with respect to the Notes;</w:t>
      </w:r>
    </w:p>
    <w:p>
      <w:pPr>
        <w:spacing w:after="0" w:line="225" w:lineRule="exact"/>
        <w:rPr>
          <w:rFonts w:ascii="Arial" w:cs="Arial" w:eastAsia="Arial" w:hAnsi="Arial"/>
          <w:sz w:val="18"/>
          <w:szCs w:val="18"/>
          <w:color w:val="auto"/>
        </w:rPr>
      </w:pPr>
    </w:p>
    <w:p>
      <w:pPr>
        <w:ind w:right="380" w:firstLine="656"/>
        <w:spacing w:after="0" w:line="277" w:lineRule="auto"/>
        <w:tabs>
          <w:tab w:leader="none" w:pos="1533"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Notes shall have made written request to the Trustee to institute proceedings in respect of such Event of Default in its own name as Trustee hereunder;</w:t>
      </w:r>
    </w:p>
    <w:p>
      <w:pPr>
        <w:spacing w:after="0" w:line="170" w:lineRule="exact"/>
        <w:rPr>
          <w:rFonts w:ascii="Arial" w:cs="Arial" w:eastAsia="Arial" w:hAnsi="Arial"/>
          <w:sz w:val="18"/>
          <w:szCs w:val="18"/>
          <w:color w:val="auto"/>
        </w:rPr>
      </w:pPr>
    </w:p>
    <w:p>
      <w:pPr>
        <w:ind w:right="440" w:firstLine="656"/>
        <w:spacing w:after="0" w:line="277" w:lineRule="auto"/>
        <w:tabs>
          <w:tab w:leader="none" w:pos="1568" w:val="left"/>
        </w:tabs>
        <w:numPr>
          <w:ilvl w:val="0"/>
          <w:numId w:val="70"/>
        </w:numPr>
        <w:rPr>
          <w:rFonts w:ascii="Arial" w:cs="Arial" w:eastAsia="Arial" w:hAnsi="Arial"/>
          <w:sz w:val="18"/>
          <w:szCs w:val="18"/>
          <w:color w:val="auto"/>
        </w:rPr>
      </w:pPr>
      <w:r>
        <w:rPr>
          <w:rFonts w:ascii="Arial" w:cs="Arial" w:eastAsia="Arial" w:hAnsi="Arial"/>
          <w:sz w:val="18"/>
          <w:szCs w:val="18"/>
          <w:color w:val="auto"/>
        </w:rPr>
        <w:t>such Holder or Holders shall have offered indemnity to the Trustee satisfactory to it against the costs, expenses and liabilities to be incurred in compliance with such request;</w:t>
      </w:r>
    </w:p>
    <w:p>
      <w:pPr>
        <w:spacing w:after="0" w:line="170" w:lineRule="exact"/>
        <w:rPr>
          <w:rFonts w:ascii="Arial" w:cs="Arial" w:eastAsia="Arial" w:hAnsi="Arial"/>
          <w:sz w:val="18"/>
          <w:szCs w:val="18"/>
          <w:color w:val="auto"/>
        </w:rPr>
      </w:pPr>
    </w:p>
    <w:p>
      <w:pPr>
        <w:ind w:left="1540" w:hanging="884"/>
        <w:spacing w:after="0"/>
        <w:tabs>
          <w:tab w:leader="none" w:pos="15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Trustee for 60 days after its receipt of such notice, request and offer of indemnity has failed to institute any such proceeding; and</w:t>
      </w:r>
    </w:p>
    <w:p>
      <w:pPr>
        <w:spacing w:after="0" w:line="248" w:lineRule="exact"/>
        <w:rPr>
          <w:rFonts w:ascii="Arial" w:cs="Arial" w:eastAsia="Arial" w:hAnsi="Arial"/>
          <w:sz w:val="16"/>
          <w:szCs w:val="16"/>
          <w:color w:val="auto"/>
        </w:rPr>
      </w:pPr>
    </w:p>
    <w:p>
      <w:pPr>
        <w:ind w:right="60" w:firstLine="656"/>
        <w:spacing w:after="0" w:line="277" w:lineRule="auto"/>
        <w:tabs>
          <w:tab w:leader="none" w:pos="1568"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aggregate principal amount of the outstanding Notes;</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it being understood and intended that no one or more of such Holders shall have any right in any manner whatever by virtue of, or by availing of, any provision of the Base Indenture or the Second Supplemental Indenture to affect, disturb or prejudice the rights of any other Holders, or to obtain or to seek to obtain priority or preference over any other of such Holders or to enforce any right under the Base Indenture or Second Supplemental Indenture, except in the manner herein provided and for the equal and ratable benefit of all Holders.</w:t>
      </w:r>
    </w:p>
    <w:p>
      <w:pPr>
        <w:spacing w:after="0" w:line="18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However, the limitations of this Section 6.04 do not apply to a suit instituted by a Holder for the enforcement of payment of the principal amount of, Accreted Principal Amount of or interest on any Note on or after the applicable due date, the right to convert the Note or to receive the consideration due upon conversion or the right of a Beneficial Owner to exchange its beneficial interest in a global note representing Notes for a certificated Note if an Event of Default has occurred and is continuing, in each case, in accordance with this Indenture.</w:t>
      </w:r>
    </w:p>
    <w:p>
      <w:pPr>
        <w:spacing w:after="0" w:line="17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6"/>
          <w:szCs w:val="16"/>
          <w:u w:val="single" w:color="auto"/>
          <w:color w:val="auto"/>
        </w:rPr>
        <w:t>Waivers</w:t>
      </w:r>
      <w:r>
        <w:rPr>
          <w:rFonts w:ascii="Arial" w:cs="Arial" w:eastAsia="Arial" w:hAnsi="Arial"/>
          <w:sz w:val="16"/>
          <w:szCs w:val="16"/>
          <w:color w:val="auto"/>
        </w:rPr>
        <w:t>.</w:t>
      </w:r>
    </w:p>
    <w:p>
      <w:pPr>
        <w:spacing w:after="0" w:line="225"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Section 6.13 of the Base Indenture shall not apply to, and have no force and effect with respect to, the Notes and any reference to Section 6.13 of the Base Indenture with respect to the Notes shall be superseded by and references thereto shall be deemed to refer to this Section 6.05.</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6" w:name="page47"/>
    <w:bookmarkEnd w:id="46"/>
    <w:p>
      <w:pPr>
        <w:ind w:left="660"/>
        <w:spacing w:after="0"/>
        <w:rPr>
          <w:sz w:val="20"/>
          <w:szCs w:val="20"/>
          <w:color w:val="auto"/>
        </w:rPr>
      </w:pPr>
      <w:r>
        <w:rPr>
          <w:rFonts w:ascii="Arial" w:cs="Arial" w:eastAsia="Arial" w:hAnsi="Arial"/>
          <w:sz w:val="16"/>
          <w:szCs w:val="16"/>
          <w:color w:val="auto"/>
        </w:rPr>
        <w:t>The Holders of not less than a majority of the aggregate principal amount of outstanding Notes may waive any Default or Event of Default unless:</w:t>
      </w:r>
    </w:p>
    <w:p>
      <w:pPr>
        <w:spacing w:after="0" w:line="248" w:lineRule="exact"/>
        <w:rPr>
          <w:sz w:val="20"/>
          <w:szCs w:val="20"/>
          <w:color w:val="auto"/>
        </w:rPr>
      </w:pPr>
    </w:p>
    <w:p>
      <w:pPr>
        <w:ind w:left="4540" w:hanging="706"/>
        <w:spacing w:after="0"/>
        <w:tabs>
          <w:tab w:leader="none" w:pos="45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Company fails to pay the Accreted Principal Amount of or any interest on any Note when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due;</w:t>
      </w:r>
    </w:p>
    <w:p>
      <w:pPr>
        <w:spacing w:after="0" w:line="211" w:lineRule="exact"/>
        <w:rPr>
          <w:sz w:val="20"/>
          <w:szCs w:val="20"/>
          <w:color w:val="auto"/>
        </w:rPr>
      </w:pPr>
    </w:p>
    <w:p>
      <w:pPr>
        <w:ind w:left="4600" w:hanging="766"/>
        <w:spacing w:after="0"/>
        <w:tabs>
          <w:tab w:leader="none" w:pos="46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Company fails to deliver the consideration due upon conversion of any Note within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time period required by this Indenture; or</w:t>
      </w:r>
    </w:p>
    <w:p>
      <w:pPr>
        <w:spacing w:after="0" w:line="211" w:lineRule="exact"/>
        <w:rPr>
          <w:sz w:val="20"/>
          <w:szCs w:val="20"/>
          <w:color w:val="auto"/>
        </w:rPr>
      </w:pPr>
    </w:p>
    <w:p>
      <w:pPr>
        <w:ind w:right="100" w:firstLine="3834"/>
        <w:spacing w:after="0" w:line="277" w:lineRule="auto"/>
        <w:tabs>
          <w:tab w:leader="none" w:pos="463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 fails to comply with any of the provisions of this Indenture the modification of which would require the consent of the Holder of each outstanding Note affected.</w:t>
      </w:r>
    </w:p>
    <w:p>
      <w:pPr>
        <w:spacing w:after="0" w:line="170"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4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6.06</w:t>
      </w:r>
      <w:r>
        <w:rPr>
          <w:sz w:val="20"/>
          <w:szCs w:val="20"/>
          <w:color w:val="auto"/>
        </w:rPr>
        <w:tab/>
      </w:r>
      <w:r>
        <w:rPr>
          <w:rFonts w:ascii="Arial" w:cs="Arial" w:eastAsia="Arial" w:hAnsi="Arial"/>
          <w:sz w:val="16"/>
          <w:szCs w:val="16"/>
          <w:u w:val="single" w:color="auto"/>
          <w:color w:val="auto"/>
        </w:rPr>
        <w:t>Notice of Default</w:t>
      </w:r>
      <w:r>
        <w:rPr>
          <w:rFonts w:ascii="Arial" w:cs="Arial" w:eastAsia="Arial" w:hAnsi="Arial"/>
          <w:sz w:val="16"/>
          <w:szCs w:val="16"/>
          <w:color w:val="auto"/>
        </w:rPr>
        <w:t>.</w:t>
      </w:r>
    </w:p>
    <w:p>
      <w:pPr>
        <w:spacing w:after="0" w:line="225"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Section 7.05 of the Base Indenture shall not apply to, and have no force and effect with respect to, the Notes and any reference to Section 7.05 of the Base Indenture with respect to the Notes shall be superseded by and references thereto shall be deemed to refer to this Section 6.06.</w:t>
      </w:r>
    </w:p>
    <w:p>
      <w:pPr>
        <w:spacing w:after="0" w:line="14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Within 90 days after the occurrence and continuation of any default under this Indenture with respect to the Notes that is known to a Responsible Officer of the Trustee, the Trustee shall transmit to all Holders notice of such default hereunder known to the Trustee, unless such default shall have been cured or waived;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except in the case of a default in the payment of the Accreted Principal Amount of or interest, if any, on any Note, or a default in the delivery of the consideration due upon conversion, the Trustee shall be protected in withholding such notice if and so long as a trust committee of directors or Responsible Officers of the Trustee in good faith determines that the withholding of such notice is in the interest of the Holders. For the purpose of this Section 6.06, the term “default” means any event which is, or after notice or lapse of time or both would become, an Event of Default with respect to the Notes.</w:t>
      </w:r>
    </w:p>
    <w:p>
      <w:pPr>
        <w:spacing w:after="0" w:line="185"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u w:val="single" w:color="auto"/>
          <w:color w:val="auto"/>
        </w:rPr>
        <w:t>DISCHARGE</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u w:val="single" w:color="auto"/>
          <w:color w:val="auto"/>
        </w:rPr>
        <w:t>Discharge</w:t>
      </w:r>
      <w:r>
        <w:rPr>
          <w:rFonts w:ascii="Arial" w:cs="Arial" w:eastAsia="Arial" w:hAnsi="Arial"/>
          <w:sz w:val="16"/>
          <w:szCs w:val="16"/>
          <w:color w:val="auto"/>
        </w:rPr>
        <w:t>.</w:t>
      </w:r>
    </w:p>
    <w:p>
      <w:pPr>
        <w:spacing w:after="0" w:line="225"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Section 8.01 of the Base Indenture shall not apply to, and have no force and effect with respect to, the Notes and any reference to Section 8.01 of the Base Indenture with respect to the Notes shall be superseded by and references thereto shall be deemed to refer to this Section 7.01.</w:t>
      </w:r>
    </w:p>
    <w:p>
      <w:pPr>
        <w:spacing w:after="0" w:line="14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This Second Supplemental Indenture shall upon Company Request cease to be of further effect (except as to any surviving rights of registration of transfer or exchange of the Notes expressly provided for, rights under Section 2.08 of the Base Indenture, and the right to receive payment pursuant to Section 8.02 of the Base Indenture, and the obligations of the Company to the Trustee under Section 7.07 of the Base Indenture), and the Trustee on Company Request, and at the expense of the Company, shall execute proper instruments acknowledging satisfaction and discharge of this Second Supplemental Indenture, when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7" w:name="page48"/>
    <w:bookmarkEnd w:id="47"/>
    <w:p>
      <w:pPr>
        <w:ind w:left="2840" w:hanging="887"/>
        <w:spacing w:after="0"/>
        <w:tabs>
          <w:tab w:leader="none" w:pos="28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right="120" w:firstLine="2601"/>
        <w:spacing w:after="0" w:line="259" w:lineRule="auto"/>
        <w:tabs>
          <w:tab w:leader="none" w:pos="3473" w:val="left"/>
        </w:tabs>
        <w:numPr>
          <w:ilvl w:val="1"/>
          <w:numId w:val="74"/>
        </w:numPr>
        <w:rPr>
          <w:rFonts w:ascii="Arial" w:cs="Arial" w:eastAsia="Arial" w:hAnsi="Arial"/>
          <w:sz w:val="18"/>
          <w:szCs w:val="18"/>
          <w:color w:val="auto"/>
        </w:rPr>
      </w:pPr>
      <w:r>
        <w:rPr>
          <w:rFonts w:ascii="Arial" w:cs="Arial" w:eastAsia="Arial" w:hAnsi="Arial"/>
          <w:sz w:val="18"/>
          <w:szCs w:val="18"/>
          <w:color w:val="auto"/>
        </w:rPr>
        <w:t>all Notes theretofore authenticated and delivered (other than (i) Notes which have been destroyed, lost or stolen and which have been replaced or paid as provided in Section 2.08 of the Base Indenture and (ii) Notes for whose payment money has theretofore been deposited in trust or segregated and held in trust by the Company and thereafter repaid to the Company or discharged from such trust, as provided in Section 2.05 of the Base Indenture) have been delivered to the Trustee for cancellation; or</w:t>
      </w:r>
    </w:p>
    <w:p>
      <w:pPr>
        <w:spacing w:after="0" w:line="186" w:lineRule="exact"/>
        <w:rPr>
          <w:rFonts w:ascii="Arial" w:cs="Arial" w:eastAsia="Arial" w:hAnsi="Arial"/>
          <w:sz w:val="18"/>
          <w:szCs w:val="18"/>
          <w:color w:val="auto"/>
        </w:rPr>
      </w:pPr>
    </w:p>
    <w:p>
      <w:pPr>
        <w:ind w:right="20" w:firstLine="2601"/>
        <w:spacing w:after="0" w:line="270" w:lineRule="auto"/>
        <w:tabs>
          <w:tab w:leader="none" w:pos="3463" w:val="left"/>
        </w:tabs>
        <w:numPr>
          <w:ilvl w:val="1"/>
          <w:numId w:val="74"/>
        </w:numPr>
        <w:rPr>
          <w:rFonts w:ascii="Arial" w:cs="Arial" w:eastAsia="Arial" w:hAnsi="Arial"/>
          <w:sz w:val="17"/>
          <w:szCs w:val="17"/>
          <w:color w:val="auto"/>
        </w:rPr>
      </w:pPr>
      <w:r>
        <w:rPr>
          <w:rFonts w:ascii="Arial" w:cs="Arial" w:eastAsia="Arial" w:hAnsi="Arial"/>
          <w:sz w:val="17"/>
          <w:szCs w:val="17"/>
          <w:color w:val="auto"/>
        </w:rPr>
        <w:t xml:space="preserve">all such Notes not theretofore delivered to the Trustee for cancellation have become due and payable, and the Company has deposited or caused to be deposited with the Trustee as trust funds in trust for the purpose an amount in cash or (in the case of conversion) cash, shares of Common Stock or a combination thereof, as applicable, sufficient to pay and discharge the entire indebtedness on such Notes not theretofore delivered to the Trustee for cancellation, for Accreted Principal Amount and interest, if any, to the date of such deposit (in the case of Notes which have become due and payable) or to the Maturity Date, at any Fundamental Change Repurchase Date, at any Redemption Date, or has satisfied the Company’s conversion obligations upon conversion, as the case may be;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in the event a petition for relief under the Federal bankruptcy laws, as now or hereafter constituted, or any other applicable Federal or state bankruptcy, insolvency or other similar law, is filed with respect to the Company within 91 days after the deposit and the Trustee is required to return the deposited money to the Company, the obligations of the Company under this Second Supplemental Indenture with respect to such Notes shall not be deemed terminated or discharged;</w:t>
      </w:r>
    </w:p>
    <w:p>
      <w:pPr>
        <w:spacing w:after="0" w:line="181" w:lineRule="exact"/>
        <w:rPr>
          <w:rFonts w:ascii="Arial" w:cs="Arial" w:eastAsia="Arial" w:hAnsi="Arial"/>
          <w:sz w:val="17"/>
          <w:szCs w:val="17"/>
          <w:color w:val="auto"/>
        </w:rPr>
      </w:pPr>
    </w:p>
    <w:p>
      <w:pPr>
        <w:ind w:left="2840" w:hanging="887"/>
        <w:spacing w:after="0"/>
        <w:tabs>
          <w:tab w:leader="none" w:pos="28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hereunder by the Company; and</w:t>
      </w:r>
    </w:p>
    <w:p>
      <w:pPr>
        <w:spacing w:after="0" w:line="225" w:lineRule="exact"/>
        <w:rPr>
          <w:rFonts w:ascii="Arial" w:cs="Arial" w:eastAsia="Arial" w:hAnsi="Arial"/>
          <w:sz w:val="18"/>
          <w:szCs w:val="18"/>
          <w:color w:val="auto"/>
        </w:rPr>
      </w:pPr>
    </w:p>
    <w:p>
      <w:pPr>
        <w:ind w:right="400" w:firstLine="1953"/>
        <w:spacing w:after="0" w:line="342" w:lineRule="auto"/>
        <w:tabs>
          <w:tab w:leader="none" w:pos="283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Company has delivered to the Trustee an Officers’ Certificate and an Opinion of Counsel, each stating that all conditions precedent herein provided or relating to the satisfaction and discharge of this Second Supplemental Indenture have been complied with.</w:t>
      </w:r>
    </w:p>
    <w:p>
      <w:pPr>
        <w:spacing w:after="0" w:line="12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Notwithstanding anything in this Section 7.01 to the contrary, such satisfaction and discharge shall not be effective earlier than (A) the Close of Business on the Business Day immediately preceding the Maturity Date, in the case of the Maturity Date, (B) the Close of Business on the Business Day immediately preceding the Redemption Date, in the case of the Redemption Date in respect of which all of the outstanding Notes have been redeemed, (C) the Close of Business on the Business Day immediately preceding the Repurchase Date, in the case of a Repurchase Date on which the holders of all of the outstanding Notes have exercised their right to require us to repurchase all of their Notes, and (D) the Close of Business on the Business Day immediately preceding the Fundamental Change Repurchase Date, in the case of the Fundamental Change Repurchase Date in respect of which the Holders of all outstanding Notes have exercised their right to require the Company to repurchase all of their Notes or convert all of their Notes.</w:t>
      </w:r>
    </w:p>
    <w:p>
      <w:pPr>
        <w:spacing w:after="0" w:line="16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5"/>
          <w:szCs w:val="15"/>
          <w:u w:val="single" w:color="auto"/>
          <w:color w:val="auto"/>
        </w:rPr>
        <w:t>No Defeasance</w:t>
      </w:r>
      <w:r>
        <w:rPr>
          <w:rFonts w:ascii="Arial" w:cs="Arial" w:eastAsia="Arial" w:hAnsi="Arial"/>
          <w:sz w:val="15"/>
          <w:szCs w:val="15"/>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Sections 8.03 and 8.04 of the Base Indenture shall not apply to the Notes.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SUPPLEMENTAL INDENTURES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6"/>
          <w:szCs w:val="16"/>
          <w:u w:val="single" w:color="auto"/>
          <w:color w:val="auto"/>
        </w:rPr>
        <w:t>Supplemental Indentures Without Consent of Holders</w:t>
      </w:r>
      <w:r>
        <w:rPr>
          <w:rFonts w:ascii="Arial" w:cs="Arial" w:eastAsia="Arial" w:hAnsi="Arial"/>
          <w:sz w:val="16"/>
          <w:szCs w:val="16"/>
          <w:color w:val="auto"/>
        </w:rPr>
        <w:t>.</w:t>
      </w:r>
    </w:p>
    <w:p>
      <w:pPr>
        <w:spacing w:after="0" w:line="225"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Section 9.01 of the Base Indenture shall not apply to, and have no force and effect with respect to, the Notes and any reference to Section 9.01 of the Base Indenture with respect to the Notes shall be superseded by and references thereto shall be deemed to refer to this Section 8.01.</w:t>
      </w:r>
    </w:p>
    <w:p>
      <w:pPr>
        <w:spacing w:after="0" w:line="14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Without notice to, or the consent of, any Holder, the Company, when authorized by a Board Resolution or Officers’ Certificate and the Trustee, at any time and from time to time, may amend or supplement this Indenture by entering into one or more indentures supplemental hereto, in form satisfactory to the Trustee, for any of the following purposes:</w:t>
      </w:r>
    </w:p>
    <w:p>
      <w:pPr>
        <w:spacing w:after="0" w:line="181" w:lineRule="exact"/>
        <w:rPr>
          <w:sz w:val="20"/>
          <w:szCs w:val="20"/>
          <w:color w:val="auto"/>
        </w:rPr>
      </w:pPr>
    </w:p>
    <w:p>
      <w:pPr>
        <w:ind w:left="4540" w:hanging="706"/>
        <w:spacing w:after="0"/>
        <w:tabs>
          <w:tab w:leader="none" w:pos="45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cure any ambiguity, omission, defect or inconsistency that does not materially adversely affect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Holders of the Notes;</w:t>
      </w:r>
    </w:p>
    <w:p>
      <w:pPr>
        <w:spacing w:after="0" w:line="211" w:lineRule="exact"/>
        <w:rPr>
          <w:sz w:val="20"/>
          <w:szCs w:val="20"/>
          <w:color w:val="auto"/>
        </w:rPr>
      </w:pPr>
    </w:p>
    <w:p>
      <w:pPr>
        <w:ind w:firstLine="3834"/>
        <w:spacing w:after="0" w:line="277" w:lineRule="auto"/>
        <w:tabs>
          <w:tab w:leader="none" w:pos="4585"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provide for the assumption by a successor corporation of the Company’s obligations under this Indenture and the Notes in accordance with Article IV of this Second Supplemental Indenture;</w:t>
      </w:r>
    </w:p>
    <w:p>
      <w:pPr>
        <w:spacing w:after="0" w:line="170" w:lineRule="exact"/>
        <w:rPr>
          <w:rFonts w:ascii="Arial" w:cs="Arial" w:eastAsia="Arial" w:hAnsi="Arial"/>
          <w:sz w:val="18"/>
          <w:szCs w:val="18"/>
          <w:color w:val="auto"/>
        </w:rPr>
      </w:pPr>
    </w:p>
    <w:p>
      <w:pPr>
        <w:ind w:left="4640" w:hanging="806"/>
        <w:spacing w:after="0"/>
        <w:tabs>
          <w:tab w:leader="none" w:pos="4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comply with the requirements of Section 5.06;</w:t>
      </w:r>
    </w:p>
    <w:p>
      <w:pPr>
        <w:spacing w:after="0" w:line="225" w:lineRule="exact"/>
        <w:rPr>
          <w:rFonts w:ascii="Arial" w:cs="Arial" w:eastAsia="Arial" w:hAnsi="Arial"/>
          <w:sz w:val="18"/>
          <w:szCs w:val="18"/>
          <w:color w:val="auto"/>
        </w:rPr>
      </w:pPr>
    </w:p>
    <w:p>
      <w:pPr>
        <w:ind w:left="4640" w:hanging="806"/>
        <w:spacing w:after="0"/>
        <w:tabs>
          <w:tab w:leader="none" w:pos="4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add guarantees with respect to the Notes;</w:t>
      </w:r>
    </w:p>
    <w:p>
      <w:pPr>
        <w:spacing w:after="0" w:line="225" w:lineRule="exact"/>
        <w:rPr>
          <w:rFonts w:ascii="Arial" w:cs="Arial" w:eastAsia="Arial" w:hAnsi="Arial"/>
          <w:sz w:val="18"/>
          <w:szCs w:val="18"/>
          <w:color w:val="auto"/>
        </w:rPr>
      </w:pPr>
    </w:p>
    <w:p>
      <w:pPr>
        <w:ind w:left="4580" w:hanging="746"/>
        <w:spacing w:after="0"/>
        <w:tabs>
          <w:tab w:leader="none" w:pos="45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secure the Company’s obligation under the Notes;</w:t>
      </w:r>
    </w:p>
    <w:p>
      <w:pPr>
        <w:spacing w:after="0" w:line="225" w:lineRule="exact"/>
        <w:rPr>
          <w:rFonts w:ascii="Arial" w:cs="Arial" w:eastAsia="Arial" w:hAnsi="Arial"/>
          <w:sz w:val="18"/>
          <w:szCs w:val="18"/>
          <w:color w:val="auto"/>
        </w:rPr>
      </w:pPr>
    </w:p>
    <w:p>
      <w:pPr>
        <w:ind w:left="4640" w:hanging="806"/>
        <w:spacing w:after="0"/>
        <w:tabs>
          <w:tab w:leader="none" w:pos="46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add to the Company’s covenants for the benefit of the Holders or surrender any right or power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conferred upon the Company;</w:t>
      </w:r>
    </w:p>
    <w:p>
      <w:pPr>
        <w:spacing w:after="0" w:line="210" w:lineRule="exact"/>
        <w:rPr>
          <w:rFonts w:ascii="Arial" w:cs="Arial" w:eastAsia="Arial" w:hAnsi="Arial"/>
          <w:sz w:val="16"/>
          <w:szCs w:val="16"/>
          <w:color w:val="auto"/>
        </w:rPr>
      </w:pPr>
    </w:p>
    <w:p>
      <w:pPr>
        <w:ind w:left="4680" w:hanging="846"/>
        <w:spacing w:after="0"/>
        <w:tabs>
          <w:tab w:leader="none" w:pos="46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make any change that does not adversely affect the rights of any Holder;</w:t>
      </w:r>
    </w:p>
    <w:p>
      <w:pPr>
        <w:spacing w:after="0" w:line="225" w:lineRule="exact"/>
        <w:rPr>
          <w:rFonts w:ascii="Arial" w:cs="Arial" w:eastAsia="Arial" w:hAnsi="Arial"/>
          <w:sz w:val="18"/>
          <w:szCs w:val="18"/>
          <w:color w:val="auto"/>
        </w:rPr>
      </w:pPr>
    </w:p>
    <w:p>
      <w:pPr>
        <w:ind w:left="4740" w:hanging="906"/>
        <w:spacing w:after="0"/>
        <w:tabs>
          <w:tab w:leader="none" w:pos="47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comply with any requirement of the Commission in connection with the qualification of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Indenture under the TIA;</w:t>
      </w:r>
    </w:p>
    <w:p>
      <w:pPr>
        <w:spacing w:after="0" w:line="210" w:lineRule="exact"/>
        <w:rPr>
          <w:rFonts w:ascii="Arial" w:cs="Arial" w:eastAsia="Arial" w:hAnsi="Arial"/>
          <w:sz w:val="16"/>
          <w:szCs w:val="16"/>
          <w:color w:val="auto"/>
        </w:rPr>
      </w:pPr>
    </w:p>
    <w:p>
      <w:pPr>
        <w:ind w:left="4640" w:hanging="806"/>
        <w:spacing w:after="0"/>
        <w:tabs>
          <w:tab w:leader="none" w:pos="4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increase the Conversion Rate;</w:t>
      </w:r>
    </w:p>
    <w:p>
      <w:pPr>
        <w:spacing w:after="0" w:line="225" w:lineRule="exact"/>
        <w:rPr>
          <w:rFonts w:ascii="Arial" w:cs="Arial" w:eastAsia="Arial" w:hAnsi="Arial"/>
          <w:sz w:val="18"/>
          <w:szCs w:val="18"/>
          <w:color w:val="auto"/>
        </w:rPr>
      </w:pPr>
    </w:p>
    <w:p>
      <w:pPr>
        <w:ind w:left="4580" w:hanging="746"/>
        <w:spacing w:after="0"/>
        <w:tabs>
          <w:tab w:leader="none" w:pos="45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evidence and provide the acceptance of the appointment of a successor trustee under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Indenture; or</w:t>
      </w:r>
    </w:p>
    <w:p>
      <w:pPr>
        <w:spacing w:after="0" w:line="210" w:lineRule="exact"/>
        <w:rPr>
          <w:rFonts w:ascii="Arial" w:cs="Arial" w:eastAsia="Arial" w:hAnsi="Arial"/>
          <w:sz w:val="17"/>
          <w:szCs w:val="17"/>
          <w:color w:val="auto"/>
        </w:rPr>
      </w:pPr>
    </w:p>
    <w:p>
      <w:pPr>
        <w:ind w:left="4640" w:hanging="806"/>
        <w:spacing w:after="0"/>
        <w:tabs>
          <w:tab w:leader="none" w:pos="4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facilitate the issuance of Additional Notes hereunder.</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6"/>
          <w:szCs w:val="16"/>
          <w:u w:val="single" w:color="auto"/>
          <w:color w:val="auto"/>
        </w:rPr>
        <w:t>Supplemental Indenture with Consent of Holder</w:t>
      </w:r>
      <w:r>
        <w:rPr>
          <w:rFonts w:ascii="Arial" w:cs="Arial" w:eastAsia="Arial" w:hAnsi="Arial"/>
          <w:sz w:val="16"/>
          <w:szCs w:val="16"/>
          <w:color w:val="auto"/>
        </w:rPr>
        <w:t>.</w:t>
      </w:r>
    </w:p>
    <w:p>
      <w:pPr>
        <w:spacing w:after="0" w:line="225"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Section 9.02 of the Base Indenture shall not apply to, and have no force and effect with respect to, the Notes and any reference to Section 9.02 of the Base Indenture with respect to the Notes shall be superseded by and references thereto shall be deemed to refer to this Section 8.02.</w:t>
      </w:r>
    </w:p>
    <w:p>
      <w:pPr>
        <w:spacing w:after="0" w:line="14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With the consent of the Holders of a majority in aggregate principal amount of the outstanding Notes affected by such supplemental indenture, by act of said Holders delivered to the Company and the Trustee, the Company, when authorized by a Board Resolution or Officers’ Certificate, and the Trustee may amend or supplement this Indenture by entering into an indenture or indentures supplemental hereto for the purpose of adding any provisions to or changing in any manner or eliminating any of the provisions of this Indenture or of modifying in any manner the rights of the Holders under this Indenture or waiving compliance in any instance with any provision of this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supplemental indenture shall, without the consent of the Holder of each outstanding Note affected thereby:</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9" w:name="page50"/>
    <w:bookmarkEnd w:id="49"/>
    <w:p>
      <w:pPr>
        <w:ind w:left="4540" w:hanging="706"/>
        <w:spacing w:after="0"/>
        <w:tabs>
          <w:tab w:leader="none" w:pos="45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change the stated maturity of the Accreted Principal Amount of or any interest on the Notes;</w:t>
      </w:r>
    </w:p>
    <w:p>
      <w:pPr>
        <w:spacing w:after="0" w:line="248" w:lineRule="exact"/>
        <w:rPr>
          <w:rFonts w:ascii="Arial" w:cs="Arial" w:eastAsia="Arial" w:hAnsi="Arial"/>
          <w:sz w:val="16"/>
          <w:szCs w:val="16"/>
          <w:color w:val="auto"/>
        </w:rPr>
      </w:pPr>
    </w:p>
    <w:p>
      <w:pPr>
        <w:ind w:left="4600" w:hanging="766"/>
        <w:spacing w:after="0"/>
        <w:tabs>
          <w:tab w:leader="none" w:pos="46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reduce the principal amount or Accreted Principal Amount of (including the Redemption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Price, Fundamental Change Repurchase Price or Repurchase Price) or interest on the Notes;</w:t>
      </w:r>
    </w:p>
    <w:p>
      <w:pPr>
        <w:spacing w:after="0" w:line="210" w:lineRule="exact"/>
        <w:rPr>
          <w:rFonts w:ascii="Arial" w:cs="Arial" w:eastAsia="Arial" w:hAnsi="Arial"/>
          <w:sz w:val="17"/>
          <w:szCs w:val="17"/>
          <w:color w:val="auto"/>
        </w:rPr>
      </w:pPr>
    </w:p>
    <w:p>
      <w:pPr>
        <w:ind w:left="4640" w:hanging="806"/>
        <w:spacing w:after="0"/>
        <w:tabs>
          <w:tab w:leader="none" w:pos="46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reduce the amount of Accreted Principal Amount payable upon acceleration of the maturity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the Notes;</w:t>
      </w:r>
    </w:p>
    <w:p>
      <w:pPr>
        <w:spacing w:after="0" w:line="210" w:lineRule="exact"/>
        <w:rPr>
          <w:rFonts w:ascii="Arial" w:cs="Arial" w:eastAsia="Arial" w:hAnsi="Arial"/>
          <w:sz w:val="16"/>
          <w:szCs w:val="16"/>
          <w:color w:val="auto"/>
        </w:rPr>
      </w:pPr>
    </w:p>
    <w:p>
      <w:pPr>
        <w:ind w:left="4640" w:hanging="806"/>
        <w:spacing w:after="0"/>
        <w:tabs>
          <w:tab w:leader="none" w:pos="46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change the currency of payment of principal or Accreted Principal Amount of or interest 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Notes or change any Note’s place of payment;</w:t>
      </w:r>
    </w:p>
    <w:p>
      <w:pPr>
        <w:spacing w:after="0" w:line="210" w:lineRule="exact"/>
        <w:rPr>
          <w:rFonts w:ascii="Arial" w:cs="Arial" w:eastAsia="Arial" w:hAnsi="Arial"/>
          <w:sz w:val="16"/>
          <w:szCs w:val="16"/>
          <w:color w:val="auto"/>
        </w:rPr>
      </w:pPr>
    </w:p>
    <w:p>
      <w:pPr>
        <w:jc w:val="both"/>
        <w:ind w:firstLine="3834"/>
        <w:spacing w:after="0" w:line="264" w:lineRule="auto"/>
        <w:tabs>
          <w:tab w:leader="none" w:pos="4575" w:val="left"/>
        </w:tabs>
        <w:numPr>
          <w:ilvl w:val="0"/>
          <w:numId w:val="77"/>
        </w:numPr>
        <w:rPr>
          <w:rFonts w:ascii="Arial" w:cs="Arial" w:eastAsia="Arial" w:hAnsi="Arial"/>
          <w:sz w:val="18"/>
          <w:szCs w:val="18"/>
          <w:color w:val="auto"/>
        </w:rPr>
      </w:pPr>
      <w:r>
        <w:rPr>
          <w:rFonts w:ascii="Arial" w:cs="Arial" w:eastAsia="Arial" w:hAnsi="Arial"/>
          <w:sz w:val="18"/>
          <w:szCs w:val="18"/>
          <w:color w:val="auto"/>
        </w:rPr>
        <w:t>impair the right of any Holder to receive payment of principal or Accreted Principal Amount of and interest on such Holder’s Notes, or consideration due upon conversion, on or after the due dates therefor or to institute suit for the enforcement of any payment on, or with respect to, the Notes or the consideration due upon conversion of the Notes;</w:t>
      </w:r>
    </w:p>
    <w:p>
      <w:pPr>
        <w:spacing w:after="0" w:line="181" w:lineRule="exact"/>
        <w:rPr>
          <w:rFonts w:ascii="Arial" w:cs="Arial" w:eastAsia="Arial" w:hAnsi="Arial"/>
          <w:sz w:val="18"/>
          <w:szCs w:val="18"/>
          <w:color w:val="auto"/>
        </w:rPr>
      </w:pPr>
    </w:p>
    <w:p>
      <w:pPr>
        <w:ind w:right="260" w:firstLine="3834"/>
        <w:spacing w:after="0" w:line="264" w:lineRule="auto"/>
        <w:tabs>
          <w:tab w:leader="none" w:pos="4625" w:val="left"/>
        </w:tabs>
        <w:numPr>
          <w:ilvl w:val="0"/>
          <w:numId w:val="77"/>
        </w:numPr>
        <w:rPr>
          <w:rFonts w:ascii="Arial" w:cs="Arial" w:eastAsia="Arial" w:hAnsi="Arial"/>
          <w:sz w:val="18"/>
          <w:szCs w:val="18"/>
          <w:color w:val="auto"/>
        </w:rPr>
      </w:pPr>
      <w:r>
        <w:rPr>
          <w:rFonts w:ascii="Arial" w:cs="Arial" w:eastAsia="Arial" w:hAnsi="Arial"/>
          <w:sz w:val="18"/>
          <w:szCs w:val="18"/>
          <w:color w:val="auto"/>
        </w:rPr>
        <w:t>modify the provisions with respect to the Fundamental Change Repurchase Right of the Holders pursuant to Section 3.02 of this Second Supplemental Indenture or the Repurchase Rights of the Holders pursuant to Section 3.03 of this Second Supplemental Indenture in a manner adverse to Holders of Notes;</w:t>
      </w:r>
    </w:p>
    <w:p>
      <w:pPr>
        <w:spacing w:after="0" w:line="181" w:lineRule="exact"/>
        <w:rPr>
          <w:rFonts w:ascii="Arial" w:cs="Arial" w:eastAsia="Arial" w:hAnsi="Arial"/>
          <w:sz w:val="18"/>
          <w:szCs w:val="18"/>
          <w:color w:val="auto"/>
        </w:rPr>
      </w:pPr>
    </w:p>
    <w:p>
      <w:pPr>
        <w:ind w:left="4720" w:hanging="841"/>
        <w:spacing w:after="0"/>
        <w:tabs>
          <w:tab w:leader="none" w:pos="4720" w:val="left"/>
        </w:tabs>
        <w:numPr>
          <w:ilvl w:val="1"/>
          <w:numId w:val="77"/>
        </w:numPr>
        <w:rPr>
          <w:rFonts w:ascii="Arial" w:cs="Arial" w:eastAsia="Arial" w:hAnsi="Arial"/>
          <w:sz w:val="17"/>
          <w:szCs w:val="17"/>
          <w:color w:val="auto"/>
        </w:rPr>
      </w:pPr>
      <w:r>
        <w:rPr>
          <w:rFonts w:ascii="Arial" w:cs="Arial" w:eastAsia="Arial" w:hAnsi="Arial"/>
          <w:sz w:val="17"/>
          <w:szCs w:val="17"/>
          <w:color w:val="auto"/>
        </w:rPr>
        <w:t>modify in any manner adverse to the Holders the time at which or circumstances under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which the Notes may or shall be redeemed;</w:t>
      </w:r>
    </w:p>
    <w:p>
      <w:pPr>
        <w:spacing w:after="0" w:line="210" w:lineRule="exact"/>
        <w:rPr>
          <w:rFonts w:ascii="Arial" w:cs="Arial" w:eastAsia="Arial" w:hAnsi="Arial"/>
          <w:sz w:val="17"/>
          <w:szCs w:val="17"/>
          <w:color w:val="auto"/>
        </w:rPr>
      </w:pPr>
    </w:p>
    <w:p>
      <w:pPr>
        <w:ind w:left="4740" w:hanging="906"/>
        <w:spacing w:after="0"/>
        <w:tabs>
          <w:tab w:leader="none" w:pos="47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change the ranking of the Notes;</w:t>
      </w:r>
    </w:p>
    <w:p>
      <w:pPr>
        <w:spacing w:after="0" w:line="225" w:lineRule="exact"/>
        <w:rPr>
          <w:sz w:val="20"/>
          <w:szCs w:val="20"/>
          <w:color w:val="auto"/>
        </w:rPr>
      </w:pPr>
    </w:p>
    <w:p>
      <w:pPr>
        <w:ind w:right="300" w:firstLine="3834"/>
        <w:spacing w:after="0" w:line="277" w:lineRule="auto"/>
        <w:tabs>
          <w:tab w:leader="none" w:pos="4625" w:val="left"/>
        </w:tabs>
        <w:numPr>
          <w:ilvl w:val="0"/>
          <w:numId w:val="78"/>
        </w:numPr>
        <w:rPr>
          <w:rFonts w:ascii="Arial" w:cs="Arial" w:eastAsia="Arial" w:hAnsi="Arial"/>
          <w:sz w:val="18"/>
          <w:szCs w:val="18"/>
          <w:color w:val="auto"/>
        </w:rPr>
      </w:pPr>
      <w:r>
        <w:rPr>
          <w:rFonts w:ascii="Arial" w:cs="Arial" w:eastAsia="Arial" w:hAnsi="Arial"/>
          <w:sz w:val="18"/>
          <w:szCs w:val="18"/>
          <w:color w:val="auto"/>
        </w:rPr>
        <w:t>adversely affect the right of Holders to convert Notes, or reduce the Conversion Rate, or modify the provisions of Section 5.10 in a manner adverse to the Holders; or</w:t>
      </w:r>
    </w:p>
    <w:p>
      <w:pPr>
        <w:spacing w:after="0" w:line="170" w:lineRule="exact"/>
        <w:rPr>
          <w:rFonts w:ascii="Arial" w:cs="Arial" w:eastAsia="Arial" w:hAnsi="Arial"/>
          <w:sz w:val="18"/>
          <w:szCs w:val="18"/>
          <w:color w:val="auto"/>
        </w:rPr>
      </w:pPr>
    </w:p>
    <w:p>
      <w:pPr>
        <w:jc w:val="both"/>
        <w:ind w:right="140" w:firstLine="3834"/>
        <w:spacing w:after="0" w:line="264" w:lineRule="auto"/>
        <w:tabs>
          <w:tab w:leader="none" w:pos="4575" w:val="left"/>
        </w:tabs>
        <w:numPr>
          <w:ilvl w:val="0"/>
          <w:numId w:val="78"/>
        </w:numPr>
        <w:rPr>
          <w:rFonts w:ascii="Arial" w:cs="Arial" w:eastAsia="Arial" w:hAnsi="Arial"/>
          <w:sz w:val="18"/>
          <w:szCs w:val="18"/>
          <w:color w:val="auto"/>
        </w:rPr>
      </w:pPr>
      <w:r>
        <w:rPr>
          <w:rFonts w:ascii="Arial" w:cs="Arial" w:eastAsia="Arial" w:hAnsi="Arial"/>
          <w:sz w:val="18"/>
          <w:szCs w:val="18"/>
          <w:color w:val="auto"/>
        </w:rPr>
        <w:t>modify provisions with respect to modification, amendment or waiver (including waiver of Events of Default), except to increase the percentage required for modification, amendment or waiver or to provide for consent of each affected Holder of Notes.</w:t>
      </w:r>
    </w:p>
    <w:p>
      <w:pPr>
        <w:spacing w:after="0" w:line="181"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It shall not be necessary for the consent of the Holders to approve the particular form of any proposed supplemental indenture or waiver, but it shall be sufficient if such consent approves the substance thereof. After a supplemental indenture or waiver under this section becomes effective, the Company shall deliver to the Holders affected thereby a notice briefly describing the supplemental indenture or waiver. Any failure by the Company to deliver such notice, or any defect therein, shall not, however, in any way impair or affect the validity of any such supplemental indenture or waiver.</w:t>
      </w:r>
    </w:p>
    <w:p>
      <w:pPr>
        <w:spacing w:after="0" w:line="3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80"/>
          </w:cols>
          <w:pgMar w:left="240" w:top="692" w:right="37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ADDITIONAL COVENANTS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Except as otherwise set forth in this Article IX, Holders shall have the benefit of the following covenants, in addition to the covenants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set forth in Article IV of the Base Indenture:</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5"/>
          <w:szCs w:val="15"/>
          <w:u w:val="single" w:color="auto"/>
          <w:color w:val="auto"/>
        </w:rPr>
        <w:t>Reports</w:t>
      </w:r>
      <w:r>
        <w:rPr>
          <w:rFonts w:ascii="Arial" w:cs="Arial" w:eastAsia="Arial" w:hAnsi="Arial"/>
          <w:sz w:val="15"/>
          <w:szCs w:val="15"/>
          <w:color w:val="auto"/>
        </w:rPr>
        <w:t>.</w:t>
      </w:r>
    </w:p>
    <w:p>
      <w:pPr>
        <w:spacing w:after="0" w:line="225"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Section 4.02 of the Base Indenture shall not apply to, and have no force and effect with respect to, the Notes and any reference to Section 4.02 of the Base Indenture with respect to the Notes shall be superseded by and references thereto shall be deemed to refer to this Section 9.01.</w:t>
      </w:r>
    </w:p>
    <w:p>
      <w:pPr>
        <w:spacing w:after="0" w:line="147" w:lineRule="exact"/>
        <w:rPr>
          <w:sz w:val="20"/>
          <w:szCs w:val="20"/>
          <w:color w:val="auto"/>
        </w:rPr>
      </w:pPr>
    </w:p>
    <w:p>
      <w:pPr>
        <w:ind w:firstLine="656"/>
        <w:spacing w:after="0" w:line="255" w:lineRule="auto"/>
        <w:tabs>
          <w:tab w:leader="none" w:pos="1568" w:val="left"/>
        </w:tabs>
        <w:numPr>
          <w:ilvl w:val="0"/>
          <w:numId w:val="79"/>
        </w:numPr>
        <w:rPr>
          <w:rFonts w:ascii="Arial" w:cs="Arial" w:eastAsia="Arial" w:hAnsi="Arial"/>
          <w:sz w:val="18"/>
          <w:szCs w:val="18"/>
          <w:color w:val="auto"/>
        </w:rPr>
      </w:pPr>
      <w:r>
        <w:rPr>
          <w:rFonts w:ascii="Arial" w:cs="Arial" w:eastAsia="Arial" w:hAnsi="Arial"/>
          <w:sz w:val="18"/>
          <w:szCs w:val="18"/>
          <w:color w:val="auto"/>
        </w:rPr>
        <w:t>So long as any Notes are outstanding, the Company shall furnish to the Trustee and the Holders within 15 days after the date on which the Company would be required to file the same with the Commission pursuant to its rules and regulations (giving effect to any grace period provided by Rule 12b-25 under the Exchange Act), all quarterly and annual financial information required to be contained in Forms 10-Q and 10-K and, with respect to the annual consolidated financial statements only, a report thereon by the Company’s independent auditors. The Company shall not be required to file any report or other information with the Commission if the Commission does not permit such filing, although such reports will be required to be furnished to the Trustee. Documents filed by the Company with the Commission via the EDGAR system will be deemed to have been furnished to the Trustee and the Holders as of the time such documents are filed via EDGAR.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11"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10.01</w:t>
      </w:r>
      <w:r>
        <w:rPr>
          <w:sz w:val="20"/>
          <w:szCs w:val="20"/>
          <w:color w:val="auto"/>
        </w:rPr>
        <w:tab/>
      </w:r>
      <w:r>
        <w:rPr>
          <w:rFonts w:ascii="Arial" w:cs="Arial" w:eastAsia="Arial" w:hAnsi="Arial"/>
          <w:sz w:val="16"/>
          <w:szCs w:val="16"/>
          <w:u w:val="single" w:color="auto"/>
          <w:color w:val="auto"/>
        </w:rPr>
        <w:t>Form of Notes</w:t>
      </w:r>
      <w:r>
        <w:rPr>
          <w:rFonts w:ascii="Arial" w:cs="Arial" w:eastAsia="Arial" w:hAnsi="Arial"/>
          <w:sz w:val="16"/>
          <w:szCs w:val="16"/>
          <w:color w:val="auto"/>
        </w:rPr>
        <w:t>.</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 xml:space="preserve">The Notes and the Trustee’s Certificates of Authentication to be endorsed thereon are to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which form is hereby incorporated in and made a part of this Second Supplemental Indenture.</w:t>
      </w:r>
    </w:p>
    <w:p>
      <w:pPr>
        <w:spacing w:after="0" w:line="170"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The terms and provisions contained in the Notes shall constitute, and are hereby expressly made, a part of this Second Supplemental Indenture, and the Company and the Trustee, by their execution and delivery of this Second Supplemental Indenture, expressly agree to such terms and provisions and to be bound thereby.</w:t>
      </w:r>
    </w:p>
    <w:p>
      <w:pPr>
        <w:spacing w:after="0" w:line="181"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10.02</w:t>
      </w:r>
      <w:r>
        <w:rPr>
          <w:sz w:val="20"/>
          <w:szCs w:val="20"/>
          <w:color w:val="auto"/>
        </w:rPr>
        <w:tab/>
      </w:r>
      <w:r>
        <w:rPr>
          <w:rFonts w:ascii="Arial" w:cs="Arial" w:eastAsia="Arial" w:hAnsi="Arial"/>
          <w:sz w:val="16"/>
          <w:szCs w:val="16"/>
          <w:u w:val="single" w:color="auto"/>
          <w:color w:val="auto"/>
        </w:rPr>
        <w:t>Additional Rights of Trustee</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Section 10.02 supplements the Base Indenture to provide that, with respect to the Notes:</w:t>
      </w:r>
    </w:p>
    <w:p>
      <w:pPr>
        <w:spacing w:after="0" w:line="225" w:lineRule="exact"/>
        <w:rPr>
          <w:sz w:val="20"/>
          <w:szCs w:val="20"/>
          <w:color w:val="auto"/>
        </w:rPr>
      </w:pPr>
    </w:p>
    <w:p>
      <w:pPr>
        <w:ind w:left="4540" w:hanging="706"/>
        <w:spacing w:after="0"/>
        <w:tabs>
          <w:tab w:leader="none" w:pos="45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Trustee shall not be obligated to exercise any of its rights or powers at the request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Holders unless the Holders have offered to the Trustee indemnity or security satisfactory to the Trustee against any loss, liability or expense; and</w:t>
      </w:r>
    </w:p>
    <w:p>
      <w:pPr>
        <w:spacing w:after="0" w:line="222" w:lineRule="exact"/>
        <w:rPr>
          <w:rFonts w:ascii="Arial" w:cs="Arial" w:eastAsia="Arial" w:hAnsi="Arial"/>
          <w:sz w:val="16"/>
          <w:szCs w:val="16"/>
          <w:color w:val="auto"/>
        </w:rPr>
      </w:pPr>
    </w:p>
    <w:p>
      <w:pPr>
        <w:ind w:left="4600" w:hanging="766"/>
        <w:spacing w:after="0"/>
        <w:tabs>
          <w:tab w:leader="none" w:pos="46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Trustee may refuse to follow any direction of Holders that is permitted by the Indenture if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such direction conflicts with law or the Indenture or that the Trustee determines is unduly prejudicial to the rights of any other Holder.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1" w:name="page52"/>
    <w:bookmarkEnd w:id="51"/>
    <w:p>
      <w:pPr>
        <w:ind w:left="660"/>
        <w:spacing w:after="0"/>
        <w:tabs>
          <w:tab w:leader="none" w:pos="1860" w:val="left"/>
        </w:tabs>
        <w:rPr>
          <w:sz w:val="20"/>
          <w:szCs w:val="20"/>
          <w:color w:val="auto"/>
        </w:rPr>
      </w:pPr>
      <w:r>
        <w:rPr>
          <w:rFonts w:ascii="Arial" w:cs="Arial" w:eastAsia="Arial" w:hAnsi="Arial"/>
          <w:sz w:val="18"/>
          <w:szCs w:val="18"/>
          <w:color w:val="auto"/>
        </w:rPr>
        <w:t>Section 10.03</w:t>
      </w:r>
      <w:r>
        <w:rPr>
          <w:sz w:val="20"/>
          <w:szCs w:val="20"/>
          <w:color w:val="auto"/>
        </w:rPr>
        <w:tab/>
      </w:r>
      <w:r>
        <w:rPr>
          <w:rFonts w:ascii="Arial" w:cs="Arial" w:eastAsia="Arial" w:hAnsi="Arial"/>
          <w:sz w:val="16"/>
          <w:szCs w:val="16"/>
          <w:u w:val="single" w:color="auto"/>
          <w:color w:val="auto"/>
        </w:rPr>
        <w:t>Ratification of Base Indenture</w:t>
      </w:r>
      <w:r>
        <w:rPr>
          <w:rFonts w:ascii="Arial" w:cs="Arial" w:eastAsia="Arial" w:hAnsi="Arial"/>
          <w:sz w:val="16"/>
          <w:szCs w:val="16"/>
          <w:color w:val="auto"/>
        </w:rPr>
        <w:t>.</w:t>
      </w:r>
    </w:p>
    <w:p>
      <w:pPr>
        <w:spacing w:after="0" w:line="225"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The Base Indenture, as supplemented and amended by this Second Supplemental Indenture, is in all respects ratified and confirmed, and this Second Supplemental Indenture shall be deemed part of the Base Indenture in the manner and to the extent herein and therein provided.</w:t>
      </w:r>
    </w:p>
    <w:p>
      <w:pPr>
        <w:spacing w:after="0" w:line="147"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10.04</w:t>
      </w:r>
      <w:r>
        <w:rPr>
          <w:sz w:val="20"/>
          <w:szCs w:val="20"/>
          <w:color w:val="auto"/>
        </w:rPr>
        <w:tab/>
      </w:r>
      <w:r>
        <w:rPr>
          <w:rFonts w:ascii="Arial" w:cs="Arial" w:eastAsia="Arial" w:hAnsi="Arial"/>
          <w:sz w:val="16"/>
          <w:szCs w:val="16"/>
          <w:u w:val="single" w:color="auto"/>
          <w:color w:val="auto"/>
        </w:rPr>
        <w:t>Trust Indenture Act Controls</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any provision hereof limits, qualifies or conflicts with the duties imposed by Section 310 through 317 of the TIA, the imposed duties shall control.</w:t>
      </w:r>
    </w:p>
    <w:p>
      <w:pPr>
        <w:spacing w:after="0" w:line="248"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10.05</w:t>
      </w:r>
      <w:r>
        <w:rPr>
          <w:sz w:val="20"/>
          <w:szCs w:val="20"/>
          <w:color w:val="auto"/>
        </w:rPr>
        <w:tab/>
      </w:r>
      <w:r>
        <w:rPr>
          <w:rFonts w:ascii="Arial" w:cs="Arial" w:eastAsia="Arial" w:hAnsi="Arial"/>
          <w:sz w:val="16"/>
          <w:szCs w:val="16"/>
          <w:u w:val="single" w:color="auto"/>
          <w:color w:val="auto"/>
        </w:rPr>
        <w:t>Conflict with Indenture</w:t>
      </w:r>
      <w:r>
        <w:rPr>
          <w:rFonts w:ascii="Arial" w:cs="Arial" w:eastAsia="Arial" w:hAnsi="Arial"/>
          <w:sz w:val="16"/>
          <w:szCs w:val="16"/>
          <w:color w:val="auto"/>
        </w:rPr>
        <w:t>.</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To the extent not expressly amended or modified by this Second Supplemental Indenture, the Base Indenture shall remain in full force and effect. If any provision of this Second Supplemental Indenture relating to the Notes is inconsistent with, or amends or supplements, any provision of the Base Indenture, the provision of this Second Supplemental Indenture shall control.</w:t>
      </w:r>
    </w:p>
    <w:p>
      <w:pPr>
        <w:spacing w:after="0" w:line="181"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10.06</w:t>
      </w:r>
      <w:r>
        <w:rPr>
          <w:sz w:val="20"/>
          <w:szCs w:val="20"/>
          <w:color w:val="auto"/>
        </w:rPr>
        <w:tab/>
      </w:r>
      <w:r>
        <w:rPr>
          <w:rFonts w:ascii="Arial" w:cs="Arial" w:eastAsia="Arial" w:hAnsi="Arial"/>
          <w:sz w:val="16"/>
          <w:szCs w:val="16"/>
          <w:u w:val="single" w:color="auto"/>
          <w:color w:val="auto"/>
        </w:rPr>
        <w:t>Governing Law</w:t>
      </w:r>
      <w:r>
        <w:rPr>
          <w:rFonts w:ascii="Arial" w:cs="Arial" w:eastAsia="Arial" w:hAnsi="Arial"/>
          <w:sz w:val="16"/>
          <w:szCs w:val="16"/>
          <w:color w:val="auto"/>
        </w:rPr>
        <w:t>.</w:t>
      </w:r>
    </w:p>
    <w:p>
      <w:pPr>
        <w:spacing w:after="0" w:line="225"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THIS INDENTURE AND THE NOTES AND ANY CLAIM, CONTROVERSY OR DISPUTE ARISING UNDER OR RELATED TO THIS INDENTURE OR THE NOTES SHALL BE GOVERNED BY, AND CONSTRUED IN ACCORDANCE WITH, THE LAWS OF THE STATE OF NEW YORK. The Company submits to the non-exclusive jurisdiction of the courts of the State of New York sitting in the Borough of Manhattan, City of New York, and of the United States District Court for the Southern District of New York, in any action or proceeding to enforce any of their obligations under this Indenture, and agrees not to seek a transfer of any such action or proceeding on the basis of inconvenience of the forum or otherwise (but the Company shall not be prevented from removing any such action or proceeding from a state court to the United States District Court for the Southern District of New York). The Company agrees that process in any such action or proceeding may be served upon it by registered mail or in any other manner permitted by the rules of the court in which the action or proceeding is brought.</w:t>
      </w:r>
    </w:p>
    <w:p>
      <w:pPr>
        <w:spacing w:after="0" w:line="179"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10.07</w:t>
      </w:r>
      <w:r>
        <w:rPr>
          <w:sz w:val="20"/>
          <w:szCs w:val="20"/>
          <w:color w:val="auto"/>
        </w:rPr>
        <w:tab/>
      </w:r>
      <w:r>
        <w:rPr>
          <w:rFonts w:ascii="Arial" w:cs="Arial" w:eastAsia="Arial" w:hAnsi="Arial"/>
          <w:sz w:val="15"/>
          <w:szCs w:val="15"/>
          <w:u w:val="single" w:color="auto"/>
          <w:color w:val="auto"/>
        </w:rPr>
        <w:t>Successors</w:t>
      </w:r>
      <w:r>
        <w:rPr>
          <w:rFonts w:ascii="Arial" w:cs="Arial" w:eastAsia="Arial" w:hAnsi="Arial"/>
          <w:sz w:val="15"/>
          <w:szCs w:val="15"/>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All agreements of the Company in the Base Indenture, this Second Supplemental Indenture and the Notes shall bind its successors. All agreements of the Trustee in the Base Indenture and this Second Supplemental Indenture shall bind its successors.</w:t>
      </w:r>
    </w:p>
    <w:p>
      <w:pPr>
        <w:spacing w:after="0" w:line="170"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10.08</w:t>
      </w:r>
      <w:r>
        <w:rPr>
          <w:sz w:val="20"/>
          <w:szCs w:val="20"/>
          <w:color w:val="auto"/>
        </w:rPr>
        <w:tab/>
      </w:r>
      <w:r>
        <w:rPr>
          <w:rFonts w:ascii="Arial" w:cs="Arial" w:eastAsia="Arial" w:hAnsi="Arial"/>
          <w:sz w:val="15"/>
          <w:szCs w:val="15"/>
          <w:u w:val="single" w:color="auto"/>
          <w:color w:val="auto"/>
        </w:rPr>
        <w:t>Counterparts</w:t>
      </w:r>
      <w:r>
        <w:rPr>
          <w:rFonts w:ascii="Arial" w:cs="Arial" w:eastAsia="Arial" w:hAnsi="Arial"/>
          <w:sz w:val="15"/>
          <w:szCs w:val="15"/>
          <w:color w:val="auto"/>
        </w:rPr>
        <w:t>.</w:t>
      </w:r>
    </w:p>
    <w:p>
      <w:pPr>
        <w:spacing w:after="0" w:line="225"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This instrument may be executed in any number of counterparts, each of which so executed shall be deemed to be an original, but all such counterparts shall together constitute but one and the same instrument.</w:t>
      </w:r>
    </w:p>
    <w:p>
      <w:pPr>
        <w:spacing w:after="0" w:line="170"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10.09</w:t>
      </w:r>
      <w:r>
        <w:rPr>
          <w:sz w:val="20"/>
          <w:szCs w:val="20"/>
          <w:color w:val="auto"/>
        </w:rPr>
        <w:tab/>
      </w:r>
      <w:r>
        <w:rPr>
          <w:rFonts w:ascii="Arial" w:cs="Arial" w:eastAsia="Arial" w:hAnsi="Arial"/>
          <w:sz w:val="16"/>
          <w:szCs w:val="16"/>
          <w:u w:val="single" w:color="auto"/>
          <w:color w:val="auto"/>
        </w:rPr>
        <w:t>Waiver of Jury Trial</w:t>
      </w:r>
      <w:r>
        <w:rPr>
          <w:rFonts w:ascii="Arial" w:cs="Arial" w:eastAsia="Arial" w:hAnsi="Arial"/>
          <w:sz w:val="16"/>
          <w:szCs w:val="16"/>
          <w:color w:val="auto"/>
        </w:rPr>
        <w:t>.</w:t>
      </w:r>
    </w:p>
    <w:p>
      <w:pPr>
        <w:spacing w:after="0" w:line="225"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EACH OF THE COMPANY AND THE TRUSTEE HEREBY IRREVOCABLY WAIVES, TO THE FULLEST EXTENT PERMITTED BY APPLICABLE LAW, ANY AND ALL RIGHT TO TRIAL BY JURY IN ANY LEGAL PROCEEDING ARISING OUT OF OR RELATING TO THIS INDENTURE, THE NOTES OR THE TRANSACTION CONTEMPLATED HEREBY.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2" w:name="page53"/>
    <w:bookmarkEnd w:id="52"/>
    <w:p>
      <w:pPr>
        <w:ind w:left="660"/>
        <w:spacing w:after="0"/>
        <w:tabs>
          <w:tab w:leader="none" w:pos="1860" w:val="left"/>
        </w:tabs>
        <w:rPr>
          <w:sz w:val="20"/>
          <w:szCs w:val="20"/>
          <w:color w:val="auto"/>
        </w:rPr>
      </w:pPr>
      <w:r>
        <w:rPr>
          <w:rFonts w:ascii="Arial" w:cs="Arial" w:eastAsia="Arial" w:hAnsi="Arial"/>
          <w:sz w:val="18"/>
          <w:szCs w:val="18"/>
          <w:color w:val="auto"/>
        </w:rPr>
        <w:t>Section 10.10</w:t>
      </w:r>
      <w:r>
        <w:rPr>
          <w:sz w:val="20"/>
          <w:szCs w:val="20"/>
          <w:color w:val="auto"/>
        </w:rPr>
        <w:tab/>
      </w:r>
      <w:r>
        <w:rPr>
          <w:rFonts w:ascii="Arial" w:cs="Arial" w:eastAsia="Arial" w:hAnsi="Arial"/>
          <w:sz w:val="16"/>
          <w:szCs w:val="16"/>
          <w:u w:val="single" w:color="auto"/>
          <w:color w:val="auto"/>
        </w:rPr>
        <w:t>Force Majeure</w:t>
      </w:r>
      <w:r>
        <w:rPr>
          <w:rFonts w:ascii="Arial" w:cs="Arial" w:eastAsia="Arial" w:hAnsi="Arial"/>
          <w:sz w:val="16"/>
          <w:szCs w:val="16"/>
          <w:color w:val="auto"/>
        </w:rPr>
        <w:t>.</w:t>
      </w:r>
    </w:p>
    <w:p>
      <w:pPr>
        <w:spacing w:after="0" w:line="22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 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w:t>
      </w:r>
    </w:p>
    <w:p>
      <w:pPr>
        <w:spacing w:after="0" w:line="178"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18"/>
          <w:szCs w:val="18"/>
          <w:color w:val="auto"/>
        </w:rPr>
        <w:t>Section 10.11</w:t>
      </w:r>
      <w:r>
        <w:rPr>
          <w:sz w:val="20"/>
          <w:szCs w:val="20"/>
          <w:color w:val="auto"/>
        </w:rPr>
        <w:tab/>
      </w:r>
      <w:r>
        <w:rPr>
          <w:rFonts w:ascii="Arial" w:cs="Arial" w:eastAsia="Arial" w:hAnsi="Arial"/>
          <w:sz w:val="16"/>
          <w:szCs w:val="16"/>
          <w:u w:val="single" w:color="auto"/>
          <w:color w:val="auto"/>
        </w:rPr>
        <w:t>Calculations in Respect of the Notes</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Company and its agents shall be responsible for making the calculations called for under this Indenture and the Notes. These calculations include, but are not limited to, determinations of the Accreted Principal Amount, the Closing Sale Price of the Common Stock, any adjustments to the Conversion Rate, the consideration deliverable in respect of any conversion and accrued interest (including any Additional Interest) payable on the Notes. The Company will make all these calculations in good faith and, absent manifest error, the Company’s calculations will be final and binding on the Holders. All</w:t>
      </w:r>
    </w:p>
    <w:p>
      <w:pPr>
        <w:spacing w:after="0" w:line="2"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calculations called for under this Indenture and the Notes, and each step of such calculations, shall be made to the nearest 1/10,000</w:t>
      </w:r>
      <w:r>
        <w:rPr>
          <w:rFonts w:ascii="Arial" w:cs="Arial" w:eastAsia="Arial" w:hAnsi="Arial"/>
          <w:sz w:val="30"/>
          <w:szCs w:val="30"/>
          <w:color w:val="auto"/>
          <w:vertAlign w:val="superscript"/>
        </w:rPr>
        <w:t>th</w:t>
      </w:r>
      <w:r>
        <w:rPr>
          <w:rFonts w:ascii="Arial" w:cs="Arial" w:eastAsia="Arial" w:hAnsi="Arial"/>
          <w:sz w:val="18"/>
          <w:szCs w:val="18"/>
          <w:color w:val="auto"/>
        </w:rPr>
        <w:t>, in each case, to the extent applicable. The Company shall provide a schedule of its calculations to each of the Trustee and the Conversion Agent, and each of the Trustee and Conversion Agent is entitled to rely conclusively upon the accuracy of the Company’s calculations without independent verification. The Trustee will forward the Company’s calculations to any Holder upon the request of that Holder.</w:t>
      </w:r>
    </w:p>
    <w:p>
      <w:pPr>
        <w:spacing w:after="0" w:line="205"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10.12</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Except as otherwise provided in this Indenture, notice to registered Holders shall be given to the addresses as they appear in the register maintained by the Registrar. Notices shall be deemed to have been given on the date of such mailing or electronic delivery. Whenever a notice is required to be given by the Company, such notice may be given by the Trustee on the Company’s behalf (and the Company will make any notice it is required to give to Holders available on its website).</w:t>
      </w:r>
    </w:p>
    <w:p>
      <w:pPr>
        <w:spacing w:after="0" w:line="187"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10.13</w:t>
      </w:r>
      <w:r>
        <w:rPr>
          <w:sz w:val="20"/>
          <w:szCs w:val="20"/>
          <w:color w:val="auto"/>
        </w:rPr>
        <w:tab/>
      </w:r>
      <w:r>
        <w:rPr>
          <w:rFonts w:ascii="Arial" w:cs="Arial" w:eastAsia="Arial" w:hAnsi="Arial"/>
          <w:sz w:val="16"/>
          <w:szCs w:val="16"/>
          <w:u w:val="single" w:color="auto"/>
          <w:color w:val="auto"/>
        </w:rPr>
        <w:t>No Personal Liability of Directors, Officers, Employees and Shareholders</w:t>
      </w:r>
      <w:r>
        <w:rPr>
          <w:rFonts w:ascii="Arial" w:cs="Arial" w:eastAsia="Arial" w:hAnsi="Arial"/>
          <w:sz w:val="16"/>
          <w:szCs w:val="16"/>
          <w:color w:val="auto"/>
        </w:rPr>
        <w:t>.</w:t>
      </w:r>
    </w:p>
    <w:p>
      <w:pPr>
        <w:spacing w:after="0" w:line="225"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No director, officer, employee, incorporator or shareholder of the Company or any Subsidiary of the Company will have any liability for any obligations of the Company under the Notes, the Indenture or for any claim based on, in respect of, or by reason of, such obligations or their creation. Each Holder by accepting a Note waives and releases all such liability. The waiver and release are part of the consideration for issuance of the Notes.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3" w:name="page54"/>
    <w:bookmarkEnd w:id="53"/>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to this Second Supplemental Indenture have caused it to be duly executed as of the day and year first above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1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FLUIDIGM CORPORATION</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-10160</wp:posOffset>
            </wp:positionV>
            <wp:extent cx="186626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866265"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Vikram Jog</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 Page to Second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20"/>
          </w:cols>
          <w:pgMar w:left="240" w:top="688" w:right="339" w:bottom="1440" w:gutter="0" w:footer="0" w:header="0"/>
        </w:sectPr>
      </w:pPr>
    </w:p>
    <w:bookmarkStart w:id="54" w:name="page55"/>
    <w:bookmarkEnd w:id="54"/>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to this Second Supplemental Indenture have caused it to be duly executed as of the day and year first above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1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U.S. BANK NATIONAL ASSOCIATION, as Trustee</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Bradley E. Scarbrough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-10160</wp:posOffset>
            </wp:positionV>
            <wp:extent cx="212344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2123440"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Bradley E. Scarbrough</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 Page to Second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20"/>
          </w:cols>
          <w:pgMar w:left="240" w:top="688"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THIS SECURITY IS A GLOBAL SECURITY WITHIN THE MEANING OF THE INDENTURE HEREINAFTER REFERRED TO AND IS REGISTERED IN THE NAME OF A DEPOSITARY OR A NOMINEE OF A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OR BY A NOMINEE OF THE DEPOSITARY TO ANOTHER NOMINEE OF THE DEPOSITARY OR TO THE DEPOSITARY OR BY ANY SUCH NOMINEE TO A SUCCESSOR DEPOSITARY OR A NOMINEE OF SUCH SUCCESSOR DEPOSITORY.</w:t>
      </w:r>
    </w:p>
    <w:p>
      <w:pPr>
        <w:spacing w:after="0" w:line="178"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UNLESS THIS SECURITY IS PRESENTED BY AN AUTHORIZED REPRESENTATIVE OF THE DEPOSITORY TRUST COMPANY, A NEW YORK CORPORATION (“DTC”), TO THE COMPANY OR ITS AGENT FOR REGISTRATION OF TRANSFER, EXCHANGE OR PAYMENT, AND ANY SECURITY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 AS MUCH AS THE REGISTERED OWNER HEREOF, CEDE &amp; CO., HAS AN INTEREST HEREIN.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2.75% Exchange Convertible Senior Notes due 2034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34385P AD0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ISIN [_________]</w:t>
      </w:r>
    </w:p>
    <w:p>
      <w:pPr>
        <w:sectPr>
          <w:pgSz w:w="11900" w:h="16838" w:orient="portrait"/>
          <w:cols w:equalWidth="0" w:num="1">
            <w:col w:w="11420"/>
          </w:cols>
          <w:pgMar w:left="240" w:top="688" w:right="2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 [____]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original principal amount</w:t>
      </w:r>
    </w:p>
    <w:p>
      <w:pPr>
        <w:spacing w:after="0" w:line="211" w:lineRule="exact"/>
        <w:rPr>
          <w:sz w:val="20"/>
          <w:szCs w:val="20"/>
          <w:color w:val="auto"/>
        </w:rPr>
      </w:pPr>
    </w:p>
    <w:p>
      <w:pPr>
        <w:sectPr>
          <w:pgSz w:w="11900" w:h="16838" w:orient="portrait"/>
          <w:cols w:equalWidth="0" w:num="3">
            <w:col w:w="7560" w:space="720"/>
            <w:col w:w="340" w:space="720"/>
            <w:col w:w="2080"/>
          </w:cols>
          <w:pgMar w:left="240" w:top="688" w:right="239" w:bottom="1440" w:gutter="0" w:footer="0" w:header="0"/>
          <w:type w:val="continuous"/>
        </w:sectPr>
      </w:pP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Fluidigm Corporation, a Delaware corporation (herein called the “Company,” which term includes any successor Person under the Indenture</w:t>
      </w:r>
    </w:p>
    <w:p>
      <w:pPr>
        <w:spacing w:after="0" w:line="23"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hereinafter referred to), for value received, hereby promises to pay to Cede &amp; Co., or registered assigns, the principal amount of $ Dollars, or such principal amount as shall be reflected in the books and records of the Trustee and the Depositary, on February 1, 2034, at the office or agency of the Company referred to below (provided, pursuant to Section 2.07 of the Indenture, commencing from the Issue Date to, but not including, February 6, 2023, principal shall accrete on the principal amount of this Note). The Accreted Principal Amount per $1,000 Original Principal Amount is set forth on Schedule I attached to the Second Supplemental Indenture. In addition, the Company promises to pay interest on the Original Principal Amount of this Note, accruing from February 1, 2018, on August 1, 2018 and semi-annually thereafter on February 1 and August 1 of each year, at the rate of 2.75% per annum per Original Principal Amount until the Accreted Principal Amount hereof is paid or made available for payment. The interest so payable, and punctually paid or duly provided for, on any Interest Payment Date will, as provided in the Indenture, be paid to the Person in whose name this Note (or one or more predecessor Notes) is registered at the Close of Business on the Regular Record Date for such interest, which shall be January 15 or July 15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Note (or one or more predecessor Notes) is registered at the Close of Business on a special record date (as determined in accordance with Section 2.13 of the Base Indenture) for the payment of such defaulted interest to be fixed by the Trustee, notice whereof shall be given to Holders not less than 10 days prior to such special record date, or be paid at any time in any other lawful manner not inconsistent with the requirements of any securities exchange on which the Notes may be listed, and upon such notice as may be required by such exchange, all as more fully provided in the Indenture.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type w:val="continuous"/>
        </w:sectPr>
      </w:pPr>
    </w:p>
    <w:bookmarkStart w:id="56" w:name="page57"/>
    <w:bookmarkEnd w:id="56"/>
    <w:p>
      <w:pPr>
        <w:ind w:right="180" w:firstLine="648"/>
        <w:spacing w:after="0" w:line="255" w:lineRule="auto"/>
        <w:rPr>
          <w:sz w:val="20"/>
          <w:szCs w:val="20"/>
          <w:color w:val="auto"/>
        </w:rPr>
      </w:pPr>
      <w:r>
        <w:rPr>
          <w:rFonts w:ascii="Arial" w:cs="Arial" w:eastAsia="Arial" w:hAnsi="Arial"/>
          <w:sz w:val="18"/>
          <w:szCs w:val="18"/>
          <w:color w:val="auto"/>
        </w:rPr>
        <w:t xml:space="preserve">Payment of the principal or Accreted Principal Amount of, and interest on, this Note and any Fundamental Change Repurchase Price, Redemption Price or Repurchase Price will be made at the office appointed by the Company in such coin or currency of the United States of America as at the time of payment is legal tender for payment of public and private debts;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at the option of the Company payment of principal or Accreted Principal Amount and interest and any Fundamental Change Repurchase Price, Redemption Price or Repurchase Price may be made (i) at the office of the Trustee or, at the Company’s option, by check mailed to the address of the Person entitled thereto as such address shall appear in the register maintained by the Registrar or (ii) if requested by a Holder of more than $2,000,000 principal amount of Notes, by wire transfer to an account maintained by the Person entitled thereto.</w:t>
      </w:r>
    </w:p>
    <w:p>
      <w:pPr>
        <w:spacing w:after="0" w:line="18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Reference is hereby made to the further provisions of this Note set forth on the reverse hereof, which further provisions shall for all purposes have the same effect as if set forth at this place.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referred to on the reverse hereof by manual signature, this Note shall not be entitled to any benefit under the Indenture or be valid or obligatory for any purpose.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1112520</wp:posOffset>
            </wp:positionV>
            <wp:extent cx="7246620" cy="43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57" w:name="page58"/>
    <w:bookmarkEnd w:id="57"/>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Company has caused this instrument to be duly executed under its corporate seal.</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Dated:</w:t>
            </w:r>
          </w:p>
        </w:tc>
        <w:tc>
          <w:tcPr>
            <w:tcW w:w="8260" w:type="dxa"/>
            <w:vAlign w:val="bottom"/>
          </w:tcPr>
          <w:p>
            <w:pPr>
              <w:ind w:left="2660"/>
              <w:spacing w:after="0"/>
              <w:rPr>
                <w:sz w:val="20"/>
                <w:szCs w:val="20"/>
                <w:color w:val="auto"/>
              </w:rPr>
            </w:pPr>
            <w:r>
              <w:rPr>
                <w:rFonts w:ascii="Arial" w:cs="Arial" w:eastAsia="Arial" w:hAnsi="Arial"/>
                <w:sz w:val="18"/>
                <w:szCs w:val="18"/>
                <w:color w:val="auto"/>
              </w:rPr>
              <w:t>FLUIDIGM CORPORATION</w:t>
            </w:r>
          </w:p>
        </w:tc>
      </w:tr>
      <w:tr>
        <w:trPr>
          <w:trHeight w:val="701"/>
        </w:trPr>
        <w:tc>
          <w:tcPr>
            <w:tcW w:w="3160" w:type="dxa"/>
            <w:vAlign w:val="bottom"/>
          </w:tcPr>
          <w:p>
            <w:pPr>
              <w:spacing w:after="0"/>
              <w:rPr>
                <w:sz w:val="24"/>
                <w:szCs w:val="24"/>
                <w:color w:val="auto"/>
              </w:rPr>
            </w:pPr>
          </w:p>
        </w:tc>
        <w:tc>
          <w:tcPr>
            <w:tcW w:w="8260" w:type="dxa"/>
            <w:vAlign w:val="bottom"/>
          </w:tcPr>
          <w:p>
            <w:pPr>
              <w:ind w:left="2660"/>
              <w:spacing w:after="0"/>
              <w:rPr>
                <w:sz w:val="20"/>
                <w:szCs w:val="20"/>
                <w:color w:val="auto"/>
              </w:rPr>
            </w:pPr>
            <w:r>
              <w:rPr>
                <w:rFonts w:ascii="Arial" w:cs="Arial" w:eastAsia="Arial" w:hAnsi="Arial"/>
                <w:sz w:val="18"/>
                <w:szCs w:val="18"/>
                <w:color w:val="auto"/>
              </w:rPr>
              <w:t>By: _____________________________</w:t>
            </w:r>
          </w:p>
        </w:tc>
      </w:tr>
      <w:tr>
        <w:trPr>
          <w:trHeight w:val="216"/>
        </w:trPr>
        <w:tc>
          <w:tcPr>
            <w:tcW w:w="3160" w:type="dxa"/>
            <w:vAlign w:val="bottom"/>
          </w:tcPr>
          <w:p>
            <w:pPr>
              <w:spacing w:after="0"/>
              <w:rPr>
                <w:sz w:val="18"/>
                <w:szCs w:val="18"/>
                <w:color w:val="auto"/>
              </w:rPr>
            </w:pPr>
          </w:p>
        </w:tc>
        <w:tc>
          <w:tcPr>
            <w:tcW w:w="8260" w:type="dxa"/>
            <w:vAlign w:val="bottom"/>
          </w:tcPr>
          <w:p>
            <w:pPr>
              <w:ind w:left="3020"/>
              <w:spacing w:after="0"/>
              <w:rPr>
                <w:sz w:val="20"/>
                <w:szCs w:val="20"/>
                <w:color w:val="auto"/>
              </w:rPr>
            </w:pPr>
            <w:r>
              <w:rPr>
                <w:rFonts w:ascii="Arial" w:cs="Arial" w:eastAsia="Arial" w:hAnsi="Arial"/>
                <w:sz w:val="18"/>
                <w:szCs w:val="18"/>
                <w:color w:val="auto"/>
              </w:rPr>
              <w:t>Name:</w:t>
            </w:r>
          </w:p>
        </w:tc>
      </w:tr>
      <w:tr>
        <w:trPr>
          <w:trHeight w:val="230"/>
        </w:trPr>
        <w:tc>
          <w:tcPr>
            <w:tcW w:w="3160" w:type="dxa"/>
            <w:vAlign w:val="bottom"/>
          </w:tcPr>
          <w:p>
            <w:pPr>
              <w:spacing w:after="0"/>
              <w:rPr>
                <w:sz w:val="20"/>
                <w:szCs w:val="20"/>
                <w:color w:val="auto"/>
              </w:rPr>
            </w:pPr>
          </w:p>
        </w:tc>
        <w:tc>
          <w:tcPr>
            <w:tcW w:w="8260" w:type="dxa"/>
            <w:vAlign w:val="bottom"/>
          </w:tcPr>
          <w:p>
            <w:pPr>
              <w:ind w:left="3020"/>
              <w:spacing w:after="0"/>
              <w:rPr>
                <w:sz w:val="20"/>
                <w:szCs w:val="20"/>
                <w:color w:val="auto"/>
              </w:rPr>
            </w:pPr>
            <w:r>
              <w:rPr>
                <w:rFonts w:ascii="Arial" w:cs="Arial" w:eastAsia="Arial" w:hAnsi="Arial"/>
                <w:sz w:val="18"/>
                <w:szCs w:val="18"/>
                <w:color w:val="auto"/>
              </w:rPr>
              <w:t>Title:</w:t>
            </w:r>
          </w:p>
        </w:tc>
      </w:tr>
      <w:tr>
        <w:trPr>
          <w:trHeight w:val="4754"/>
        </w:trPr>
        <w:tc>
          <w:tcPr>
            <w:tcW w:w="3160" w:type="dxa"/>
            <w:vAlign w:val="bottom"/>
          </w:tcPr>
          <w:p>
            <w:pPr>
              <w:spacing w:after="0"/>
              <w:rPr>
                <w:sz w:val="24"/>
                <w:szCs w:val="24"/>
                <w:color w:val="auto"/>
              </w:rPr>
            </w:pPr>
          </w:p>
        </w:tc>
        <w:tc>
          <w:tcPr>
            <w:tcW w:w="8260" w:type="dxa"/>
            <w:vAlign w:val="bottom"/>
          </w:tcPr>
          <w:p>
            <w:pPr>
              <w:spacing w:after="0"/>
              <w:rPr>
                <w:sz w:val="24"/>
                <w:szCs w:val="24"/>
                <w:color w:val="auto"/>
              </w:rPr>
            </w:pPr>
          </w:p>
        </w:tc>
      </w:tr>
      <w:tr>
        <w:trPr>
          <w:trHeight w:val="68"/>
        </w:trPr>
        <w:tc>
          <w:tcPr>
            <w:tcW w:w="3160" w:type="dxa"/>
            <w:vAlign w:val="bottom"/>
            <w:shd w:val="clear" w:color="auto" w:fill="000000"/>
          </w:tcPr>
          <w:p>
            <w:pPr>
              <w:spacing w:after="0"/>
              <w:rPr>
                <w:sz w:val="5"/>
                <w:szCs w:val="5"/>
                <w:color w:val="auto"/>
              </w:rPr>
            </w:pPr>
          </w:p>
        </w:tc>
        <w:tc>
          <w:tcPr>
            <w:tcW w:w="826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688" w:right="239" w:bottom="1440" w:gutter="0" w:footer="0" w:header="0"/>
        </w:sectPr>
      </w:pPr>
    </w:p>
    <w:bookmarkStart w:id="58" w:name="page59"/>
    <w:bookmarkEnd w:id="58"/>
    <w:p>
      <w:pPr>
        <w:ind w:left="3580"/>
        <w:spacing w:after="0"/>
        <w:rPr>
          <w:sz w:val="20"/>
          <w:szCs w:val="20"/>
          <w:color w:val="auto"/>
        </w:rPr>
      </w:pPr>
      <w:r>
        <w:rPr>
          <w:rFonts w:ascii="Arial" w:cs="Arial" w:eastAsia="Arial" w:hAnsi="Arial"/>
          <w:sz w:val="18"/>
          <w:szCs w:val="18"/>
          <w:b w:val="1"/>
          <w:bCs w:val="1"/>
          <w:color w:val="auto"/>
        </w:rPr>
        <w:t>TRUSTEE’S CERTIFICATE OF AUTHENTICATION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is one of the Notes of the series designated therein referred to in the within-mentioned Indenture.</w:t>
      </w:r>
    </w:p>
    <w:p>
      <w:pPr>
        <w:spacing w:after="0" w:line="248"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U.S. Bank National Association, as Trustee</w:t>
      </w:r>
    </w:p>
    <w:p>
      <w:pPr>
        <w:sectPr>
          <w:pgSz w:w="11900" w:h="16838" w:orient="portrait"/>
          <w:cols w:equalWidth="0" w:num="1">
            <w:col w:w="10219"/>
          </w:cols>
          <w:pgMar w:left="240" w:top="68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By: ________________________________</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ectPr>
          <w:pgSz w:w="11900" w:h="16838" w:orient="portrait"/>
          <w:cols w:equalWidth="0" w:num="2">
            <w:col w:w="5100" w:space="720"/>
            <w:col w:w="4399"/>
          </w:cols>
          <w:pgMar w:left="240" w:top="68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060"/>
        <w:spacing w:after="0"/>
        <w:rPr>
          <w:sz w:val="20"/>
          <w:szCs w:val="20"/>
          <w:color w:val="auto"/>
        </w:rPr>
      </w:pPr>
      <w:r>
        <w:rPr>
          <w:rFonts w:ascii="Arial" w:cs="Arial" w:eastAsia="Arial" w:hAnsi="Arial"/>
          <w:sz w:val="17"/>
          <w:szCs w:val="17"/>
          <w:i w:val="1"/>
          <w:iCs w:val="1"/>
          <w:color w:val="auto"/>
        </w:rPr>
        <w:t>[Certificate of Authentication of Global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431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219"/>
          </w:cols>
          <w:pgMar w:left="240" w:top="688" w:right="1440" w:bottom="1440" w:gutter="0" w:footer="0" w:header="0"/>
          <w:type w:val="continuous"/>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REVERSE OF NOTE</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This Security is one of a duly authorized issue of securities of the Company (herein called the “Notes”), issued and to be issued in one or more series under an Indenture, dated as of February 4, 2014 (herein called the “Base Indenture”), between the Company and U.S. Bank National Association, as Trustee, herein called the “Trustee” (which term includes any successor trustee under the Indenture (as defined below)), to which Indenture (as defined below) and all indentures supplemental thereto reference is hereby made for a statement of the respective rights, limitations of rights, obligations, duties and immunities thereunder of the Company, the Trustee and the Holders and of the terms upon which the Notes are, and are to be, authenticated and delivered. The terms of the Notes include the covenants and terms established by the Second Supplemental Indenture, dated as of March 6, 2018, between the Company and the Trustee (the “Second Supplemental Indenture”, and as such Second Supplemental Indenture amends and supplements the Base Indenture, the “Indenture”), pursuant to the authority granted under the Indenture (such terms and covenants shall be referred to herein collectively with the terms and covenants set out in the Indenture that are applicable to the Notes as the “Indenture Terms”). Defined terms used herein that are not otherwise defined shall have the meanings given such terms in the Indenture Terms. This Note is one of the series designated on the face hereof, which series has an initial aggregate principal amount of $125,000,000. The Company may subsequently issue additional notes as part of this series of Notes under the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additional notes are not fungible with the Notes initially issued under the Indenture for U.S. federal income tax purposes, such additional Notes will have a separate CUSIP number. In the event of any conflict between the terms of the Notes and the terms of the Indenture, the terms of the Indenture shall control.</w:t>
      </w:r>
    </w:p>
    <w:p>
      <w:pPr>
        <w:spacing w:after="0" w:line="175" w:lineRule="exact"/>
        <w:rPr>
          <w:sz w:val="20"/>
          <w:szCs w:val="20"/>
          <w:color w:val="auto"/>
        </w:rPr>
      </w:pPr>
    </w:p>
    <w:p>
      <w:pPr>
        <w:ind w:left="1600" w:hanging="944"/>
        <w:spacing w:after="0"/>
        <w:tabs>
          <w:tab w:leader="none" w:pos="160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Paying Agent and Registrar</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The Company initially appoints the Trustee as Paying Agent and Registrar. The Company will give prompt written notice to the Trustee of the name and address, and any change in the name or address, of each Registrar or Paying Agent. The Company may also from time to time designate one or more co-registrars or additional paying agents and may from time to time rescind such designations;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designation or rescission shall in any manner relieve the Company of its obligations to maintain a Registrar and a Paying Agent in each place so specified pursuant to Base Indenture Section 2.02.</w:t>
      </w:r>
    </w:p>
    <w:p>
      <w:pPr>
        <w:spacing w:after="0" w:line="18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U.S. Bank National Association, the Trustee under the Indenture, or any banking institution serving as successor Trustee thereunder, in its individual or any other capacity, may make loans to, accept deposits from and perform services for the Company or its Affiliates, and may otherwise deal with the Company or its Affiliates as if it were not Trustee.</w:t>
      </w:r>
    </w:p>
    <w:p>
      <w:pPr>
        <w:spacing w:after="0" w:line="181" w:lineRule="exact"/>
        <w:rPr>
          <w:sz w:val="20"/>
          <w:szCs w:val="20"/>
          <w:color w:val="auto"/>
        </w:rPr>
      </w:pPr>
    </w:p>
    <w:p>
      <w:pPr>
        <w:ind w:left="1600" w:hanging="944"/>
        <w:spacing w:after="0"/>
        <w:tabs>
          <w:tab w:leader="none" w:pos="160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will furnish to any Holder upon written request and without charge a copy of the Indenture. Requests may be made to: Fluidigm</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Corporation, 7000 Shoreline Court, Suite 100, South San Francisco, CA 94080, Attention: Chief Financial Officer.</w:t>
      </w:r>
    </w:p>
    <w:p>
      <w:pPr>
        <w:spacing w:after="0" w:line="211" w:lineRule="exact"/>
        <w:rPr>
          <w:sz w:val="20"/>
          <w:szCs w:val="20"/>
          <w:color w:val="auto"/>
        </w:rPr>
      </w:pPr>
    </w:p>
    <w:p>
      <w:pPr>
        <w:ind w:left="1600" w:hanging="944"/>
        <w:spacing w:after="0"/>
        <w:tabs>
          <w:tab w:leader="none" w:pos="160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Redemption</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Notes are redeemable at certain times at the option of the Company in accordance with the Indenture prior to maturity. No sinking fund is provided for the Notes and the Notes will not be subject to defeasance.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431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60" w:name="page61"/>
    <w:bookmarkEnd w:id="60"/>
    <w:p>
      <w:pPr>
        <w:ind w:right="40" w:firstLine="648"/>
        <w:spacing w:after="0" w:line="297" w:lineRule="auto"/>
        <w:rPr>
          <w:sz w:val="20"/>
          <w:szCs w:val="20"/>
          <w:color w:val="auto"/>
        </w:rPr>
      </w:pPr>
      <w:r>
        <w:rPr>
          <w:rFonts w:ascii="Arial" w:cs="Arial" w:eastAsia="Arial" w:hAnsi="Arial"/>
          <w:sz w:val="16"/>
          <w:szCs w:val="16"/>
          <w:color w:val="auto"/>
        </w:rPr>
        <w:t>Subject to the Indenture Terms, the Notes called for Optional Redemption become due on the relevant Redemption Date. The Company shall give the Redemption Notice not less than 30 nor more than 60 calendar days immediately preceding the Redemption Date to each Holder to be redeemed at its registered address. The Redemption Notice for the Notes shall state the Original Principal Amount to be redeemed and Accreted Principal Amount thereof as of the Redemption Date. On and after the Redemption Date, interest shall cease to accrue on any Notes that are redeemed. If less than all of the Notes are redeemed at any time, the Trustee shall select Notes to be redeemed in accordance with the procedures of the Depositary and the Indenture.</w:t>
      </w:r>
    </w:p>
    <w:p>
      <w:pPr>
        <w:spacing w:after="0" w:line="158"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In the event of redemption of this Note in part only, a new Note or Notes of this series in principal amount equal to the unredeemed portion hereof will be issued in the name of the Holder hereof upon the cancellation hereof, subject to Section 3.01(d) of the Second Supplemental Indenture.</w:t>
      </w:r>
    </w:p>
    <w:p>
      <w:pPr>
        <w:spacing w:after="0" w:line="124" w:lineRule="exact"/>
        <w:rPr>
          <w:sz w:val="20"/>
          <w:szCs w:val="20"/>
          <w:color w:val="auto"/>
        </w:rPr>
      </w:pPr>
    </w:p>
    <w:p>
      <w:pPr>
        <w:ind w:left="1600" w:hanging="944"/>
        <w:spacing w:after="0"/>
        <w:tabs>
          <w:tab w:leader="none" w:pos="160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Repurchase at Option of Holders Upon a Fundamental Change</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Subject to the Indenture Terms, in the event of a Fundamental Change, each Holder of the Notes shall have the right, at the Holder’s option, to require the Company to repurchase such Holder’s Notes including any portion thereof which is $1,000 in principal amount or any integral multiple thereof on the Fundamental Change Repurchase Date at a price payable in cash equal to the Fundamental Change Repurchase Price.</w:t>
      </w:r>
    </w:p>
    <w:p>
      <w:pPr>
        <w:spacing w:after="0" w:line="166" w:lineRule="exact"/>
        <w:rPr>
          <w:sz w:val="20"/>
          <w:szCs w:val="20"/>
          <w:color w:val="auto"/>
        </w:rPr>
      </w:pPr>
    </w:p>
    <w:p>
      <w:pPr>
        <w:ind w:left="1600" w:hanging="944"/>
        <w:spacing w:after="0"/>
        <w:tabs>
          <w:tab w:leader="none" w:pos="160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Repurchase at Option of Holders Upon Specified Dates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Subject to the Indenture Terms, on each specified Repurchase Date, each Holder of the Notes shall have the right, at the Holder’s option, to require the Company to repurchase such Holder’s Notes including any portion thereof which is $1,000 in principal amount or any integral multiple thereof on the Repurchase Date at a price payable in cash equal to the Repurchase Price.</w:t>
      </w:r>
    </w:p>
    <w:p>
      <w:pPr>
        <w:spacing w:after="0" w:line="181" w:lineRule="exact"/>
        <w:rPr>
          <w:sz w:val="20"/>
          <w:szCs w:val="20"/>
          <w:color w:val="auto"/>
        </w:rPr>
      </w:pPr>
    </w:p>
    <w:p>
      <w:pPr>
        <w:ind w:left="1600" w:hanging="944"/>
        <w:spacing w:after="0"/>
        <w:tabs>
          <w:tab w:leader="none" w:pos="160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Conversion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Conversion at the Option of the Holder</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Each Holder of the Notes shall have the right, at such Holder’s option, to convert all or any portion of the Original Principal Amount of its Note into cash, shares of Common Stock, or combination thereof, in accordance with Article V of the Second Supplemental Indenture. To convert a Note, a Holder must satisfy the requirements of Section 5.04 of the Second Supplemental Indenture. A Holder may convert a portion of a Note if the portion is $1,000 principal amount or an integral multiple of $1,000 principal amount.</w:t>
      </w:r>
    </w:p>
    <w:p>
      <w:pPr>
        <w:spacing w:after="0" w:line="187"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Upon conversion of a Note, the Holder thereof shall be entitled to receive the applicable cash, shares of Common Stock, or combination thereof, payable upon conversion in accordance with Article V of the Second Supplemental Indenture, at the Conversion Rate specified in the Second Supplemental Indenture, as adjusted from time to time as provided in the Second Supplemental Indenture. Upon such conversion pursuant to this Section 6 the remaining Accreted Principal Amount in excess of the Original Principal Amount converted shall be deemed to be extinguished.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Issuer’s Optional Conversion</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If at any time prior to the Maturity Date, an Issuer’s Conversion Trigger Event occurs, the Company may, at its option, elect to convert the Original Principal Amount of the Notes in whole but not in part into an amount of cash, shares of Common Stock or a combination of thereof, at the Company’s election as set forth in the Second Supplemental Indenture. Subject to the Indenture Terms, the Notes converted pursuant to the Company’s exercise of its Issuer’s Conversion Option will cease to be outstanding on the Issuer’s Conversion Date and interest shall cease to accrue on any Note. The Company shall give the Issuer’s Conversion Notice not more than 30 Trading Days but not less than 10 Trading Days prior to the Issuer’s Conversion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246620" cy="431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692" w:right="299" w:bottom="1440" w:gutter="0" w:footer="0" w:header="0"/>
        </w:sectPr>
      </w:pPr>
    </w:p>
    <w:bookmarkStart w:id="61" w:name="page62"/>
    <w:bookmarkEnd w:id="61"/>
    <w:p>
      <w:pPr>
        <w:ind w:left="1600" w:hanging="944"/>
        <w:spacing w:after="0"/>
        <w:tabs>
          <w:tab w:leader="none" w:pos="160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Events of Default</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The following constitute Events of Default: the Company fails to pay the Accreted Principal Amount of any Note when due; the Company fails to deliver the Settlement Amount owing upon conversion of any Note when due, and such failure continues for five Business Days; the Company fails to pay any interest on any Note when due, and such failure continues for 30 calendar days; the Company fails to pay the Redemption Price of any Note when due; the Company fails to pay the Repurchase Price or Fundamental Change Repurchase Price of any Note when due; the Company fails to provide timely notice of a Fundamental Change or a Make-Whole Fundamental Change in accordance with the Indenture; the Company fails to perform any other covenant required of it in the Indenture (other than a covenant or agreement a default in whose performance or whose breach is specifically dealt with in the preceding clauses of this sentence) and such failure continues for 60 calendar days after notice is given in accordance with the Indenture by the Trustee or Holders of not less than 25% in aggregate principal amounts of the outstanding Notes; (a) the Company’s failure, or the failure of any of the Company’s Significant Subsidiaries to make any payment at maturity (after giving effect to any applicable grace period) of Indebtedness, in a principal amount in excess of $15.0 million and continuance of such failure, or (b) the acceleration of Indebtedness of the Company or any of the Company’s Significant Subsidiaries in an amount in excess of $15.0 million because of a default with respect to such Indebtedness, unless such Indebtedness is discharged or such acceleration has been cured, waived, rescinded or annulled, in either case within a period of 30 days after written notice to us given in accordance with the Indenture by the Trustee or Holders of not less than 25% in aggregate principal amount of the outstanding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any such failure or acceleration referred to in (a) or (b) above shall cease or be cured, waived, rescinded or annulled, then the Event of Default by reason thereof shall be deemed not to have occurred; and certain events of bankruptcy, insolvency or reorganization with respect to the Company or any of the Company’s Significant Subsidiaries as provided in the Indenture. If any Event of Default occurs and is continuing (other than an Event of Default that is a result of bankruptcy, insolvency or reorganization of the Company as provided in the Indenture), the Trustee or the Holders of at least 25% in aggregate principal amount of the outstanding Notes may declare the Accreted Principal Amount of all of the Notes to be due and payable immediately. If an Event of Default occurs that is a result of bankruptcy, insolvency or reorganization of the Company as provided in the Indenture, the Accreted Principal Amount of the Notes and accrued and unpaid interest, if any, will automatically become due and payable in accordance with the Indenture.</w:t>
      </w:r>
    </w:p>
    <w:p>
      <w:pPr>
        <w:spacing w:after="0" w:line="387" w:lineRule="exact"/>
        <w:rPr>
          <w:sz w:val="20"/>
          <w:szCs w:val="20"/>
          <w:color w:val="auto"/>
        </w:rPr>
      </w:pPr>
    </w:p>
    <w:p>
      <w:pPr>
        <w:ind w:left="1600" w:hanging="944"/>
        <w:spacing w:after="0"/>
        <w:tabs>
          <w:tab w:leader="none" w:pos="160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Amendments and Waivers</w:t>
      </w:r>
    </w:p>
    <w:p>
      <w:pPr>
        <w:spacing w:after="0" w:line="225"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The Indenture permits, with certain exceptions as therein provided, the amendment thereof and the modification of the rights and obligations of the Company and the rights of the Holders at any time by the Company and the Trustee with the consent of the Holders of a majority in principal amount of the Notes at the time outstanding. Without the consent of or notice to any Holder, the Indenture or the Notes may be amended or supplemented under the conditions specified in the Indenture, including to cure any ambiguity, omission, defect or inconsistency that does not materially adversely affect the Holders or to make any change that does not adversely affect the rights of any Holder. The Indenture also contains provisions permitting the Holders of specified percentages in principal amount of the Notes at the time outstanding, on behalf of the Holders of all of the Notes, to waive compliance by the Company with certain provisions of the Indenture and certain past defaults under the Indenture and their consequences. Any such consent or waiver by the Holders shall be conclusive and binding upon such Holder and upon all future Holders and of any Note issued upon the registration of transfer hereof or in exchange or in lieu hereof, whether or not notation of such consent or waiver is made upon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431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2" w:name="page63"/>
    <w:bookmarkEnd w:id="62"/>
    <w:p>
      <w:pPr>
        <w:ind w:left="1600" w:hanging="944"/>
        <w:spacing w:after="0"/>
        <w:tabs>
          <w:tab w:leader="none" w:pos="160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Company’s Payment Obligation</w:t>
      </w:r>
    </w:p>
    <w:p>
      <w:pPr>
        <w:spacing w:after="0" w:line="225"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No reference herein to the Indenture Terms and no provision of this Note or of the Indenture shall alter or impair the obligations of the Company, which are absolute and unconditional, to pay the principal of and any interest on this Note at the times, places and rates, and in the coin or currency herein prescribed, and to perform the conversion obligations of the Company herein prescribed.</w:t>
      </w:r>
    </w:p>
    <w:p>
      <w:pPr>
        <w:spacing w:after="0" w:line="181" w:lineRule="exact"/>
        <w:rPr>
          <w:sz w:val="20"/>
          <w:szCs w:val="20"/>
          <w:color w:val="auto"/>
        </w:rPr>
      </w:pPr>
    </w:p>
    <w:p>
      <w:pPr>
        <w:ind w:left="1520" w:hanging="864"/>
        <w:spacing w:after="0"/>
        <w:tabs>
          <w:tab w:leader="none" w:pos="152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Denominations, Transfer, Exchange</w:t>
      </w:r>
    </w:p>
    <w:p>
      <w:pPr>
        <w:spacing w:after="0" w:line="2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Notes are issuable only in registered form without coupons in minimum denominations of $1,000.00 and integral multiples of $1,000.00 in excess thereof. As provided in the Indenture and subject to certain limitations set forth therein, Notes are exchangeable for a like aggregate principal amount of Notes and of like tenor of a different authorized denomination, as requested by the Holder surrendering the same.</w:t>
      </w:r>
    </w:p>
    <w:p>
      <w:pPr>
        <w:spacing w:after="0" w:line="16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Where Notes are presented to the Registrar with a request to register a transfer or to exchange them for an equal principal amount of Notes of this same Series, the Registrar shall register the transfer or make the exchange if its requirements for such transactions are met. To permit registrations of transfers and exchanges, the Trustee shall authenticate Notes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the Indenture Terms). Neither the Company nor the Registrar shall be required (a) to issue, register the transfer of, or exchange Notes for the period beginning at the opening of business fifteen days immediately preceding the delivery of a notice of redemption of Notes selected for redemption and ending at the close of business on the day of such delivery, or (b) to register the transfer of or exchange Notes selected, called or being called for redemption as a whole or the portion being redeemed of any such Notes selected, called or being called for redemption in part.</w:t>
      </w:r>
    </w:p>
    <w:p>
      <w:pPr>
        <w:spacing w:after="0" w:line="167" w:lineRule="exact"/>
        <w:rPr>
          <w:sz w:val="20"/>
          <w:szCs w:val="20"/>
          <w:color w:val="auto"/>
        </w:rPr>
      </w:pPr>
    </w:p>
    <w:p>
      <w:pPr>
        <w:ind w:left="1500" w:hanging="844"/>
        <w:spacing w:after="0"/>
        <w:tabs>
          <w:tab w:leader="none" w:pos="150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No Personal Liability of Directors, Officers, Employees and Shareholders</w:t>
      </w:r>
    </w:p>
    <w:p>
      <w:pPr>
        <w:spacing w:after="0" w:line="225"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A director, officer, employee or stockholder, as such, of the Company or any Subsidiary of the Company shall not have any liability for any obligations of the Company under the Notes, the Indenture Terms or for any claim based on, in respect of or by reason of such obligations or their creation. Each Holder by accepting a Note waives and releases all such liability. The waiver and release are part of the consideration for the issuance of the Notes.</w:t>
      </w:r>
    </w:p>
    <w:p>
      <w:pPr>
        <w:spacing w:after="0" w:line="147" w:lineRule="exact"/>
        <w:rPr>
          <w:sz w:val="20"/>
          <w:szCs w:val="20"/>
          <w:color w:val="auto"/>
        </w:rPr>
      </w:pPr>
    </w:p>
    <w:p>
      <w:pPr>
        <w:ind w:left="1520" w:hanging="864"/>
        <w:spacing w:after="0"/>
        <w:tabs>
          <w:tab w:leader="none" w:pos="152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Persons Deemed Owners</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is overdue, and neither the Company, the Trustee nor any such agent shall be affected by notice to the contrary.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43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FORM OF CONVERSION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convert the Original Principal Amount of this Note in accordance with the Indenture, check the box: [_]</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To convert only part of the Original Principal Amount of this Note in accordance with the Indenture, state the principal amount to be converted (must be in multiples of $1,000):</w:t>
      </w:r>
    </w:p>
    <w:p>
      <w:pPr>
        <w:spacing w:after="0" w:line="170"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3070860</wp:posOffset>
            </wp:positionH>
            <wp:positionV relativeFrom="paragraph">
              <wp:posOffset>-10160</wp:posOffset>
            </wp:positionV>
            <wp:extent cx="11715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171575" cy="8890"/>
                    </a:xfrm>
                    <a:prstGeom prst="rect">
                      <a:avLst/>
                    </a:prstGeom>
                    <a:noFill/>
                  </pic:spPr>
                </pic:pic>
              </a:graphicData>
            </a:graphic>
          </wp:anchor>
        </w:drawing>
      </w:r>
    </w:p>
    <w:p>
      <w:pPr>
        <w:spacing w:after="0" w:line="20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If you want the stock certificate representing shares of Common Stock, if any, issuable upon conversion made out in another person’s name, fill in the form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(Insert other person’s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640715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r>
              <w:rPr>
                <w:rFonts w:ascii="Arial" w:cs="Arial" w:eastAsia="Arial" w:hAnsi="Arial"/>
                <w:sz w:val="18"/>
                <w:szCs w:val="18"/>
                <w:color w:val="auto"/>
                <w:w w:val="93"/>
              </w:rPr>
              <w:t>(Print or type other person’s name, address and zip code)</w:t>
            </w:r>
          </w:p>
        </w:tc>
        <w:tc>
          <w:tcPr>
            <w:tcW w:w="7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320" w:type="dxa"/>
            <w:vAlign w:val="bottom"/>
          </w:tcPr>
          <w:p>
            <w:pPr>
              <w:spacing w:after="0"/>
              <w:rPr>
                <w:sz w:val="20"/>
                <w:szCs w:val="20"/>
                <w:color w:val="auto"/>
              </w:rPr>
            </w:pPr>
            <w:r>
              <w:rPr>
                <w:rFonts w:ascii="Arial" w:cs="Arial" w:eastAsia="Arial" w:hAnsi="Arial"/>
                <w:sz w:val="18"/>
                <w:szCs w:val="18"/>
                <w:color w:val="auto"/>
              </w:rPr>
              <w:t>Date: __________________________</w:t>
            </w:r>
          </w:p>
        </w:tc>
        <w:tc>
          <w:tcPr>
            <w:tcW w:w="7100" w:type="dxa"/>
            <w:vAlign w:val="bottom"/>
          </w:tcPr>
          <w:p>
            <w:pPr>
              <w:ind w:left="1500"/>
              <w:spacing w:after="0"/>
              <w:rPr>
                <w:sz w:val="20"/>
                <w:szCs w:val="20"/>
                <w:color w:val="auto"/>
              </w:rPr>
            </w:pPr>
            <w:r>
              <w:rPr>
                <w:rFonts w:ascii="Arial" w:cs="Arial" w:eastAsia="Arial" w:hAnsi="Arial"/>
                <w:sz w:val="18"/>
                <w:szCs w:val="18"/>
                <w:color w:val="auto"/>
              </w:rPr>
              <w:t>Signature(s): __________________________</w:t>
            </w:r>
          </w:p>
        </w:tc>
        <w:tc>
          <w:tcPr>
            <w:tcW w:w="0" w:type="dxa"/>
            <w:vAlign w:val="bottom"/>
          </w:tcPr>
          <w:p>
            <w:pPr>
              <w:spacing w:after="0"/>
              <w:rPr>
                <w:sz w:val="1"/>
                <w:szCs w:val="1"/>
                <w:color w:val="auto"/>
              </w:rPr>
            </w:pPr>
          </w:p>
        </w:tc>
      </w:tr>
      <w:tr>
        <w:trPr>
          <w:trHeight w:val="850"/>
        </w:trPr>
        <w:tc>
          <w:tcPr>
            <w:tcW w:w="4320" w:type="dxa"/>
            <w:vAlign w:val="bottom"/>
          </w:tcPr>
          <w:p>
            <w:pPr>
              <w:spacing w:after="0"/>
              <w:rPr>
                <w:sz w:val="24"/>
                <w:szCs w:val="24"/>
                <w:color w:val="auto"/>
              </w:rPr>
            </w:pPr>
          </w:p>
        </w:tc>
        <w:tc>
          <w:tcPr>
            <w:tcW w:w="7100" w:type="dxa"/>
            <w:vAlign w:val="bottom"/>
          </w:tcPr>
          <w:p>
            <w:pPr>
              <w:ind w:left="220"/>
              <w:spacing w:after="0"/>
              <w:rPr>
                <w:sz w:val="20"/>
                <w:szCs w:val="20"/>
                <w:color w:val="auto"/>
              </w:rPr>
            </w:pPr>
            <w:r>
              <w:rPr>
                <w:rFonts w:ascii="Arial" w:cs="Arial" w:eastAsia="Arial" w:hAnsi="Arial"/>
                <w:sz w:val="18"/>
                <w:szCs w:val="18"/>
                <w:color w:val="auto"/>
              </w:rPr>
              <w:t>_____________________________________________________</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p>
        </w:tc>
        <w:tc>
          <w:tcPr>
            <w:tcW w:w="7100" w:type="dxa"/>
            <w:vAlign w:val="bottom"/>
          </w:tcPr>
          <w:p>
            <w:pPr>
              <w:ind w:left="220"/>
              <w:spacing w:after="0"/>
              <w:rPr>
                <w:sz w:val="20"/>
                <w:szCs w:val="20"/>
                <w:color w:val="auto"/>
              </w:rPr>
            </w:pPr>
            <w:r>
              <w:rPr>
                <w:rFonts w:ascii="Arial" w:cs="Arial" w:eastAsia="Arial" w:hAnsi="Arial"/>
                <w:sz w:val="18"/>
                <w:szCs w:val="18"/>
                <w:color w:val="auto"/>
              </w:rPr>
              <w:t>(Sign exactly as your name(s) appear(s) on the other side of this Note)</w:t>
            </w:r>
          </w:p>
        </w:tc>
        <w:tc>
          <w:tcPr>
            <w:tcW w:w="0" w:type="dxa"/>
            <w:vAlign w:val="bottom"/>
          </w:tcPr>
          <w:p>
            <w:pPr>
              <w:spacing w:after="0"/>
              <w:rPr>
                <w:sz w:val="1"/>
                <w:szCs w:val="1"/>
                <w:color w:val="auto"/>
              </w:rPr>
            </w:pPr>
          </w:p>
        </w:tc>
      </w:tr>
      <w:tr>
        <w:trPr>
          <w:trHeight w:val="432"/>
        </w:trPr>
        <w:tc>
          <w:tcPr>
            <w:tcW w:w="4320" w:type="dxa"/>
            <w:vAlign w:val="bottom"/>
          </w:tcPr>
          <w:p>
            <w:pPr>
              <w:spacing w:after="0"/>
              <w:rPr>
                <w:sz w:val="20"/>
                <w:szCs w:val="20"/>
                <w:color w:val="auto"/>
              </w:rPr>
            </w:pPr>
            <w:r>
              <w:rPr>
                <w:rFonts w:ascii="Arial" w:cs="Arial" w:eastAsia="Arial" w:hAnsi="Arial"/>
                <w:sz w:val="18"/>
                <w:szCs w:val="18"/>
                <w:color w:val="auto"/>
              </w:rPr>
              <w:t>Signature(s) guaranteed</w:t>
            </w:r>
          </w:p>
        </w:tc>
        <w:tc>
          <w:tcPr>
            <w:tcW w:w="7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320" w:type="dxa"/>
            <w:vAlign w:val="bottom"/>
          </w:tcPr>
          <w:p>
            <w:pPr>
              <w:spacing w:after="0"/>
              <w:rPr>
                <w:sz w:val="20"/>
                <w:szCs w:val="20"/>
                <w:color w:val="auto"/>
              </w:rPr>
            </w:pPr>
            <w:r>
              <w:rPr>
                <w:rFonts w:ascii="Arial" w:cs="Arial" w:eastAsia="Arial" w:hAnsi="Arial"/>
                <w:sz w:val="18"/>
                <w:szCs w:val="18"/>
                <w:color w:val="auto"/>
              </w:rPr>
              <w:t>by:</w:t>
            </w:r>
          </w:p>
        </w:tc>
        <w:tc>
          <w:tcPr>
            <w:tcW w:w="7100" w:type="dxa"/>
            <w:vAlign w:val="bottom"/>
            <w:vMerge w:val="restart"/>
          </w:tcPr>
          <w:p>
            <w:pPr>
              <w:ind w:left="220"/>
              <w:spacing w:after="0"/>
              <w:rPr>
                <w:sz w:val="20"/>
                <w:szCs w:val="20"/>
                <w:color w:val="auto"/>
              </w:rPr>
            </w:pPr>
            <w:r>
              <w:rPr>
                <w:rFonts w:ascii="Arial" w:cs="Arial" w:eastAsia="Arial" w:hAnsi="Arial"/>
                <w:sz w:val="18"/>
                <w:szCs w:val="18"/>
                <w:color w:val="auto"/>
              </w:rPr>
              <w:t>______________________________________________________</w:t>
            </w:r>
          </w:p>
        </w:tc>
        <w:tc>
          <w:tcPr>
            <w:tcW w:w="0" w:type="dxa"/>
            <w:vAlign w:val="bottom"/>
          </w:tcPr>
          <w:p>
            <w:pPr>
              <w:spacing w:after="0"/>
              <w:rPr>
                <w:sz w:val="1"/>
                <w:szCs w:val="1"/>
                <w:color w:val="auto"/>
              </w:rPr>
            </w:pPr>
          </w:p>
        </w:tc>
      </w:tr>
      <w:tr>
        <w:trPr>
          <w:trHeight w:val="202"/>
        </w:trPr>
        <w:tc>
          <w:tcPr>
            <w:tcW w:w="4320" w:type="dxa"/>
            <w:vAlign w:val="bottom"/>
          </w:tcPr>
          <w:p>
            <w:pPr>
              <w:spacing w:after="0"/>
              <w:rPr>
                <w:sz w:val="17"/>
                <w:szCs w:val="17"/>
                <w:color w:val="auto"/>
              </w:rPr>
            </w:pPr>
          </w:p>
        </w:tc>
        <w:tc>
          <w:tcPr>
            <w:tcW w:w="7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7100" w:type="dxa"/>
            <w:vAlign w:val="bottom"/>
          </w:tcPr>
          <w:p>
            <w:pPr>
              <w:ind w:left="220"/>
              <w:spacing w:after="0"/>
              <w:rPr>
                <w:sz w:val="20"/>
                <w:szCs w:val="20"/>
                <w:color w:val="auto"/>
              </w:rPr>
            </w:pPr>
            <w:r>
              <w:rPr>
                <w:rFonts w:ascii="Arial" w:cs="Arial" w:eastAsia="Arial" w:hAnsi="Arial"/>
                <w:sz w:val="18"/>
                <w:szCs w:val="18"/>
                <w:color w:val="auto"/>
                <w:w w:val="95"/>
              </w:rPr>
              <w:t>(All signatures must be guaranteed by a guarantor institution participating in the Securities</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7100" w:type="dxa"/>
            <w:vAlign w:val="bottom"/>
          </w:tcPr>
          <w:p>
            <w:pPr>
              <w:ind w:left="220"/>
              <w:spacing w:after="0"/>
              <w:rPr>
                <w:sz w:val="20"/>
                <w:szCs w:val="20"/>
                <w:color w:val="auto"/>
              </w:rPr>
            </w:pPr>
            <w:r>
              <w:rPr>
                <w:rFonts w:ascii="Arial" w:cs="Arial" w:eastAsia="Arial" w:hAnsi="Arial"/>
                <w:sz w:val="18"/>
                <w:szCs w:val="18"/>
                <w:color w:val="auto"/>
                <w:w w:val="96"/>
              </w:rPr>
              <w:t>Transfer Agents Medallion Program or in such other guarantee program acceptable to the</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p>
        </w:tc>
        <w:tc>
          <w:tcPr>
            <w:tcW w:w="7100" w:type="dxa"/>
            <w:vAlign w:val="bottom"/>
          </w:tcPr>
          <w:p>
            <w:pPr>
              <w:ind w:left="220"/>
              <w:spacing w:after="0"/>
              <w:rPr>
                <w:sz w:val="20"/>
                <w:szCs w:val="20"/>
                <w:color w:val="auto"/>
              </w:rPr>
            </w:pPr>
            <w:r>
              <w:rPr>
                <w:rFonts w:ascii="Arial" w:cs="Arial" w:eastAsia="Arial" w:hAnsi="Arial"/>
                <w:sz w:val="18"/>
                <w:szCs w:val="18"/>
                <w:color w:val="auto"/>
              </w:rPr>
              <w:t>Trustee.)</w:t>
            </w:r>
          </w:p>
        </w:tc>
        <w:tc>
          <w:tcPr>
            <w:tcW w:w="0" w:type="dxa"/>
            <w:vAlign w:val="bottom"/>
          </w:tcPr>
          <w:p>
            <w:pPr>
              <w:spacing w:after="0"/>
              <w:rPr>
                <w:sz w:val="1"/>
                <w:szCs w:val="1"/>
                <w:color w:val="auto"/>
              </w:rPr>
            </w:pPr>
          </w:p>
        </w:tc>
      </w:tr>
      <w:tr>
        <w:trPr>
          <w:trHeight w:val="432"/>
        </w:trPr>
        <w:tc>
          <w:tcPr>
            <w:tcW w:w="43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320" w:type="dxa"/>
            <w:vAlign w:val="bottom"/>
            <w:shd w:val="clear" w:color="auto" w:fill="000000"/>
          </w:tcPr>
          <w:p>
            <w:pPr>
              <w:spacing w:after="0"/>
              <w:rPr>
                <w:sz w:val="5"/>
                <w:szCs w:val="5"/>
                <w:color w:val="auto"/>
              </w:rPr>
            </w:pPr>
          </w:p>
        </w:tc>
        <w:tc>
          <w:tcPr>
            <w:tcW w:w="7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FORM OF FUNDAMENTAL CHANGE REPURCHASE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Certificate No. of Note:</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If you want to elect to have the Original Principal Amount of this Note repurchased by the Company pursuant to Section 3.02 of the Second Supplemental Indenture, check the box: [_]</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you want to elect to have only part of the Original Principal Amount of this Note purchased by the Company pursuant to Section 3.02 of the Indenture, state the principal amount to be so purchased by the Company: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20" w:type="dxa"/>
            <w:vAlign w:val="bottom"/>
          </w:tcPr>
          <w:p>
            <w:pPr>
              <w:spacing w:after="0"/>
              <w:rPr>
                <w:sz w:val="17"/>
                <w:szCs w:val="17"/>
                <w:color w:val="auto"/>
              </w:rPr>
            </w:pPr>
          </w:p>
        </w:tc>
        <w:tc>
          <w:tcPr>
            <w:tcW w:w="1520" w:type="dxa"/>
            <w:vAlign w:val="bottom"/>
          </w:tcPr>
          <w:p>
            <w:pPr>
              <w:ind w:left="142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spacing w:after="0"/>
              <w:rPr>
                <w:sz w:val="17"/>
                <w:szCs w:val="17"/>
                <w:color w:val="auto"/>
              </w:rPr>
            </w:pPr>
          </w:p>
        </w:tc>
        <w:tc>
          <w:tcPr>
            <w:tcW w:w="5440" w:type="dxa"/>
            <w:vAlign w:val="bottom"/>
          </w:tcPr>
          <w:p>
            <w:pPr>
              <w:spacing w:after="0"/>
              <w:rPr>
                <w:sz w:val="17"/>
                <w:szCs w:val="17"/>
                <w:color w:val="auto"/>
              </w:rPr>
            </w:pPr>
          </w:p>
        </w:tc>
      </w:tr>
      <w:tr>
        <w:trPr>
          <w:trHeight w:val="453"/>
        </w:trPr>
        <w:tc>
          <w:tcPr>
            <w:tcW w:w="1820" w:type="dxa"/>
            <w:vAlign w:val="bottom"/>
          </w:tcPr>
          <w:p>
            <w:pPr>
              <w:spacing w:after="0"/>
              <w:rPr>
                <w:sz w:val="24"/>
                <w:szCs w:val="24"/>
                <w:color w:val="auto"/>
              </w:rPr>
            </w:pPr>
          </w:p>
        </w:tc>
        <w:tc>
          <w:tcPr>
            <w:tcW w:w="7860" w:type="dxa"/>
            <w:vAlign w:val="bottom"/>
            <w:gridSpan w:val="3"/>
          </w:tcPr>
          <w:p>
            <w:pPr>
              <w:ind w:left="1420"/>
              <w:spacing w:after="0"/>
              <w:rPr>
                <w:sz w:val="20"/>
                <w:szCs w:val="20"/>
                <w:color w:val="auto"/>
              </w:rPr>
            </w:pPr>
            <w:r>
              <w:rPr>
                <w:rFonts w:ascii="Arial" w:cs="Arial" w:eastAsia="Arial" w:hAnsi="Arial"/>
                <w:sz w:val="18"/>
                <w:szCs w:val="18"/>
                <w:color w:val="auto"/>
              </w:rPr>
              <w:t>(in an integral multiple of $1,000)</w:t>
            </w:r>
          </w:p>
        </w:tc>
      </w:tr>
      <w:tr>
        <w:trPr>
          <w:trHeight w:val="418"/>
        </w:trPr>
        <w:tc>
          <w:tcPr>
            <w:tcW w:w="1820" w:type="dxa"/>
            <w:vAlign w:val="bottom"/>
          </w:tcPr>
          <w:p>
            <w:pPr>
              <w:spacing w:after="0"/>
              <w:rPr>
                <w:sz w:val="24"/>
                <w:szCs w:val="24"/>
                <w:color w:val="auto"/>
              </w:rPr>
            </w:pPr>
          </w:p>
        </w:tc>
        <w:tc>
          <w:tcPr>
            <w:tcW w:w="7860" w:type="dxa"/>
            <w:vAlign w:val="bottom"/>
            <w:gridSpan w:val="3"/>
          </w:tcPr>
          <w:p>
            <w:pPr>
              <w:ind w:left="4000"/>
              <w:spacing w:after="0"/>
              <w:rPr>
                <w:sz w:val="20"/>
                <w:szCs w:val="20"/>
                <w:color w:val="auto"/>
              </w:rPr>
            </w:pPr>
            <w:r>
              <w:rPr>
                <w:rFonts w:ascii="Arial" w:cs="Arial" w:eastAsia="Arial" w:hAnsi="Arial"/>
                <w:sz w:val="18"/>
                <w:szCs w:val="18"/>
                <w:color w:val="auto"/>
              </w:rPr>
              <w:t>______________________________________</w:t>
            </w:r>
          </w:p>
        </w:tc>
      </w:tr>
      <w:tr>
        <w:trPr>
          <w:trHeight w:val="230"/>
        </w:trPr>
        <w:tc>
          <w:tcPr>
            <w:tcW w:w="18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40" w:type="dxa"/>
            <w:vAlign w:val="bottom"/>
          </w:tcPr>
          <w:p>
            <w:pPr>
              <w:ind w:left="1580"/>
              <w:spacing w:after="0"/>
              <w:rPr>
                <w:sz w:val="20"/>
                <w:szCs w:val="20"/>
                <w:color w:val="auto"/>
              </w:rPr>
            </w:pPr>
            <w:r>
              <w:rPr>
                <w:rFonts w:ascii="Arial" w:cs="Arial" w:eastAsia="Arial" w:hAnsi="Arial"/>
                <w:sz w:val="18"/>
                <w:szCs w:val="18"/>
                <w:color w:val="auto"/>
              </w:rPr>
              <w:t>Signature(s):</w:t>
            </w:r>
          </w:p>
        </w:tc>
      </w:tr>
      <w:tr>
        <w:trPr>
          <w:trHeight w:val="418"/>
        </w:trPr>
        <w:tc>
          <w:tcPr>
            <w:tcW w:w="1820" w:type="dxa"/>
            <w:vAlign w:val="bottom"/>
          </w:tcPr>
          <w:p>
            <w:pPr>
              <w:spacing w:after="0"/>
              <w:rPr>
                <w:sz w:val="24"/>
                <w:szCs w:val="24"/>
                <w:color w:val="auto"/>
              </w:rPr>
            </w:pPr>
          </w:p>
        </w:tc>
        <w:tc>
          <w:tcPr>
            <w:tcW w:w="7860" w:type="dxa"/>
            <w:vAlign w:val="bottom"/>
            <w:gridSpan w:val="3"/>
          </w:tcPr>
          <w:p>
            <w:pPr>
              <w:ind w:left="4000"/>
              <w:spacing w:after="0"/>
              <w:rPr>
                <w:sz w:val="20"/>
                <w:szCs w:val="20"/>
                <w:color w:val="auto"/>
              </w:rPr>
            </w:pPr>
            <w:r>
              <w:rPr>
                <w:rFonts w:ascii="Arial" w:cs="Arial" w:eastAsia="Arial" w:hAnsi="Arial"/>
                <w:sz w:val="18"/>
                <w:szCs w:val="18"/>
                <w:color w:val="auto"/>
              </w:rPr>
              <w:t>______________________________________</w:t>
            </w: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Date:</w:t>
            </w:r>
          </w:p>
        </w:tc>
        <w:tc>
          <w:tcPr>
            <w:tcW w:w="1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40" w:type="dxa"/>
            <w:vAlign w:val="bottom"/>
          </w:tcPr>
          <w:p>
            <w:pPr>
              <w:ind w:left="1580"/>
              <w:spacing w:after="0"/>
              <w:rPr>
                <w:sz w:val="20"/>
                <w:szCs w:val="20"/>
                <w:color w:val="auto"/>
              </w:rPr>
            </w:pPr>
            <w:r>
              <w:rPr>
                <w:rFonts w:ascii="Arial" w:cs="Arial" w:eastAsia="Arial" w:hAnsi="Arial"/>
                <w:sz w:val="18"/>
                <w:szCs w:val="18"/>
                <w:color w:val="auto"/>
                <w:w w:val="89"/>
              </w:rPr>
              <w:t>(Sign exactly as your name(s) appear(s) on this Note)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Signature(s) guaranteed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_____________________________________________</w:t>
      </w:r>
    </w:p>
    <w:p>
      <w:pPr>
        <w:spacing w:after="0" w:line="9" w:lineRule="exact"/>
        <w:rPr>
          <w:sz w:val="20"/>
          <w:szCs w:val="20"/>
          <w:color w:val="auto"/>
        </w:rPr>
      </w:pPr>
    </w:p>
    <w:p>
      <w:pPr>
        <w:ind w:left="4540" w:right="340"/>
        <w:spacing w:after="0" w:line="255" w:lineRule="auto"/>
        <w:rPr>
          <w:sz w:val="20"/>
          <w:szCs w:val="20"/>
          <w:color w:val="auto"/>
        </w:rPr>
      </w:pPr>
      <w:r>
        <w:rPr>
          <w:rFonts w:ascii="Arial" w:cs="Arial" w:eastAsia="Arial" w:hAnsi="Arial"/>
          <w:sz w:val="18"/>
          <w:szCs w:val="18"/>
          <w:color w:val="auto"/>
        </w:rPr>
        <w:t>(All signatures must be guaranteed by a guarantor institution participating in the Securities Transfer Agents Medallion Program or in such other guarantee program acceptable to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815975</wp:posOffset>
            </wp:positionV>
            <wp:extent cx="7246620" cy="431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FORM OF REPURCHASE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Certificate No. of Note:</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If you want to elect to have the Original Principal Amount of this Note repurchased by the Company pursuant to Section 3.03 of the Second Supplemental Indenture, check the box: [_]</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you want to elect to have only part of the Original Principal Amount of this Note purchased by the Company pursuant to Section 3.03 of the Indenture, state the principal amount to be so purchased by the Company: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80" w:type="dxa"/>
            <w:vAlign w:val="bottom"/>
          </w:tcPr>
          <w:p>
            <w:pPr>
              <w:spacing w:after="0"/>
              <w:rPr>
                <w:sz w:val="17"/>
                <w:szCs w:val="17"/>
                <w:color w:val="auto"/>
              </w:rPr>
            </w:pPr>
          </w:p>
        </w:tc>
        <w:tc>
          <w:tcPr>
            <w:tcW w:w="860" w:type="dxa"/>
            <w:vAlign w:val="bottom"/>
          </w:tcPr>
          <w:p>
            <w:pPr>
              <w:ind w:left="76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spacing w:after="0"/>
              <w:rPr>
                <w:sz w:val="17"/>
                <w:szCs w:val="17"/>
                <w:color w:val="auto"/>
              </w:rPr>
            </w:pPr>
          </w:p>
        </w:tc>
        <w:tc>
          <w:tcPr>
            <w:tcW w:w="7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480" w:type="dxa"/>
            <w:vAlign w:val="bottom"/>
          </w:tcPr>
          <w:p>
            <w:pPr>
              <w:spacing w:after="0"/>
              <w:rPr>
                <w:sz w:val="24"/>
                <w:szCs w:val="24"/>
                <w:color w:val="auto"/>
              </w:rPr>
            </w:pPr>
          </w:p>
        </w:tc>
        <w:tc>
          <w:tcPr>
            <w:tcW w:w="8940" w:type="dxa"/>
            <w:vAlign w:val="bottom"/>
            <w:gridSpan w:val="3"/>
          </w:tcPr>
          <w:p>
            <w:pPr>
              <w:ind w:left="760"/>
              <w:spacing w:after="0"/>
              <w:rPr>
                <w:sz w:val="20"/>
                <w:szCs w:val="20"/>
                <w:color w:val="auto"/>
              </w:rPr>
            </w:pPr>
            <w:r>
              <w:rPr>
                <w:rFonts w:ascii="Arial" w:cs="Arial" w:eastAsia="Arial" w:hAnsi="Arial"/>
                <w:sz w:val="18"/>
                <w:szCs w:val="18"/>
                <w:color w:val="auto"/>
              </w:rPr>
              <w:t>(in an integral multiple of $1,000)</w:t>
            </w:r>
          </w:p>
        </w:tc>
        <w:tc>
          <w:tcPr>
            <w:tcW w:w="0" w:type="dxa"/>
            <w:vAlign w:val="bottom"/>
          </w:tcPr>
          <w:p>
            <w:pPr>
              <w:spacing w:after="0"/>
              <w:rPr>
                <w:sz w:val="1"/>
                <w:szCs w:val="1"/>
                <w:color w:val="auto"/>
              </w:rPr>
            </w:pPr>
          </w:p>
        </w:tc>
      </w:tr>
      <w:tr>
        <w:trPr>
          <w:trHeight w:val="418"/>
        </w:trPr>
        <w:tc>
          <w:tcPr>
            <w:tcW w:w="2480" w:type="dxa"/>
            <w:vAlign w:val="bottom"/>
          </w:tcPr>
          <w:p>
            <w:pPr>
              <w:spacing w:after="0"/>
              <w:rPr>
                <w:sz w:val="24"/>
                <w:szCs w:val="24"/>
                <w:color w:val="auto"/>
              </w:rPr>
            </w:pPr>
          </w:p>
        </w:tc>
        <w:tc>
          <w:tcPr>
            <w:tcW w:w="8940" w:type="dxa"/>
            <w:vAlign w:val="bottom"/>
            <w:gridSpan w:val="3"/>
          </w:tcPr>
          <w:p>
            <w:pPr>
              <w:ind w:left="3340"/>
              <w:spacing w:after="0"/>
              <w:rPr>
                <w:sz w:val="20"/>
                <w:szCs w:val="20"/>
                <w:color w:val="auto"/>
              </w:rPr>
            </w:pPr>
            <w:r>
              <w:rPr>
                <w:rFonts w:ascii="Arial" w:cs="Arial" w:eastAsia="Arial" w:hAnsi="Arial"/>
                <w:sz w:val="18"/>
                <w:szCs w:val="18"/>
                <w:color w:val="auto"/>
              </w:rPr>
              <w:t>______________________________________</w:t>
            </w: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180" w:type="dxa"/>
            <w:vAlign w:val="bottom"/>
          </w:tcPr>
          <w:p>
            <w:pPr>
              <w:ind w:left="1580"/>
              <w:spacing w:after="0"/>
              <w:rPr>
                <w:sz w:val="20"/>
                <w:szCs w:val="20"/>
                <w:color w:val="auto"/>
              </w:rPr>
            </w:pPr>
            <w:r>
              <w:rPr>
                <w:rFonts w:ascii="Arial" w:cs="Arial" w:eastAsia="Arial" w:hAnsi="Arial"/>
                <w:sz w:val="18"/>
                <w:szCs w:val="18"/>
                <w:color w:val="auto"/>
              </w:rPr>
              <w:t>Signature(s):</w:t>
            </w:r>
          </w:p>
        </w:tc>
        <w:tc>
          <w:tcPr>
            <w:tcW w:w="0" w:type="dxa"/>
            <w:vAlign w:val="bottom"/>
          </w:tcPr>
          <w:p>
            <w:pPr>
              <w:spacing w:after="0"/>
              <w:rPr>
                <w:sz w:val="1"/>
                <w:szCs w:val="1"/>
                <w:color w:val="auto"/>
              </w:rPr>
            </w:pPr>
          </w:p>
        </w:tc>
      </w:tr>
      <w:tr>
        <w:trPr>
          <w:trHeight w:val="418"/>
        </w:trPr>
        <w:tc>
          <w:tcPr>
            <w:tcW w:w="2480" w:type="dxa"/>
            <w:vAlign w:val="bottom"/>
          </w:tcPr>
          <w:p>
            <w:pPr>
              <w:spacing w:after="0"/>
              <w:rPr>
                <w:sz w:val="24"/>
                <w:szCs w:val="24"/>
                <w:color w:val="auto"/>
              </w:rPr>
            </w:pPr>
          </w:p>
        </w:tc>
        <w:tc>
          <w:tcPr>
            <w:tcW w:w="8940" w:type="dxa"/>
            <w:vAlign w:val="bottom"/>
            <w:gridSpan w:val="3"/>
          </w:tcPr>
          <w:p>
            <w:pPr>
              <w:ind w:left="3340"/>
              <w:spacing w:after="0"/>
              <w:rPr>
                <w:sz w:val="20"/>
                <w:szCs w:val="20"/>
                <w:color w:val="auto"/>
              </w:rPr>
            </w:pPr>
            <w:r>
              <w:rPr>
                <w:rFonts w:ascii="Arial" w:cs="Arial" w:eastAsia="Arial" w:hAnsi="Arial"/>
                <w:sz w:val="18"/>
                <w:szCs w:val="18"/>
                <w:color w:val="auto"/>
              </w:rPr>
              <w:t>______________________________________</w:t>
            </w: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Date:</w:t>
            </w:r>
          </w:p>
        </w:tc>
        <w:tc>
          <w:tcPr>
            <w:tcW w:w="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180" w:type="dxa"/>
            <w:vAlign w:val="bottom"/>
          </w:tcPr>
          <w:p>
            <w:pPr>
              <w:ind w:left="1580"/>
              <w:spacing w:after="0"/>
              <w:rPr>
                <w:sz w:val="20"/>
                <w:szCs w:val="20"/>
                <w:color w:val="auto"/>
              </w:rPr>
            </w:pPr>
            <w:r>
              <w:rPr>
                <w:rFonts w:ascii="Arial" w:cs="Arial" w:eastAsia="Arial" w:hAnsi="Arial"/>
                <w:sz w:val="18"/>
                <w:szCs w:val="18"/>
                <w:color w:val="auto"/>
              </w:rPr>
              <w:t>(Sign exactly as your name(s) appear(s) on this Note)</w:t>
            </w:r>
          </w:p>
        </w:tc>
        <w:tc>
          <w:tcPr>
            <w:tcW w:w="0" w:type="dxa"/>
            <w:vAlign w:val="bottom"/>
          </w:tcPr>
          <w:p>
            <w:pPr>
              <w:spacing w:after="0"/>
              <w:rPr>
                <w:sz w:val="1"/>
                <w:szCs w:val="1"/>
                <w:color w:val="auto"/>
              </w:rPr>
            </w:pPr>
          </w:p>
        </w:tc>
      </w:tr>
      <w:tr>
        <w:trPr>
          <w:trHeight w:val="878"/>
        </w:trPr>
        <w:tc>
          <w:tcPr>
            <w:tcW w:w="2480" w:type="dxa"/>
            <w:vAlign w:val="bottom"/>
          </w:tcPr>
          <w:p>
            <w:pPr>
              <w:spacing w:after="0"/>
              <w:rPr>
                <w:sz w:val="20"/>
                <w:szCs w:val="20"/>
                <w:color w:val="auto"/>
              </w:rPr>
            </w:pPr>
            <w:r>
              <w:rPr>
                <w:rFonts w:ascii="Arial" w:cs="Arial" w:eastAsia="Arial" w:hAnsi="Arial"/>
                <w:sz w:val="18"/>
                <w:szCs w:val="18"/>
                <w:color w:val="auto"/>
              </w:rPr>
              <w:t>Signature(s) guaranteed</w:t>
            </w: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480" w:type="dxa"/>
            <w:vAlign w:val="bottom"/>
          </w:tcPr>
          <w:p>
            <w:pPr>
              <w:spacing w:after="0"/>
              <w:rPr>
                <w:sz w:val="20"/>
                <w:szCs w:val="20"/>
                <w:color w:val="auto"/>
              </w:rPr>
            </w:pPr>
            <w:r>
              <w:rPr>
                <w:rFonts w:ascii="Arial" w:cs="Arial" w:eastAsia="Arial" w:hAnsi="Arial"/>
                <w:sz w:val="18"/>
                <w:szCs w:val="18"/>
                <w:color w:val="auto"/>
              </w:rPr>
              <w:t>by:</w:t>
            </w:r>
          </w:p>
        </w:tc>
        <w:tc>
          <w:tcPr>
            <w:tcW w:w="8940" w:type="dxa"/>
            <w:vAlign w:val="bottom"/>
            <w:gridSpan w:val="3"/>
            <w:vMerge w:val="restart"/>
          </w:tcPr>
          <w:p>
            <w:pPr>
              <w:ind w:left="2060"/>
              <w:spacing w:after="0"/>
              <w:rPr>
                <w:sz w:val="20"/>
                <w:szCs w:val="20"/>
                <w:color w:val="auto"/>
              </w:rPr>
            </w:pPr>
            <w:r>
              <w:rPr>
                <w:rFonts w:ascii="Arial" w:cs="Arial" w:eastAsia="Arial" w:hAnsi="Arial"/>
                <w:sz w:val="18"/>
                <w:szCs w:val="18"/>
                <w:color w:val="auto"/>
              </w:rPr>
              <w:t>_______________________________________________</w:t>
            </w:r>
          </w:p>
        </w:tc>
        <w:tc>
          <w:tcPr>
            <w:tcW w:w="0" w:type="dxa"/>
            <w:vAlign w:val="bottom"/>
          </w:tcPr>
          <w:p>
            <w:pPr>
              <w:spacing w:after="0"/>
              <w:rPr>
                <w:sz w:val="1"/>
                <w:szCs w:val="1"/>
                <w:color w:val="auto"/>
              </w:rPr>
            </w:pPr>
          </w:p>
        </w:tc>
      </w:tr>
      <w:tr>
        <w:trPr>
          <w:trHeight w:val="202"/>
        </w:trPr>
        <w:tc>
          <w:tcPr>
            <w:tcW w:w="2480" w:type="dxa"/>
            <w:vAlign w:val="bottom"/>
          </w:tcPr>
          <w:p>
            <w:pPr>
              <w:spacing w:after="0"/>
              <w:rPr>
                <w:sz w:val="17"/>
                <w:szCs w:val="17"/>
                <w:color w:val="auto"/>
              </w:rPr>
            </w:pPr>
          </w:p>
        </w:tc>
        <w:tc>
          <w:tcPr>
            <w:tcW w:w="89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180" w:type="dxa"/>
            <w:vAlign w:val="bottom"/>
          </w:tcPr>
          <w:p>
            <w:pPr>
              <w:ind w:left="300"/>
              <w:spacing w:after="0"/>
              <w:rPr>
                <w:sz w:val="20"/>
                <w:szCs w:val="20"/>
                <w:color w:val="auto"/>
              </w:rPr>
            </w:pPr>
            <w:r>
              <w:rPr>
                <w:rFonts w:ascii="Arial" w:cs="Arial" w:eastAsia="Arial" w:hAnsi="Arial"/>
                <w:sz w:val="18"/>
                <w:szCs w:val="18"/>
                <w:color w:val="auto"/>
                <w:w w:val="95"/>
              </w:rPr>
              <w:t>(All signatures must be guaranteed by a guarantor institution participating in the Securities</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180" w:type="dxa"/>
            <w:vAlign w:val="bottom"/>
          </w:tcPr>
          <w:p>
            <w:pPr>
              <w:ind w:left="300"/>
              <w:spacing w:after="0"/>
              <w:rPr>
                <w:sz w:val="20"/>
                <w:szCs w:val="20"/>
                <w:color w:val="auto"/>
              </w:rPr>
            </w:pPr>
            <w:r>
              <w:rPr>
                <w:rFonts w:ascii="Arial" w:cs="Arial" w:eastAsia="Arial" w:hAnsi="Arial"/>
                <w:sz w:val="18"/>
                <w:szCs w:val="18"/>
                <w:color w:val="auto"/>
                <w:w w:val="96"/>
              </w:rPr>
              <w:t>Transfer Agents Medallion Program or in such other guarantee program acceptable to the</w:t>
            </w: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180" w:type="dxa"/>
            <w:vAlign w:val="bottom"/>
          </w:tcPr>
          <w:p>
            <w:pPr>
              <w:ind w:left="300"/>
              <w:spacing w:after="0"/>
              <w:rPr>
                <w:sz w:val="20"/>
                <w:szCs w:val="20"/>
                <w:color w:val="auto"/>
              </w:rPr>
            </w:pPr>
            <w:r>
              <w:rPr>
                <w:rFonts w:ascii="Arial" w:cs="Arial" w:eastAsia="Arial" w:hAnsi="Arial"/>
                <w:sz w:val="18"/>
                <w:szCs w:val="18"/>
                <w:color w:val="auto"/>
              </w:rPr>
              <w:t>Trustee.)</w:t>
            </w:r>
          </w:p>
        </w:tc>
        <w:tc>
          <w:tcPr>
            <w:tcW w:w="0" w:type="dxa"/>
            <w:vAlign w:val="bottom"/>
          </w:tcPr>
          <w:p>
            <w:pPr>
              <w:spacing w:after="0"/>
              <w:rPr>
                <w:sz w:val="1"/>
                <w:szCs w:val="1"/>
                <w:color w:val="auto"/>
              </w:rPr>
            </w:pPr>
          </w:p>
        </w:tc>
      </w:tr>
      <w:tr>
        <w:trPr>
          <w:trHeight w:val="864"/>
        </w:trPr>
        <w:tc>
          <w:tcPr>
            <w:tcW w:w="2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48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718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66" w:name="page67"/>
    <w:bookmarkEnd w:id="66"/>
    <w:p>
      <w:pPr>
        <w:jc w:val="center"/>
        <w:ind w:right="-59"/>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OID LEGEND</w:t>
      </w:r>
    </w:p>
    <w:p>
      <w:pPr>
        <w:spacing w:after="0" w:line="229"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THIS NOTE WAS ISSUED WITH ORIGINAL ISSUE DISCOUNT (“OID”) FOR UNITED STATES FEDERAL INCOME TAX PURPOSES. UPON REQUEST, THE COMPANY WILL PROMPTLY MAKE AVAILABLE TO A HOLDER OF THIS NOTE INFORMATION REGARDING THE ISSUE PRICE, THE AMOUNT OF OID, THE ISSUE DATE AND THE YIELD TO MATURITY OF THIS NOTE. HOLDERS SHOULD CONTACT THE [CHIEF FINANCIAL OFFICER] AT [STREET], [CITY], [STATE] [ZIP]. THE EXISTENCE OR RECOGNITION OF OID FOR UNITED STATES FEDERAL INCOME TAX PURPOSES SHALL NOT COMPROMISE OR IMPAIR THE AMOUNT OF THE FULL PRINCIPAL OBLIGATION OF THE COMPANY OR THE GUARANTORS, IF ANY, HEREUNDER. FOR THE AVOIDANCE OF DOUBT, IN ANY BANKRUPTCY PROCEEDING</w:t>
      </w:r>
    </w:p>
    <w:p>
      <w:pPr>
        <w:spacing w:after="0" w:line="1" w:lineRule="exact"/>
        <w:rPr>
          <w:sz w:val="20"/>
          <w:szCs w:val="20"/>
          <w:color w:val="auto"/>
        </w:rPr>
      </w:pPr>
    </w:p>
    <w:p>
      <w:pPr>
        <w:spacing w:after="0" w:line="205" w:lineRule="auto"/>
        <w:rPr>
          <w:sz w:val="20"/>
          <w:szCs w:val="20"/>
          <w:color w:val="auto"/>
        </w:rPr>
      </w:pPr>
      <w:r>
        <w:rPr>
          <w:rFonts w:ascii="Arial" w:cs="Arial" w:eastAsia="Arial" w:hAnsi="Arial"/>
          <w:sz w:val="18"/>
          <w:szCs w:val="18"/>
          <w:color w:val="auto"/>
        </w:rPr>
        <w:t>INVOLVING THE COMPANY, ANY OID [IN THIS FACE VALUE DEBT EXCHANGE]</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SHALL, TO THE EXTENT PERMITTED BY APPLICABLE LAW, (A) NOT BE DEEMED TO BE UNMATURED INTEREST AND (B) THUS BE DEEMED AN ALLOWED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151" w:lineRule="exact"/>
        <w:rPr>
          <w:sz w:val="20"/>
          <w:szCs w:val="20"/>
          <w:color w:val="auto"/>
        </w:rPr>
      </w:pPr>
    </w:p>
    <w:p>
      <w:pPr>
        <w:ind w:left="500" w:hanging="492"/>
        <w:spacing w:after="0"/>
        <w:tabs>
          <w:tab w:leader="none" w:pos="500" w:val="left"/>
        </w:tabs>
        <w:numPr>
          <w:ilvl w:val="0"/>
          <w:numId w:val="93"/>
        </w:numPr>
        <w:rPr>
          <w:rFonts w:ascii="Arial" w:cs="Arial" w:eastAsia="Arial" w:hAnsi="Arial"/>
          <w:sz w:val="30"/>
          <w:szCs w:val="30"/>
          <w:color w:val="auto"/>
          <w:vertAlign w:val="superscript"/>
        </w:rPr>
      </w:pPr>
      <w:r>
        <w:rPr>
          <w:rFonts w:ascii="Arial" w:cs="Arial" w:eastAsia="Arial" w:hAnsi="Arial"/>
          <w:sz w:val="18"/>
          <w:szCs w:val="18"/>
          <w:color w:val="auto"/>
        </w:rPr>
        <w:t>Insert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431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67" w:name="page68"/>
    <w:bookmarkEnd w:id="67"/>
    <w:p>
      <w:pPr>
        <w:ind w:left="10620"/>
        <w:spacing w:after="0"/>
        <w:rPr>
          <w:sz w:val="20"/>
          <w:szCs w:val="20"/>
          <w:color w:val="auto"/>
        </w:rPr>
      </w:pPr>
      <w:r>
        <w:rPr>
          <w:rFonts w:ascii="Arial" w:cs="Arial" w:eastAsia="Arial" w:hAnsi="Arial"/>
          <w:sz w:val="15"/>
          <w:szCs w:val="15"/>
          <w:b w:val="1"/>
          <w:bCs w:val="1"/>
          <w:color w:val="auto"/>
        </w:rPr>
        <w:t>Schedule I</w:t>
      </w:r>
    </w:p>
    <w:p>
      <w:pPr>
        <w:spacing w:after="0" w:line="2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Accreted Principal Amount per $1,000 principal amount of Notes as of the specified dates during the period from the Issue Date to February 6,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Accretion Table</w:t>
      </w:r>
    </w:p>
    <w:p>
      <w:pPr>
        <w:spacing w:after="0" w:line="22" w:lineRule="exact"/>
        <w:rPr>
          <w:sz w:val="20"/>
          <w:szCs w:val="20"/>
          <w:color w:val="auto"/>
        </w:rPr>
      </w:pPr>
    </w:p>
    <w:tbl>
      <w:tblPr>
        <w:tblLayout w:type="fixed"/>
        <w:tblInd w:w="2280" w:type="dxa"/>
        <w:tblCellMar>
          <w:top w:w="0" w:type="dxa"/>
          <w:left w:w="0" w:type="dxa"/>
          <w:bottom w:w="0" w:type="dxa"/>
          <w:right w:w="0" w:type="dxa"/>
        </w:tblCellMar>
      </w:tblPr>
      <w:tr>
        <w:trPr>
          <w:trHeight w:val="207"/>
        </w:trPr>
        <w:tc>
          <w:tcPr>
            <w:tcW w:w="1700" w:type="dxa"/>
            <w:vAlign w:val="bottom"/>
          </w:tcPr>
          <w:p>
            <w:pPr>
              <w:jc w:val="right"/>
              <w:ind w:right="970"/>
              <w:spacing w:after="0"/>
              <w:rPr>
                <w:sz w:val="20"/>
                <w:szCs w:val="20"/>
                <w:color w:val="auto"/>
              </w:rPr>
            </w:pPr>
            <w:r>
              <w:rPr>
                <w:rFonts w:ascii="Arial" w:cs="Arial" w:eastAsia="Arial" w:hAnsi="Arial"/>
                <w:sz w:val="18"/>
                <w:szCs w:val="18"/>
                <w:color w:val="auto"/>
                <w:w w:val="88"/>
              </w:rPr>
              <w:t>3/6/2018</w:t>
            </w:r>
          </w:p>
        </w:tc>
        <w:tc>
          <w:tcPr>
            <w:tcW w:w="1720" w:type="dxa"/>
            <w:vAlign w:val="bottom"/>
          </w:tcPr>
          <w:p>
            <w:pPr>
              <w:jc w:val="right"/>
              <w:spacing w:after="0"/>
              <w:rPr>
                <w:sz w:val="20"/>
                <w:szCs w:val="20"/>
                <w:color w:val="auto"/>
              </w:rPr>
            </w:pPr>
            <w:r>
              <w:rPr>
                <w:rFonts w:ascii="Arial" w:cs="Arial" w:eastAsia="Arial" w:hAnsi="Arial"/>
                <w:sz w:val="18"/>
                <w:szCs w:val="18"/>
                <w:color w:val="auto"/>
              </w:rPr>
              <w:t>$1000.00</w:t>
            </w:r>
          </w:p>
        </w:tc>
      </w:tr>
      <w:tr>
        <w:trPr>
          <w:trHeight w:val="216"/>
        </w:trPr>
        <w:tc>
          <w:tcPr>
            <w:tcW w:w="1700" w:type="dxa"/>
            <w:vAlign w:val="bottom"/>
          </w:tcPr>
          <w:p>
            <w:pPr>
              <w:jc w:val="right"/>
              <w:ind w:right="970"/>
              <w:spacing w:after="0"/>
              <w:rPr>
                <w:sz w:val="20"/>
                <w:szCs w:val="20"/>
                <w:color w:val="auto"/>
              </w:rPr>
            </w:pPr>
            <w:r>
              <w:rPr>
                <w:rFonts w:ascii="Arial" w:cs="Arial" w:eastAsia="Arial" w:hAnsi="Arial"/>
                <w:sz w:val="18"/>
                <w:szCs w:val="18"/>
                <w:color w:val="auto"/>
                <w:w w:val="88"/>
              </w:rPr>
              <w:t>8/6/2018</w:t>
            </w:r>
          </w:p>
        </w:tc>
        <w:tc>
          <w:tcPr>
            <w:tcW w:w="1720" w:type="dxa"/>
            <w:vAlign w:val="bottom"/>
          </w:tcPr>
          <w:p>
            <w:pPr>
              <w:jc w:val="right"/>
              <w:spacing w:after="0"/>
              <w:rPr>
                <w:sz w:val="20"/>
                <w:szCs w:val="20"/>
                <w:color w:val="auto"/>
              </w:rPr>
            </w:pPr>
            <w:r>
              <w:rPr>
                <w:rFonts w:ascii="Arial" w:cs="Arial" w:eastAsia="Arial" w:hAnsi="Arial"/>
                <w:sz w:val="18"/>
                <w:szCs w:val="18"/>
                <w:color w:val="auto"/>
              </w:rPr>
              <w:t>1014.72</w:t>
            </w:r>
          </w:p>
        </w:tc>
      </w:tr>
      <w:tr>
        <w:trPr>
          <w:trHeight w:val="216"/>
        </w:trPr>
        <w:tc>
          <w:tcPr>
            <w:tcW w:w="1700" w:type="dxa"/>
            <w:vAlign w:val="bottom"/>
          </w:tcPr>
          <w:p>
            <w:pPr>
              <w:jc w:val="right"/>
              <w:ind w:right="970"/>
              <w:spacing w:after="0"/>
              <w:rPr>
                <w:sz w:val="20"/>
                <w:szCs w:val="20"/>
                <w:color w:val="auto"/>
              </w:rPr>
            </w:pPr>
            <w:r>
              <w:rPr>
                <w:rFonts w:ascii="Arial" w:cs="Arial" w:eastAsia="Arial" w:hAnsi="Arial"/>
                <w:sz w:val="18"/>
                <w:szCs w:val="18"/>
                <w:color w:val="auto"/>
                <w:w w:val="88"/>
              </w:rPr>
              <w:t>2/6/2019</w:t>
            </w:r>
          </w:p>
        </w:tc>
        <w:tc>
          <w:tcPr>
            <w:tcW w:w="1720" w:type="dxa"/>
            <w:vAlign w:val="bottom"/>
          </w:tcPr>
          <w:p>
            <w:pPr>
              <w:jc w:val="right"/>
              <w:spacing w:after="0"/>
              <w:rPr>
                <w:sz w:val="20"/>
                <w:szCs w:val="20"/>
                <w:color w:val="auto"/>
              </w:rPr>
            </w:pPr>
            <w:r>
              <w:rPr>
                <w:rFonts w:ascii="Arial" w:cs="Arial" w:eastAsia="Arial" w:hAnsi="Arial"/>
                <w:sz w:val="18"/>
                <w:szCs w:val="18"/>
                <w:color w:val="auto"/>
              </w:rPr>
              <w:t>1032.85</w:t>
            </w:r>
          </w:p>
        </w:tc>
      </w:tr>
      <w:tr>
        <w:trPr>
          <w:trHeight w:val="216"/>
        </w:trPr>
        <w:tc>
          <w:tcPr>
            <w:tcW w:w="1700" w:type="dxa"/>
            <w:vAlign w:val="bottom"/>
          </w:tcPr>
          <w:p>
            <w:pPr>
              <w:jc w:val="right"/>
              <w:ind w:right="970"/>
              <w:spacing w:after="0"/>
              <w:rPr>
                <w:sz w:val="20"/>
                <w:szCs w:val="20"/>
                <w:color w:val="auto"/>
              </w:rPr>
            </w:pPr>
            <w:r>
              <w:rPr>
                <w:rFonts w:ascii="Arial" w:cs="Arial" w:eastAsia="Arial" w:hAnsi="Arial"/>
                <w:sz w:val="18"/>
                <w:szCs w:val="18"/>
                <w:color w:val="auto"/>
                <w:w w:val="88"/>
              </w:rPr>
              <w:t>8/6/2019</w:t>
            </w:r>
          </w:p>
        </w:tc>
        <w:tc>
          <w:tcPr>
            <w:tcW w:w="1720" w:type="dxa"/>
            <w:vAlign w:val="bottom"/>
          </w:tcPr>
          <w:p>
            <w:pPr>
              <w:jc w:val="right"/>
              <w:spacing w:after="0"/>
              <w:rPr>
                <w:sz w:val="20"/>
                <w:szCs w:val="20"/>
                <w:color w:val="auto"/>
              </w:rPr>
            </w:pPr>
            <w:r>
              <w:rPr>
                <w:rFonts w:ascii="Arial" w:cs="Arial" w:eastAsia="Arial" w:hAnsi="Arial"/>
                <w:sz w:val="18"/>
                <w:szCs w:val="18"/>
                <w:color w:val="auto"/>
              </w:rPr>
              <w:t>1051.55</w:t>
            </w:r>
          </w:p>
        </w:tc>
      </w:tr>
      <w:tr>
        <w:trPr>
          <w:trHeight w:val="216"/>
        </w:trPr>
        <w:tc>
          <w:tcPr>
            <w:tcW w:w="1700" w:type="dxa"/>
            <w:vAlign w:val="bottom"/>
          </w:tcPr>
          <w:p>
            <w:pPr>
              <w:jc w:val="right"/>
              <w:ind w:right="970"/>
              <w:spacing w:after="0"/>
              <w:rPr>
                <w:sz w:val="20"/>
                <w:szCs w:val="20"/>
                <w:color w:val="auto"/>
              </w:rPr>
            </w:pPr>
            <w:r>
              <w:rPr>
                <w:rFonts w:ascii="Arial" w:cs="Arial" w:eastAsia="Arial" w:hAnsi="Arial"/>
                <w:sz w:val="18"/>
                <w:szCs w:val="18"/>
                <w:color w:val="auto"/>
                <w:w w:val="88"/>
              </w:rPr>
              <w:t>2/6/2020</w:t>
            </w:r>
          </w:p>
        </w:tc>
        <w:tc>
          <w:tcPr>
            <w:tcW w:w="1720" w:type="dxa"/>
            <w:vAlign w:val="bottom"/>
          </w:tcPr>
          <w:p>
            <w:pPr>
              <w:jc w:val="right"/>
              <w:spacing w:after="0"/>
              <w:rPr>
                <w:sz w:val="20"/>
                <w:szCs w:val="20"/>
                <w:color w:val="auto"/>
              </w:rPr>
            </w:pPr>
            <w:r>
              <w:rPr>
                <w:rFonts w:ascii="Arial" w:cs="Arial" w:eastAsia="Arial" w:hAnsi="Arial"/>
                <w:sz w:val="18"/>
                <w:szCs w:val="18"/>
                <w:color w:val="auto"/>
              </w:rPr>
              <w:t>1070.84</w:t>
            </w:r>
          </w:p>
        </w:tc>
      </w:tr>
      <w:tr>
        <w:trPr>
          <w:trHeight w:val="216"/>
        </w:trPr>
        <w:tc>
          <w:tcPr>
            <w:tcW w:w="1700" w:type="dxa"/>
            <w:vAlign w:val="bottom"/>
          </w:tcPr>
          <w:p>
            <w:pPr>
              <w:jc w:val="right"/>
              <w:ind w:right="970"/>
              <w:spacing w:after="0"/>
              <w:rPr>
                <w:sz w:val="20"/>
                <w:szCs w:val="20"/>
                <w:color w:val="auto"/>
              </w:rPr>
            </w:pPr>
            <w:r>
              <w:rPr>
                <w:rFonts w:ascii="Arial" w:cs="Arial" w:eastAsia="Arial" w:hAnsi="Arial"/>
                <w:sz w:val="18"/>
                <w:szCs w:val="18"/>
                <w:color w:val="auto"/>
                <w:w w:val="88"/>
              </w:rPr>
              <w:t>8/6/2020</w:t>
            </w:r>
          </w:p>
        </w:tc>
        <w:tc>
          <w:tcPr>
            <w:tcW w:w="1720" w:type="dxa"/>
            <w:vAlign w:val="bottom"/>
          </w:tcPr>
          <w:p>
            <w:pPr>
              <w:jc w:val="right"/>
              <w:spacing w:after="0"/>
              <w:rPr>
                <w:sz w:val="20"/>
                <w:szCs w:val="20"/>
                <w:color w:val="auto"/>
              </w:rPr>
            </w:pPr>
            <w:r>
              <w:rPr>
                <w:rFonts w:ascii="Arial" w:cs="Arial" w:eastAsia="Arial" w:hAnsi="Arial"/>
                <w:sz w:val="18"/>
                <w:szCs w:val="18"/>
                <w:color w:val="auto"/>
              </w:rPr>
              <w:t>1090.74</w:t>
            </w:r>
          </w:p>
        </w:tc>
      </w:tr>
      <w:tr>
        <w:trPr>
          <w:trHeight w:val="216"/>
        </w:trPr>
        <w:tc>
          <w:tcPr>
            <w:tcW w:w="1700" w:type="dxa"/>
            <w:vAlign w:val="bottom"/>
          </w:tcPr>
          <w:p>
            <w:pPr>
              <w:jc w:val="right"/>
              <w:ind w:right="970"/>
              <w:spacing w:after="0"/>
              <w:rPr>
                <w:sz w:val="20"/>
                <w:szCs w:val="20"/>
                <w:color w:val="auto"/>
              </w:rPr>
            </w:pPr>
            <w:r>
              <w:rPr>
                <w:rFonts w:ascii="Arial" w:cs="Arial" w:eastAsia="Arial" w:hAnsi="Arial"/>
                <w:sz w:val="18"/>
                <w:szCs w:val="18"/>
                <w:color w:val="auto"/>
                <w:w w:val="88"/>
              </w:rPr>
              <w:t>2/6/2021</w:t>
            </w:r>
          </w:p>
        </w:tc>
        <w:tc>
          <w:tcPr>
            <w:tcW w:w="1720" w:type="dxa"/>
            <w:vAlign w:val="bottom"/>
          </w:tcPr>
          <w:p>
            <w:pPr>
              <w:jc w:val="right"/>
              <w:spacing w:after="0"/>
              <w:rPr>
                <w:sz w:val="20"/>
                <w:szCs w:val="20"/>
                <w:color w:val="auto"/>
              </w:rPr>
            </w:pPr>
            <w:r>
              <w:rPr>
                <w:rFonts w:ascii="Arial" w:cs="Arial" w:eastAsia="Arial" w:hAnsi="Arial"/>
                <w:sz w:val="18"/>
                <w:szCs w:val="18"/>
                <w:color w:val="auto"/>
              </w:rPr>
              <w:t>1111.26</w:t>
            </w:r>
          </w:p>
        </w:tc>
      </w:tr>
      <w:tr>
        <w:trPr>
          <w:trHeight w:val="216"/>
        </w:trPr>
        <w:tc>
          <w:tcPr>
            <w:tcW w:w="1700" w:type="dxa"/>
            <w:vAlign w:val="bottom"/>
          </w:tcPr>
          <w:p>
            <w:pPr>
              <w:jc w:val="right"/>
              <w:ind w:right="970"/>
              <w:spacing w:after="0"/>
              <w:rPr>
                <w:sz w:val="20"/>
                <w:szCs w:val="20"/>
                <w:color w:val="auto"/>
              </w:rPr>
            </w:pPr>
            <w:r>
              <w:rPr>
                <w:rFonts w:ascii="Arial" w:cs="Arial" w:eastAsia="Arial" w:hAnsi="Arial"/>
                <w:sz w:val="18"/>
                <w:szCs w:val="18"/>
                <w:color w:val="auto"/>
                <w:w w:val="88"/>
              </w:rPr>
              <w:t>8/6/2021</w:t>
            </w:r>
          </w:p>
        </w:tc>
        <w:tc>
          <w:tcPr>
            <w:tcW w:w="1720" w:type="dxa"/>
            <w:vAlign w:val="bottom"/>
          </w:tcPr>
          <w:p>
            <w:pPr>
              <w:jc w:val="right"/>
              <w:spacing w:after="0"/>
              <w:rPr>
                <w:sz w:val="20"/>
                <w:szCs w:val="20"/>
                <w:color w:val="auto"/>
              </w:rPr>
            </w:pPr>
            <w:r>
              <w:rPr>
                <w:rFonts w:ascii="Arial" w:cs="Arial" w:eastAsia="Arial" w:hAnsi="Arial"/>
                <w:sz w:val="18"/>
                <w:szCs w:val="18"/>
                <w:color w:val="auto"/>
              </w:rPr>
              <w:t>1132.43</w:t>
            </w:r>
          </w:p>
        </w:tc>
      </w:tr>
      <w:tr>
        <w:trPr>
          <w:trHeight w:val="216"/>
        </w:trPr>
        <w:tc>
          <w:tcPr>
            <w:tcW w:w="1700" w:type="dxa"/>
            <w:vAlign w:val="bottom"/>
          </w:tcPr>
          <w:p>
            <w:pPr>
              <w:jc w:val="right"/>
              <w:ind w:right="970"/>
              <w:spacing w:after="0"/>
              <w:rPr>
                <w:sz w:val="20"/>
                <w:szCs w:val="20"/>
                <w:color w:val="auto"/>
              </w:rPr>
            </w:pPr>
            <w:r>
              <w:rPr>
                <w:rFonts w:ascii="Arial" w:cs="Arial" w:eastAsia="Arial" w:hAnsi="Arial"/>
                <w:sz w:val="18"/>
                <w:szCs w:val="18"/>
                <w:color w:val="auto"/>
                <w:w w:val="88"/>
              </w:rPr>
              <w:t>2/6/2022</w:t>
            </w:r>
          </w:p>
        </w:tc>
        <w:tc>
          <w:tcPr>
            <w:tcW w:w="1720" w:type="dxa"/>
            <w:vAlign w:val="bottom"/>
          </w:tcPr>
          <w:p>
            <w:pPr>
              <w:jc w:val="right"/>
              <w:spacing w:after="0"/>
              <w:rPr>
                <w:sz w:val="20"/>
                <w:szCs w:val="20"/>
                <w:color w:val="auto"/>
              </w:rPr>
            </w:pPr>
            <w:r>
              <w:rPr>
                <w:rFonts w:ascii="Arial" w:cs="Arial" w:eastAsia="Arial" w:hAnsi="Arial"/>
                <w:sz w:val="18"/>
                <w:szCs w:val="18"/>
                <w:color w:val="auto"/>
              </w:rPr>
              <w:t>1154.26</w:t>
            </w:r>
          </w:p>
        </w:tc>
      </w:tr>
      <w:tr>
        <w:trPr>
          <w:trHeight w:val="216"/>
        </w:trPr>
        <w:tc>
          <w:tcPr>
            <w:tcW w:w="1700" w:type="dxa"/>
            <w:vAlign w:val="bottom"/>
          </w:tcPr>
          <w:p>
            <w:pPr>
              <w:jc w:val="right"/>
              <w:ind w:right="970"/>
              <w:spacing w:after="0"/>
              <w:rPr>
                <w:sz w:val="20"/>
                <w:szCs w:val="20"/>
                <w:color w:val="auto"/>
              </w:rPr>
            </w:pPr>
            <w:r>
              <w:rPr>
                <w:rFonts w:ascii="Arial" w:cs="Arial" w:eastAsia="Arial" w:hAnsi="Arial"/>
                <w:sz w:val="18"/>
                <w:szCs w:val="18"/>
                <w:color w:val="auto"/>
                <w:w w:val="88"/>
              </w:rPr>
              <w:t>8/6/2022</w:t>
            </w:r>
          </w:p>
        </w:tc>
        <w:tc>
          <w:tcPr>
            <w:tcW w:w="1720" w:type="dxa"/>
            <w:vAlign w:val="bottom"/>
          </w:tcPr>
          <w:p>
            <w:pPr>
              <w:jc w:val="right"/>
              <w:spacing w:after="0"/>
              <w:rPr>
                <w:sz w:val="20"/>
                <w:szCs w:val="20"/>
                <w:color w:val="auto"/>
              </w:rPr>
            </w:pPr>
            <w:r>
              <w:rPr>
                <w:rFonts w:ascii="Arial" w:cs="Arial" w:eastAsia="Arial" w:hAnsi="Arial"/>
                <w:sz w:val="18"/>
                <w:szCs w:val="18"/>
                <w:color w:val="auto"/>
              </w:rPr>
              <w:t>1176.78</w:t>
            </w:r>
          </w:p>
        </w:tc>
      </w:tr>
      <w:tr>
        <w:trPr>
          <w:trHeight w:val="230"/>
        </w:trPr>
        <w:tc>
          <w:tcPr>
            <w:tcW w:w="1700" w:type="dxa"/>
            <w:vAlign w:val="bottom"/>
          </w:tcPr>
          <w:p>
            <w:pPr>
              <w:jc w:val="right"/>
              <w:ind w:right="970"/>
              <w:spacing w:after="0"/>
              <w:rPr>
                <w:sz w:val="20"/>
                <w:szCs w:val="20"/>
                <w:color w:val="auto"/>
              </w:rPr>
            </w:pPr>
            <w:r>
              <w:rPr>
                <w:rFonts w:ascii="Arial" w:cs="Arial" w:eastAsia="Arial" w:hAnsi="Arial"/>
                <w:sz w:val="18"/>
                <w:szCs w:val="18"/>
                <w:color w:val="auto"/>
                <w:w w:val="88"/>
              </w:rPr>
              <w:t>2/6/2023</w:t>
            </w:r>
          </w:p>
        </w:tc>
        <w:tc>
          <w:tcPr>
            <w:tcW w:w="1720" w:type="dxa"/>
            <w:vAlign w:val="bottom"/>
          </w:tcPr>
          <w:p>
            <w:pPr>
              <w:jc w:val="right"/>
              <w:spacing w:after="0"/>
              <w:rPr>
                <w:sz w:val="20"/>
                <w:szCs w:val="20"/>
                <w:color w:val="auto"/>
              </w:rPr>
            </w:pPr>
            <w:r>
              <w:rPr>
                <w:rFonts w:ascii="Arial" w:cs="Arial" w:eastAsia="Arial" w:hAnsi="Arial"/>
                <w:sz w:val="18"/>
                <w:szCs w:val="18"/>
                <w:color w:val="auto"/>
              </w:rPr>
              <w:t>1200.00</w:t>
            </w:r>
          </w:p>
        </w:tc>
      </w:tr>
    </w:tbl>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Accreted Principal Amount for Notes between the dates listed above will be an amount reflecting the principal that has accreted as of such date since the immediately preceding date in the table, determined by a straight-line interpolation between the Accreted Principal Amount set forth for such two dates, based on a 365-day year.</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respect to any date referenced in the Indenture that is on or after February 6, 2023, the Accreted Principal Amount shall be equal to the Accreted Principal Amount as of February 6, 2023.</w:t>
      </w:r>
    </w:p>
    <w:sectPr>
      <w:pgSz w:w="11900" w:h="16838" w:orient="portrait"/>
      <w:cols w:equalWidth="0" w:num="1">
        <w:col w:w="11420"/>
      </w:cols>
      <w:pgMar w:left="240" w:top="68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1)"/>
      <w:numFmt w:val="lowerLetter"/>
      <w:start w:val="1"/>
    </w:lvl>
  </w:abstractNum>
  <w:abstractNum w:abstractNumId="2">
    <w:nsid w:val="7644A45C"/>
    <w:multiLevelType w:val="hybridMultilevel"/>
    <w:lvl w:ilvl="0">
      <w:lvlJc w:val="left"/>
      <w:lvlText w:val="(%1)"/>
      <w:numFmt w:val="decimal"/>
      <w:start w:val="1"/>
    </w:lvl>
  </w:abstractNum>
  <w:abstractNum w:abstractNumId="3">
    <w:nsid w:val="32FFF902"/>
    <w:multiLevelType w:val="hybridMultilevel"/>
    <w:lvl w:ilvl="0">
      <w:lvlJc w:val="left"/>
      <w:lvlText w:val="(%1)"/>
      <w:numFmt w:val="decimal"/>
      <w:start w:val="4"/>
    </w:lvl>
  </w:abstractNum>
  <w:abstractNum w:abstractNumId="4">
    <w:nsid w:val="684A481A"/>
    <w:multiLevelType w:val="hybridMultilevel"/>
    <w:lvl w:ilvl="0">
      <w:lvlJc w:val="left"/>
      <w:lvlText w:val="(%1)"/>
      <w:numFmt w:val="decimal"/>
      <w:start w:val="1"/>
    </w:lvl>
  </w:abstractNum>
  <w:abstractNum w:abstractNumId="5">
    <w:nsid w:val="579478FE"/>
    <w:multiLevelType w:val="hybridMultilevel"/>
    <w:lvl w:ilvl="0">
      <w:lvlJc w:val="left"/>
      <w:lvlText w:val="(%1)"/>
      <w:numFmt w:val="decimal"/>
      <w:start w:val="1"/>
    </w:lvl>
  </w:abstractNum>
  <w:abstractNum w:abstractNumId="6">
    <w:nsid w:val="749ABB43"/>
    <w:multiLevelType w:val="hybridMultilevel"/>
    <w:lvl w:ilvl="0">
      <w:lvlJc w:val="left"/>
      <w:lvlText w:val="(%1)"/>
      <w:numFmt w:val="decimal"/>
      <w:start w:val="1"/>
    </w:lvl>
  </w:abstractNum>
  <w:abstractNum w:abstractNumId="7">
    <w:nsid w:val="3DC240FB"/>
    <w:multiLevelType w:val="hybridMultilevel"/>
    <w:lvl w:ilvl="0">
      <w:lvlJc w:val="left"/>
      <w:lvlText w:val="(%1)"/>
      <w:numFmt w:val="lowerRoman"/>
      <w:start w:val="1"/>
    </w:lvl>
  </w:abstractNum>
  <w:abstractNum w:abstractNumId="8">
    <w:nsid w:val="1BA026FA"/>
    <w:multiLevelType w:val="hybridMultilevel"/>
    <w:lvl w:ilvl="0">
      <w:lvlJc w:val="left"/>
      <w:lvlText w:val="(%1)"/>
      <w:numFmt w:val="lowerLetter"/>
      <w:start w:val="1"/>
    </w:lvl>
  </w:abstractNum>
  <w:abstractNum w:abstractNumId="9">
    <w:nsid w:val="79A1DEAA"/>
    <w:multiLevelType w:val="hybridMultilevel"/>
    <w:lvl w:ilvl="0">
      <w:lvlJc w:val="left"/>
      <w:lvlText w:val="(%1)"/>
      <w:numFmt w:val="lowerRoman"/>
      <w:start w:val="1"/>
    </w:lvl>
    <w:lvl w:ilvl="1">
      <w:lvlJc w:val="left"/>
      <w:lvlText w:val="(%2)"/>
      <w:numFmt w:val="lowerRoman"/>
      <w:start w:val="2"/>
    </w:lvl>
    <w:lvl w:ilvl="2">
      <w:lvlJc w:val="left"/>
      <w:lvlText w:val="(%3)"/>
      <w:numFmt w:val="lowerRoman"/>
      <w:start w:val="3"/>
    </w:lvl>
  </w:abstractNum>
  <w:abstractNum w:abstractNumId="10">
    <w:nsid w:val="75C6C33A"/>
    <w:multiLevelType w:val="hybridMultilevel"/>
    <w:lvl w:ilvl="0">
      <w:lvlJc w:val="left"/>
      <w:lvlText w:val="%1"/>
      <w:numFmt w:val="lowerRoman"/>
      <w:start w:val="1"/>
    </w:lvl>
    <w:lvl w:ilvl="1">
      <w:lvlJc w:val="left"/>
      <w:lvlText w:val="(%2)"/>
      <w:numFmt w:val="lowerRoman"/>
      <w:start w:val="7"/>
    </w:lvl>
    <w:lvl w:ilvl="2">
      <w:lvlJc w:val="left"/>
      <w:lvlText w:val="%3"/>
      <w:numFmt w:val="lowerRoman"/>
      <w:start w:val="1"/>
    </w:lvl>
  </w:abstractNum>
  <w:abstractNum w:abstractNumId="11">
    <w:nsid w:val="12E685FB"/>
    <w:multiLevelType w:val="hybridMultilevel"/>
    <w:lvl w:ilvl="0">
      <w:lvlJc w:val="left"/>
      <w:lvlText w:val="(%1)"/>
      <w:numFmt w:val="lowerRoman"/>
      <w:start w:val="8"/>
    </w:lvl>
    <w:lvl w:ilvl="1">
      <w:lvlJc w:val="left"/>
      <w:lvlText w:val="%2"/>
      <w:numFmt w:val="lowerRoman"/>
      <w:start w:val="1"/>
    </w:lvl>
    <w:lvl w:ilvl="2">
      <w:lvlJc w:val="left"/>
      <w:lvlText w:val="%3"/>
      <w:numFmt w:val="lowerRoman"/>
      <w:start w:val="1"/>
    </w:lvl>
  </w:abstractNum>
  <w:abstractNum w:abstractNumId="12">
    <w:nsid w:val="70C6A529"/>
    <w:multiLevelType w:val="hybridMultilevel"/>
    <w:lvl w:ilvl="0">
      <w:lvlJc w:val="left"/>
      <w:lvlText w:val="%1"/>
      <w:numFmt w:val="lowerLetter"/>
      <w:start w:val="1"/>
    </w:lvl>
    <w:lvl w:ilvl="1">
      <w:lvlJc w:val="left"/>
      <w:lvlText w:val="(%2)"/>
      <w:numFmt w:val="lowerRoman"/>
      <w:start w:val="9"/>
    </w:lvl>
  </w:abstractNum>
  <w:abstractNum w:abstractNumId="13">
    <w:nsid w:val="520EEDD1"/>
    <w:multiLevelType w:val="hybridMultilevel"/>
    <w:lvl w:ilvl="0">
      <w:lvlJc w:val="left"/>
      <w:lvlText w:val="(%1)"/>
      <w:numFmt w:val="lowerLetter"/>
      <w:start w:val="4"/>
    </w:lvl>
    <w:lvl w:ilvl="1">
      <w:lvlJc w:val="left"/>
      <w:lvlText w:val="%2"/>
      <w:numFmt w:val="lowerRoman"/>
      <w:start w:val="1"/>
    </w:lvl>
  </w:abstractNum>
  <w:abstractNum w:abstractNumId="14">
    <w:nsid w:val="374A3FE6"/>
    <w:multiLevelType w:val="hybridMultilevel"/>
    <w:lvl w:ilvl="0">
      <w:lvlJc w:val="left"/>
      <w:lvlText w:val="(%1)"/>
      <w:numFmt w:val="lowerLetter"/>
      <w:start w:val="1"/>
    </w:lvl>
  </w:abstractNum>
  <w:abstractNum w:abstractNumId="15">
    <w:nsid w:val="4F4EF005"/>
    <w:multiLevelType w:val="hybridMultilevel"/>
    <w:lvl w:ilvl="0">
      <w:lvlJc w:val="left"/>
      <w:lvlText w:val="(%1)"/>
      <w:numFmt w:val="lowerLetter"/>
      <w:start w:val="2"/>
    </w:lvl>
    <w:lvl w:ilvl="1">
      <w:lvlJc w:val="left"/>
      <w:lvlText w:val="(%2)"/>
      <w:numFmt w:val="lowerRoman"/>
      <w:start w:val="1"/>
    </w:lvl>
  </w:abstractNum>
  <w:abstractNum w:abstractNumId="16">
    <w:nsid w:val="23F9C13C"/>
    <w:multiLevelType w:val="hybridMultilevel"/>
    <w:lvl w:ilvl="0">
      <w:lvlJc w:val="left"/>
      <w:lvlText w:val="(%1)"/>
      <w:numFmt w:val="lowerLetter"/>
      <w:start w:val="4"/>
    </w:lvl>
  </w:abstractNum>
  <w:abstractNum w:abstractNumId="17">
    <w:nsid w:val="649BB77C"/>
    <w:multiLevelType w:val="hybridMultilevel"/>
    <w:lvl w:ilvl="0">
      <w:lvlJc w:val="left"/>
      <w:lvlText w:val="%1"/>
      <w:numFmt w:val="lowerLetter"/>
      <w:start w:val="1"/>
    </w:lvl>
    <w:lvl w:ilvl="1">
      <w:lvlJc w:val="left"/>
      <w:lvlText w:val="(%2)"/>
      <w:numFmt w:val="lowerRoman"/>
      <w:start w:val="1"/>
    </w:lvl>
  </w:abstractNum>
  <w:abstractNum w:abstractNumId="18">
    <w:nsid w:val="275AC794"/>
    <w:multiLevelType w:val="hybridMultilevel"/>
    <w:lvl w:ilvl="0">
      <w:lvlJc w:val="left"/>
      <w:lvlText w:val="(%1)"/>
      <w:numFmt w:val="lowerLetter"/>
      <w:start w:val="5"/>
    </w:lvl>
    <w:lvl w:ilvl="1">
      <w:lvlJc w:val="left"/>
      <w:lvlText w:val="(%2)"/>
      <w:numFmt w:val="lowerRoman"/>
      <w:start w:val="1"/>
    </w:lvl>
  </w:abstractNum>
  <w:abstractNum w:abstractNumId="19">
    <w:nsid w:val="39386575"/>
    <w:multiLevelType w:val="hybridMultilevel"/>
    <w:lvl w:ilvl="0">
      <w:lvlJc w:val="left"/>
      <w:lvlText w:val="(%1)"/>
      <w:numFmt w:val="lowerLetter"/>
      <w:start w:val="1"/>
    </w:lvl>
  </w:abstractNum>
  <w:abstractNum w:abstractNumId="20">
    <w:nsid w:val="1CF10FD8"/>
    <w:multiLevelType w:val="hybridMultilevel"/>
    <w:lvl w:ilvl="0">
      <w:lvlJc w:val="left"/>
      <w:lvlText w:val="(%1)"/>
      <w:numFmt w:val="lowerLetter"/>
      <w:start w:val="3"/>
    </w:lvl>
    <w:lvl w:ilvl="1">
      <w:lvlJc w:val="left"/>
      <w:lvlText w:val="(%2)"/>
      <w:numFmt w:val="lowerRoman"/>
      <w:start w:val="1"/>
    </w:lvl>
  </w:abstractNum>
  <w:abstractNum w:abstractNumId="21">
    <w:nsid w:val="180115BE"/>
    <w:multiLevelType w:val="hybridMultilevel"/>
    <w:lvl w:ilvl="0">
      <w:lvlJc w:val="left"/>
      <w:lvlText w:val="(%1)"/>
      <w:numFmt w:val="lowerLetter"/>
      <w:start w:val="4"/>
    </w:lvl>
    <w:lvl w:ilvl="1">
      <w:lvlJc w:val="left"/>
      <w:lvlText w:val="(%2)"/>
      <w:numFmt w:val="lowerRoman"/>
      <w:start w:val="1"/>
    </w:lvl>
  </w:abstractNum>
  <w:abstractNum w:abstractNumId="22">
    <w:nsid w:val="235BA861"/>
    <w:multiLevelType w:val="hybridMultilevel"/>
    <w:lvl w:ilvl="0">
      <w:lvlJc w:val="left"/>
      <w:lvlText w:val="(%1)"/>
      <w:numFmt w:val="lowerLetter"/>
      <w:start w:val="6"/>
    </w:lvl>
    <w:lvl w:ilvl="1">
      <w:lvlJc w:val="left"/>
      <w:lvlText w:val="(%2)"/>
      <w:numFmt w:val="lowerRoman"/>
      <w:start w:val="1"/>
    </w:lvl>
  </w:abstractNum>
  <w:abstractNum w:abstractNumId="23">
    <w:nsid w:val="47398C89"/>
    <w:multiLevelType w:val="hybridMultilevel"/>
    <w:lvl w:ilvl="0">
      <w:lvlJc w:val="left"/>
      <w:lvlText w:val="(%1)"/>
      <w:numFmt w:val="lowerRoman"/>
      <w:start w:val="1"/>
    </w:lvl>
  </w:abstractNum>
  <w:abstractNum w:abstractNumId="24">
    <w:nsid w:val="354FE9F9"/>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25">
    <w:nsid w:val="15B5AF5C"/>
    <w:multiLevelType w:val="hybridMultilevel"/>
    <w:lvl w:ilvl="0">
      <w:lvlJc w:val="left"/>
      <w:lvlText w:val="(%1)"/>
      <w:numFmt w:val="lowerLetter"/>
      <w:start w:val="1"/>
    </w:lvl>
    <w:lvl w:ilvl="1">
      <w:lvlJc w:val="left"/>
      <w:lvlText w:val="(%2)"/>
      <w:numFmt w:val="upperLetter"/>
    </w:lvl>
    <w:lvl w:ilvl="2">
      <w:lvlJc w:val="left"/>
      <w:lvlText w:val="(%3)"/>
      <w:numFmt w:val="lowerRoman"/>
      <w:start w:val="1"/>
    </w:lvl>
  </w:abstractNum>
  <w:abstractNum w:abstractNumId="26">
    <w:nsid w:val="741226BB"/>
    <w:multiLevelType w:val="hybridMultilevel"/>
    <w:lvl w:ilvl="0">
      <w:lvlJc w:val="left"/>
      <w:lvlText w:val="%1"/>
      <w:numFmt w:val="lowerLetter"/>
      <w:start w:val="1"/>
    </w:lvl>
    <w:lvl w:ilvl="1">
      <w:lvlJc w:val="left"/>
      <w:lvlText w:val="(%2)"/>
      <w:numFmt w:val="upperLetter"/>
      <w:start w:val="3"/>
    </w:lvl>
    <w:lvl w:ilvl="2">
      <w:lvlJc w:val="left"/>
      <w:lvlText w:val="(%3)"/>
      <w:numFmt w:val="lowerRoman"/>
      <w:start w:val="5"/>
    </w:lvl>
  </w:abstractNum>
  <w:abstractNum w:abstractNumId="27">
    <w:nsid w:val="D34B6A8"/>
    <w:multiLevelType w:val="hybridMultilevel"/>
    <w:lvl w:ilvl="0">
      <w:lvlJc w:val="left"/>
      <w:lvlText w:val="(%1)"/>
      <w:numFmt w:val="lowerLetter"/>
      <w:start w:val="2"/>
    </w:lvl>
    <w:lvl w:ilvl="1">
      <w:lvlJc w:val="left"/>
      <w:lvlText w:val="%2"/>
      <w:numFmt w:val="upperLetter"/>
      <w:start w:val="1"/>
    </w:lvl>
    <w:lvl w:ilvl="2">
      <w:lvlJc w:val="left"/>
      <w:lvlText w:val="%3"/>
      <w:numFmt w:val="lowerRoman"/>
      <w:start w:val="1"/>
    </w:lvl>
  </w:abstractNum>
  <w:abstractNum w:abstractNumId="28">
    <w:nsid w:val="10233C99"/>
    <w:multiLevelType w:val="hybridMultilevel"/>
    <w:lvl w:ilvl="0">
      <w:lvlJc w:val="left"/>
      <w:lvlText w:val="(%1)"/>
      <w:numFmt w:val="lowerLetter"/>
      <w:start w:val="3"/>
    </w:lvl>
  </w:abstractNum>
  <w:abstractNum w:abstractNumId="29">
    <w:nsid w:val="3F6AB60F"/>
    <w:multiLevelType w:val="hybridMultilevel"/>
    <w:lvl w:ilvl="0">
      <w:lvlJc w:val="left"/>
      <w:lvlText w:val="(%1)"/>
      <w:numFmt w:val="lowerLetter"/>
      <w:start w:val="9"/>
    </w:lvl>
  </w:abstractNum>
  <w:abstractNum w:abstractNumId="30">
    <w:nsid w:val="61574095"/>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31">
    <w:nsid w:val="7E0C57B1"/>
    <w:multiLevelType w:val="hybridMultilevel"/>
    <w:lvl w:ilvl="0">
      <w:lvlJc w:val="left"/>
      <w:lvlText w:val="(%1)"/>
      <w:numFmt w:val="lowerRoman"/>
      <w:start w:val="3"/>
    </w:lvl>
  </w:abstractNum>
  <w:abstractNum w:abstractNumId="32">
    <w:nsid w:val="77AE35EB"/>
    <w:multiLevelType w:val="hybridMultilevel"/>
    <w:lvl w:ilvl="0">
      <w:lvlJc w:val="left"/>
      <w:lvlText w:val="(%1)"/>
      <w:numFmt w:val="lowerRoman"/>
      <w:start w:val="4"/>
    </w:lvl>
    <w:lvl w:ilvl="1">
      <w:lvlJc w:val="left"/>
      <w:lvlText w:val="(%2)"/>
      <w:numFmt w:val="lowerRoman"/>
      <w:start w:val="5"/>
    </w:lvl>
  </w:abstractNum>
  <w:abstractNum w:abstractNumId="33">
    <w:nsid w:val="579BE4F1"/>
    <w:multiLevelType w:val="hybridMultilevel"/>
    <w:lvl w:ilvl="0">
      <w:lvlJc w:val="left"/>
      <w:lvlText w:val="%1"/>
      <w:numFmt w:val="lowerRoman"/>
      <w:start w:val="1"/>
    </w:lvl>
    <w:lvl w:ilvl="1">
      <w:lvlJc w:val="left"/>
      <w:lvlText w:val="%2"/>
      <w:numFmt w:val="lowerLetter"/>
      <w:start w:val="1"/>
    </w:lvl>
    <w:lvl w:ilvl="2">
      <w:lvlJc w:val="left"/>
      <w:lvlText w:val="(%3)"/>
      <w:numFmt w:val="decimal"/>
      <w:start w:val="2"/>
    </w:lvl>
  </w:abstractNum>
  <w:abstractNum w:abstractNumId="34">
    <w:nsid w:val="310C50B3"/>
    <w:multiLevelType w:val="hybridMultilevel"/>
    <w:lvl w:ilvl="0">
      <w:lvlJc w:val="left"/>
      <w:lvlText w:val="(%1)"/>
      <w:numFmt w:val="lowerRoman"/>
      <w:start w:val="4"/>
    </w:lvl>
    <w:lvl w:ilvl="1">
      <w:lvlJc w:val="left"/>
      <w:lvlText w:val="(%2)"/>
      <w:numFmt w:val="lowerLetter"/>
      <w:start w:val="2"/>
    </w:lvl>
    <w:lvl w:ilvl="2">
      <w:lvlJc w:val="left"/>
      <w:lvlText w:val="%3"/>
      <w:numFmt w:val="decimal"/>
      <w:start w:val="1"/>
    </w:lvl>
  </w:abstractNum>
  <w:abstractNum w:abstractNumId="35">
    <w:nsid w:val="5FF87E05"/>
    <w:multiLevelType w:val="hybridMultilevel"/>
    <w:lvl w:ilvl="0">
      <w:lvlJc w:val="left"/>
      <w:lvlText w:val="(%1)"/>
      <w:numFmt w:val="lowerLetter"/>
      <w:start w:val="1"/>
    </w:lvl>
  </w:abstractNum>
  <w:abstractNum w:abstractNumId="36">
    <w:nsid w:val="2F305DEF"/>
    <w:multiLevelType w:val="hybridMultilevel"/>
    <w:lvl w:ilvl="0">
      <w:lvlJc w:val="left"/>
      <w:lvlText w:val="(%1)"/>
      <w:numFmt w:val="lowerLetter"/>
      <w:start w:val="2"/>
    </w:lvl>
  </w:abstractNum>
  <w:abstractNum w:abstractNumId="37">
    <w:nsid w:val="25A70BF7"/>
    <w:multiLevelType w:val="hybridMultilevel"/>
    <w:lvl w:ilvl="0">
      <w:lvlJc w:val="left"/>
      <w:lvlText w:val="X"/>
      <w:numFmt w:val="bullet"/>
      <w:start w:val="1"/>
    </w:lvl>
  </w:abstractNum>
  <w:abstractNum w:abstractNumId="38">
    <w:nsid w:val="1DBABF00"/>
    <w:multiLevelType w:val="hybridMultilevel"/>
    <w:lvl w:ilvl="0">
      <w:lvlJc w:val="left"/>
      <w:lvlText w:val="Y"/>
      <w:numFmt w:val="bullet"/>
      <w:start w:val="1"/>
    </w:lvl>
  </w:abstractNum>
  <w:abstractNum w:abstractNumId="39">
    <w:nsid w:val="4AD084E9"/>
    <w:multiLevelType w:val="hybridMultilevel"/>
    <w:lvl w:ilvl="0">
      <w:lvlJc w:val="left"/>
      <w:lvlText w:val="(%1)"/>
      <w:numFmt w:val="lowerLetter"/>
      <w:start w:val="3"/>
    </w:lvl>
  </w:abstractNum>
  <w:abstractNum w:abstractNumId="40">
    <w:nsid w:val="1F48EAA1"/>
    <w:multiLevelType w:val="hybridMultilevel"/>
    <w:lvl w:ilvl="0">
      <w:lvlJc w:val="left"/>
      <w:lvlText w:val="(%1)"/>
      <w:numFmt w:val="upperLetter"/>
      <w:start w:val="2"/>
    </w:lvl>
  </w:abstractNum>
  <w:abstractNum w:abstractNumId="41">
    <w:nsid w:val="1381823A"/>
    <w:multiLevelType w:val="hybridMultilevel"/>
    <w:lvl w:ilvl="0">
      <w:lvlJc w:val="left"/>
      <w:lvlText w:val="(%1)"/>
      <w:numFmt w:val="lowerLetter"/>
      <w:start w:val="4"/>
    </w:lvl>
  </w:abstractNum>
  <w:abstractNum w:abstractNumId="42">
    <w:nsid w:val="5DB70AE5"/>
    <w:multiLevelType w:val="hybridMultilevel"/>
    <w:lvl w:ilvl="0">
      <w:lvlJc w:val="left"/>
      <w:lvlText w:val="C"/>
      <w:numFmt w:val="bullet"/>
      <w:start w:val="1"/>
    </w:lvl>
  </w:abstractNum>
  <w:abstractNum w:abstractNumId="43">
    <w:nsid w:val="100F8FCA"/>
    <w:multiLevelType w:val="hybridMultilevel"/>
    <w:lvl w:ilvl="0">
      <w:lvlJc w:val="left"/>
      <w:lvlText w:val="(%1)"/>
      <w:numFmt w:val="lowerLetter"/>
      <w:start w:val="5"/>
    </w:lvl>
  </w:abstractNum>
  <w:abstractNum w:abstractNumId="44">
    <w:nsid w:val="6590700B"/>
    <w:multiLevelType w:val="hybridMultilevel"/>
    <w:lvl w:ilvl="0">
      <w:lvlJc w:val="left"/>
      <w:lvlText w:val="%1"/>
      <w:numFmt w:val="decimal"/>
      <w:start w:val="1"/>
    </w:lvl>
    <w:lvl w:ilvl="1">
      <w:lvlJc w:val="left"/>
      <w:lvlText w:val="(%2)"/>
      <w:numFmt w:val="lowerLetter"/>
      <w:start w:val="6"/>
    </w:lvl>
  </w:abstractNum>
  <w:abstractNum w:abstractNumId="45">
    <w:nsid w:val="15014ACB"/>
    <w:multiLevelType w:val="hybridMultilevel"/>
    <w:lvl w:ilvl="0">
      <w:lvlJc w:val="left"/>
      <w:lvlText w:val="(%1)"/>
      <w:numFmt w:val="decimal"/>
      <w:start w:val="2"/>
    </w:lvl>
    <w:lvl w:ilvl="1">
      <w:lvlJc w:val="left"/>
      <w:lvlText w:val="%2"/>
      <w:numFmt w:val="lowerLetter"/>
      <w:start w:val="1"/>
    </w:lvl>
  </w:abstractNum>
  <w:abstractNum w:abstractNumId="46">
    <w:nsid w:val="5F5E7FD0"/>
    <w:multiLevelType w:val="hybridMultilevel"/>
    <w:lvl w:ilvl="0">
      <w:lvlJc w:val="left"/>
      <w:lvlText w:val="(%1)"/>
      <w:numFmt w:val="lowerLetter"/>
      <w:start w:val="9"/>
    </w:lvl>
  </w:abstractNum>
  <w:abstractNum w:abstractNumId="47">
    <w:nsid w:val="98A3148"/>
    <w:multiLevelType w:val="hybridMultilevel"/>
    <w:lvl w:ilvl="0">
      <w:lvlJc w:val="left"/>
      <w:lvlText w:val="(%1)"/>
      <w:numFmt w:val="lowerLetter"/>
      <w:start w:val="1"/>
    </w:lvl>
  </w:abstractNum>
  <w:abstractNum w:abstractNumId="48">
    <w:nsid w:val="799D0247"/>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abstractNum>
  <w:abstractNum w:abstractNumId="49">
    <w:nsid w:val="6B94764"/>
    <w:multiLevelType w:val="hybridMultilevel"/>
    <w:lvl w:ilvl="0">
      <w:lvlJc w:val="left"/>
      <w:lvlText w:val="%1"/>
      <w:numFmt w:val="lowerRoman"/>
      <w:start w:val="1"/>
    </w:lvl>
    <w:lvl w:ilvl="1">
      <w:lvlJc w:val="left"/>
      <w:lvlText w:val="(%2)"/>
      <w:numFmt w:val="lowerRoman"/>
      <w:start w:val="2"/>
    </w:lvl>
    <w:lvl w:ilvl="2">
      <w:lvlJc w:val="left"/>
      <w:lvlText w:val="%3"/>
      <w:numFmt w:val="lowerRoman"/>
      <w:start w:val="1"/>
    </w:lvl>
  </w:abstractNum>
  <w:abstractNum w:abstractNumId="50">
    <w:nsid w:val="42C296BD"/>
    <w:multiLevelType w:val="hybridMultilevel"/>
    <w:lvl w:ilvl="0">
      <w:lvlJc w:val="left"/>
      <w:lvlText w:val="(%1)"/>
      <w:numFmt w:val="lowerRoman"/>
      <w:start w:val="3"/>
    </w:lvl>
    <w:lvl w:ilvl="1">
      <w:lvlJc w:val="left"/>
      <w:lvlText w:val="%2"/>
      <w:numFmt w:val="lowerRoman"/>
      <w:start w:val="1"/>
    </w:lvl>
    <w:lvl w:ilvl="2">
      <w:lvlJc w:val="left"/>
      <w:lvlText w:val="%3"/>
      <w:numFmt w:val="lowerRoman"/>
      <w:start w:val="1"/>
    </w:lvl>
  </w:abstractNum>
  <w:abstractNum w:abstractNumId="51">
    <w:nsid w:val="168E121F"/>
    <w:multiLevelType w:val="hybridMultilevel"/>
    <w:lvl w:ilvl="0">
      <w:lvlJc w:val="left"/>
      <w:lvlText w:val="(%1)"/>
      <w:numFmt w:val="lowerLetter"/>
      <w:start w:val="25"/>
    </w:lvl>
    <w:lvl w:ilvl="1">
      <w:lvlJc w:val="left"/>
      <w:lvlText w:val="(%2)"/>
      <w:numFmt w:val="lowerLetter"/>
      <w:start w:val="2"/>
    </w:lvl>
  </w:abstractNum>
  <w:abstractNum w:abstractNumId="52">
    <w:nsid w:val="1EBA5D23"/>
    <w:multiLevelType w:val="hybridMultilevel"/>
    <w:lvl w:ilvl="0">
      <w:lvlJc w:val="left"/>
      <w:lvlText w:val="(%1)"/>
      <w:numFmt w:val="lowerLetter"/>
      <w:start w:val="1"/>
    </w:lvl>
  </w:abstractNum>
  <w:abstractNum w:abstractNumId="53">
    <w:nsid w:val="661E3F1E"/>
    <w:multiLevelType w:val="hybridMultilevel"/>
    <w:lvl w:ilvl="0">
      <w:lvlJc w:val="left"/>
      <w:lvlText w:val="(%1)"/>
      <w:numFmt w:val="lowerLetter"/>
      <w:start w:val="2"/>
    </w:lvl>
  </w:abstractNum>
  <w:abstractNum w:abstractNumId="54">
    <w:nsid w:val="5DC79EA8"/>
    <w:multiLevelType w:val="hybridMultilevel"/>
    <w:lvl w:ilvl="0">
      <w:lvlJc w:val="left"/>
      <w:lvlText w:val="(%1)"/>
      <w:numFmt w:val="lowerLetter"/>
      <w:start w:val="3"/>
    </w:lvl>
  </w:abstractNum>
  <w:abstractNum w:abstractNumId="55">
    <w:nsid w:val="540A471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56">
    <w:nsid w:val="7BD3EE7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lvl w:ilvl="3">
      <w:lvlJc w:val="left"/>
      <w:lvlText w:val="%4"/>
      <w:numFmt w:val="lowerRoman"/>
      <w:start w:val="1"/>
    </w:lvl>
  </w:abstractNum>
  <w:abstractNum w:abstractNumId="57">
    <w:nsid w:val="51D9C564"/>
    <w:multiLevelType w:val="hybridMultilevel"/>
    <w:lvl w:ilvl="0">
      <w:lvlJc w:val="left"/>
      <w:lvlText w:val="%1"/>
      <w:numFmt w:val="lowerLetter"/>
      <w:start w:val="1"/>
    </w:lvl>
    <w:lvl w:ilvl="1">
      <w:lvlJc w:val="left"/>
      <w:lvlText w:val="(%2)"/>
      <w:numFmt w:val="lowerLetter"/>
      <w:start w:val="61"/>
    </w:lvl>
    <w:lvl w:ilvl="2">
      <w:lvlJc w:val="left"/>
      <w:lvlText w:val="%3"/>
      <w:numFmt w:val="lowerRoman"/>
      <w:start w:val="1"/>
    </w:lvl>
    <w:lvl w:ilvl="3">
      <w:lvlJc w:val="left"/>
      <w:lvlText w:val="%4"/>
      <w:numFmt w:val="lowerRoman"/>
      <w:start w:val="1"/>
    </w:lvl>
  </w:abstractNum>
  <w:abstractNum w:abstractNumId="58">
    <w:nsid w:val="613EFDC5"/>
    <w:multiLevelType w:val="hybridMultilevel"/>
    <w:lvl w:ilvl="0">
      <w:lvlJc w:val="left"/>
      <w:lvlText w:val="(%1)"/>
      <w:numFmt w:val="lowerLetter"/>
      <w:start w:val="4"/>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59">
    <w:nsid w:val="BF72B14"/>
    <w:multiLevelType w:val="hybridMultilevel"/>
    <w:lvl w:ilvl="0">
      <w:lvlJc w:val="left"/>
      <w:lvlText w:val="(%1)"/>
      <w:numFmt w:val="lowerLetter"/>
      <w:start w:val="1"/>
    </w:lvl>
  </w:abstractNum>
  <w:abstractNum w:abstractNumId="60">
    <w:nsid w:val="11447B73"/>
    <w:multiLevelType w:val="hybridMultilevel"/>
    <w:lvl w:ilvl="0">
      <w:lvlJc w:val="left"/>
      <w:lvlText w:val="(%1)"/>
      <w:numFmt w:val="lowerRoman"/>
      <w:start w:val="1"/>
    </w:lvl>
    <w:lvl w:ilvl="1">
      <w:lvlJc w:val="left"/>
      <w:lvlText w:val="(%2)"/>
      <w:numFmt w:val="lowerRoman"/>
      <w:start w:val="2"/>
    </w:lvl>
  </w:abstractNum>
  <w:abstractNum w:abstractNumId="61">
    <w:nsid w:val="42963E5A"/>
    <w:multiLevelType w:val="hybridMultilevel"/>
    <w:lvl w:ilvl="0">
      <w:lvlJc w:val="left"/>
      <w:lvlText w:val="%1"/>
      <w:numFmt w:val="lowerLetter"/>
      <w:start w:val="1"/>
    </w:lvl>
    <w:lvl w:ilvl="1">
      <w:lvlJc w:val="left"/>
      <w:lvlText w:val="(%2)"/>
      <w:numFmt w:val="lowerRoman"/>
      <w:start w:val="5"/>
    </w:lvl>
  </w:abstractNum>
  <w:abstractNum w:abstractNumId="62">
    <w:nsid w:val="A0382C5"/>
    <w:multiLevelType w:val="hybridMultilevel"/>
    <w:lvl w:ilvl="0">
      <w:lvlJc w:val="left"/>
      <w:lvlText w:val="(%1)"/>
      <w:numFmt w:val="lowerLetter"/>
      <w:start w:val="3"/>
    </w:lvl>
    <w:lvl w:ilvl="1">
      <w:lvlJc w:val="left"/>
      <w:lvlText w:val="(%2)"/>
      <w:numFmt w:val="lowerRoman"/>
      <w:start w:val="1"/>
    </w:lvl>
  </w:abstractNum>
  <w:abstractNum w:abstractNumId="63">
    <w:nsid w:val="8F2B15E"/>
    <w:multiLevelType w:val="hybridMultilevel"/>
    <w:lvl w:ilvl="0">
      <w:lvlJc w:val="left"/>
      <w:lvlText w:val="(%1)"/>
      <w:numFmt w:val="lowerLetter"/>
      <w:start w:val="5"/>
    </w:lvl>
  </w:abstractNum>
  <w:abstractNum w:abstractNumId="64">
    <w:nsid w:val="1A32234B"/>
    <w:multiLevelType w:val="hybridMultilevel"/>
    <w:lvl w:ilvl="0">
      <w:lvlJc w:val="left"/>
      <w:lvlText w:val="(%1)"/>
      <w:numFmt w:val="lowerRoman"/>
      <w:start w:val="1"/>
    </w:lvl>
  </w:abstractNum>
  <w:abstractNum w:abstractNumId="65">
    <w:nsid w:val="3B0FD379"/>
    <w:multiLevelType w:val="hybridMultilevel"/>
    <w:lvl w:ilvl="0">
      <w:lvlJc w:val="left"/>
      <w:lvlText w:val="(%1)"/>
      <w:numFmt w:val="lowerRoman"/>
      <w:start w:val="5"/>
    </w:lvl>
  </w:abstractNum>
  <w:abstractNum w:abstractNumId="66">
    <w:nsid w:val="68EB2F63"/>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6"/>
    </w:lvl>
  </w:abstractNum>
  <w:abstractNum w:abstractNumId="67">
    <w:nsid w:val="4962813B"/>
    <w:multiLevelType w:val="hybridMultilevel"/>
    <w:lvl w:ilvl="0">
      <w:lvlJc w:val="left"/>
      <w:lvlText w:val="%1"/>
      <w:numFmt w:val="upperLetter"/>
      <w:start w:val="1"/>
    </w:lvl>
    <w:lvl w:ilvl="1">
      <w:lvlJc w:val="left"/>
      <w:lvlText w:val="(%2)"/>
      <w:numFmt w:val="lowerRoman"/>
      <w:start w:val="8"/>
    </w:lvl>
    <w:lvl w:ilvl="2">
      <w:lvlJc w:val="left"/>
      <w:lvlText w:val="%3"/>
      <w:numFmt w:val="lowerRoman"/>
      <w:start w:val="1"/>
    </w:lvl>
  </w:abstractNum>
  <w:abstractNum w:abstractNumId="68">
    <w:nsid w:val="60B6DF70"/>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9"/>
    </w:lvl>
  </w:abstractNum>
  <w:abstractNum w:abstractNumId="69">
    <w:nsid w:val="6A5EE64"/>
    <w:multiLevelType w:val="hybridMultilevel"/>
    <w:lvl w:ilvl="0">
      <w:lvlJc w:val="left"/>
      <w:lvlText w:val="(%1)"/>
      <w:numFmt w:val="lowerLetter"/>
      <w:start w:val="1"/>
    </w:lvl>
  </w:abstractNum>
  <w:abstractNum w:abstractNumId="70">
    <w:nsid w:val="14330624"/>
    <w:multiLevelType w:val="hybridMultilevel"/>
    <w:lvl w:ilvl="0">
      <w:lvlJc w:val="left"/>
      <w:lvlText w:val="(%1)"/>
      <w:numFmt w:val="lowerRoman"/>
      <w:start w:val="1"/>
    </w:lvl>
  </w:abstractNum>
  <w:abstractNum w:abstractNumId="71">
    <w:nsid w:val="7FFFCA11"/>
    <w:multiLevelType w:val="hybridMultilevel"/>
    <w:lvl w:ilvl="0">
      <w:lvlJc w:val="left"/>
      <w:lvlText w:val="(%1)"/>
      <w:numFmt w:val="lowerRoman"/>
      <w:start w:val="2"/>
    </w:lvl>
  </w:abstractNum>
  <w:abstractNum w:abstractNumId="72">
    <w:nsid w:val="1A27709E"/>
    <w:multiLevelType w:val="hybridMultilevel"/>
    <w:lvl w:ilvl="0">
      <w:lvlJc w:val="left"/>
      <w:lvlText w:val="(%1)"/>
      <w:numFmt w:val="lowerRoman"/>
      <w:start w:val="3"/>
    </w:lvl>
  </w:abstractNum>
  <w:abstractNum w:abstractNumId="73">
    <w:nsid w:val="71EA1109"/>
    <w:multiLevelType w:val="hybridMultilevel"/>
    <w:lvl w:ilvl="0">
      <w:lvlJc w:val="left"/>
      <w:lvlText w:val="(%1)"/>
      <w:numFmt w:val="decimal"/>
      <w:start w:val="1"/>
    </w:lvl>
    <w:lvl w:ilvl="1">
      <w:lvlJc w:val="left"/>
      <w:lvlText w:val="(%2)"/>
      <w:numFmt w:val="upperLetter"/>
      <w:start w:val="1"/>
    </w:lvl>
  </w:abstractNum>
  <w:abstractNum w:abstractNumId="74">
    <w:nsid w:val="100F59DC"/>
    <w:multiLevelType w:val="hybridMultilevel"/>
    <w:lvl w:ilvl="0">
      <w:lvlJc w:val="left"/>
      <w:lvlText w:val="(%1)"/>
      <w:numFmt w:val="lowerRoman"/>
      <w:start w:val="1"/>
    </w:lvl>
  </w:abstractNum>
  <w:abstractNum w:abstractNumId="75">
    <w:nsid w:val="7FB7E0AA"/>
    <w:multiLevelType w:val="hybridMultilevel"/>
    <w:lvl w:ilvl="0">
      <w:lvlJc w:val="left"/>
      <w:lvlText w:val="(%1)"/>
      <w:numFmt w:val="lowerRoman"/>
      <w:start w:val="2"/>
    </w:lvl>
  </w:abstractNum>
  <w:abstractNum w:abstractNumId="76">
    <w:nsid w:val="6EB5BD4"/>
    <w:multiLevelType w:val="hybridMultilevel"/>
    <w:lvl w:ilvl="0">
      <w:lvlJc w:val="left"/>
      <w:lvlText w:val="(%1)"/>
      <w:numFmt w:val="lowerRoman"/>
      <w:start w:val="1"/>
    </w:lvl>
    <w:lvl w:ilvl="1">
      <w:lvlJc w:val="left"/>
      <w:lvlText w:val="(%2)"/>
      <w:numFmt w:val="lowerRoman"/>
      <w:start w:val="7"/>
    </w:lvl>
  </w:abstractNum>
  <w:abstractNum w:abstractNumId="77">
    <w:nsid w:val="6F6DD9AC"/>
    <w:multiLevelType w:val="hybridMultilevel"/>
    <w:lvl w:ilvl="0">
      <w:lvlJc w:val="left"/>
      <w:lvlText w:val="(%1)"/>
      <w:numFmt w:val="lowerRoman"/>
      <w:start w:val="9"/>
    </w:lvl>
  </w:abstractNum>
  <w:abstractNum w:abstractNumId="78">
    <w:nsid w:val="94211F2"/>
    <w:multiLevelType w:val="hybridMultilevel"/>
    <w:lvl w:ilvl="0">
      <w:lvlJc w:val="left"/>
      <w:lvlText w:val="(%1)"/>
      <w:numFmt w:val="lowerLetter"/>
      <w:start w:val="1"/>
    </w:lvl>
  </w:abstractNum>
  <w:abstractNum w:abstractNumId="79">
    <w:nsid w:val="885E1B"/>
    <w:multiLevelType w:val="hybridMultilevel"/>
    <w:lvl w:ilvl="0">
      <w:lvlJc w:val="left"/>
      <w:lvlText w:val="(%1)"/>
      <w:numFmt w:val="lowerRoman"/>
      <w:start w:val="1"/>
    </w:lvl>
  </w:abstractNum>
  <w:abstractNum w:abstractNumId="80">
    <w:nsid w:val="76272110"/>
    <w:multiLevelType w:val="hybridMultilevel"/>
    <w:lvl w:ilvl="0">
      <w:lvlJc w:val="left"/>
      <w:lvlText w:val="%1."/>
      <w:numFmt w:val="decimal"/>
      <w:start w:val="1"/>
    </w:lvl>
  </w:abstractNum>
  <w:abstractNum w:abstractNumId="81">
    <w:nsid w:val="4C04A8AF"/>
    <w:multiLevelType w:val="hybridMultilevel"/>
    <w:lvl w:ilvl="0">
      <w:lvlJc w:val="left"/>
      <w:lvlText w:val="%1."/>
      <w:numFmt w:val="decimal"/>
      <w:start w:val="2"/>
    </w:lvl>
  </w:abstractNum>
  <w:abstractNum w:abstractNumId="82">
    <w:nsid w:val="1716703B"/>
    <w:multiLevelType w:val="hybridMultilevel"/>
    <w:lvl w:ilvl="0">
      <w:lvlJc w:val="left"/>
      <w:lvlText w:val="%1."/>
      <w:numFmt w:val="decimal"/>
      <w:start w:val="3"/>
    </w:lvl>
  </w:abstractNum>
  <w:abstractNum w:abstractNumId="83">
    <w:nsid w:val="14E17E33"/>
    <w:multiLevelType w:val="hybridMultilevel"/>
    <w:lvl w:ilvl="0">
      <w:lvlJc w:val="left"/>
      <w:lvlText w:val="%1."/>
      <w:numFmt w:val="decimal"/>
      <w:start w:val="4"/>
    </w:lvl>
  </w:abstractNum>
  <w:abstractNum w:abstractNumId="84">
    <w:nsid w:val="3222E7CD"/>
    <w:multiLevelType w:val="hybridMultilevel"/>
    <w:lvl w:ilvl="0">
      <w:lvlJc w:val="left"/>
      <w:lvlText w:val="%1."/>
      <w:numFmt w:val="decimal"/>
      <w:start w:val="5"/>
    </w:lvl>
  </w:abstractNum>
  <w:abstractNum w:abstractNumId="85">
    <w:nsid w:val="74DE0EE3"/>
    <w:multiLevelType w:val="hybridMultilevel"/>
    <w:lvl w:ilvl="0">
      <w:lvlJc w:val="left"/>
      <w:lvlText w:val="%1."/>
      <w:numFmt w:val="decimal"/>
      <w:start w:val="6"/>
    </w:lvl>
  </w:abstractNum>
  <w:abstractNum w:abstractNumId="86">
    <w:nsid w:val="68EBC550"/>
    <w:multiLevelType w:val="hybridMultilevel"/>
    <w:lvl w:ilvl="0">
      <w:lvlJc w:val="left"/>
      <w:lvlText w:val="%1."/>
      <w:numFmt w:val="decimal"/>
      <w:start w:val="7"/>
    </w:lvl>
  </w:abstractNum>
  <w:abstractNum w:abstractNumId="87">
    <w:nsid w:val="2DF6D648"/>
    <w:multiLevelType w:val="hybridMultilevel"/>
    <w:lvl w:ilvl="0">
      <w:lvlJc w:val="left"/>
      <w:lvlText w:val="%1."/>
      <w:numFmt w:val="decimal"/>
      <w:start w:val="8"/>
    </w:lvl>
  </w:abstractNum>
  <w:abstractNum w:abstractNumId="88">
    <w:nsid w:val="46B7D447"/>
    <w:multiLevelType w:val="hybridMultilevel"/>
    <w:lvl w:ilvl="0">
      <w:lvlJc w:val="left"/>
      <w:lvlText w:val="%1."/>
      <w:numFmt w:val="decimal"/>
      <w:start w:val="9"/>
    </w:lvl>
  </w:abstractNum>
  <w:abstractNum w:abstractNumId="89">
    <w:nsid w:val="4A2AC315"/>
    <w:multiLevelType w:val="hybridMultilevel"/>
    <w:lvl w:ilvl="0">
      <w:lvlJc w:val="left"/>
      <w:lvlText w:val="%1."/>
      <w:numFmt w:val="decimal"/>
      <w:start w:val="10"/>
    </w:lvl>
  </w:abstractNum>
  <w:abstractNum w:abstractNumId="90">
    <w:nsid w:val="39EE015C"/>
    <w:multiLevelType w:val="hybridMultilevel"/>
    <w:lvl w:ilvl="0">
      <w:lvlJc w:val="left"/>
      <w:lvlText w:val="%1."/>
      <w:numFmt w:val="decimal"/>
      <w:start w:val="11"/>
    </w:lvl>
  </w:abstractNum>
  <w:abstractNum w:abstractNumId="91">
    <w:nsid w:val="57FC4FBB"/>
    <w:multiLevelType w:val="hybridMultilevel"/>
    <w:lvl w:ilvl="0">
      <w:lvlJc w:val="left"/>
      <w:lvlText w:val="%1."/>
      <w:numFmt w:val="decimal"/>
      <w:start w:val="12"/>
    </w:lvl>
  </w:abstractNum>
  <w:abstractNum w:abstractNumId="92">
    <w:nsid w:val="CC1016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jpeg"/><Relationship Id="rId57" Type="http://schemas.openxmlformats.org/officeDocument/2006/relationships/image" Target="media/image49.jpeg"/><Relationship Id="rId58" Type="http://schemas.openxmlformats.org/officeDocument/2006/relationships/image" Target="media/image50.png"/><Relationship Id="rId59" Type="http://schemas.openxmlformats.org/officeDocument/2006/relationships/image" Target="media/image51.jpeg"/><Relationship Id="rId60" Type="http://schemas.openxmlformats.org/officeDocument/2006/relationships/image" Target="media/image52.png"/><Relationship Id="rId61" Type="http://schemas.openxmlformats.org/officeDocument/2006/relationships/image" Target="media/image53.jpeg"/><Relationship Id="rId62" Type="http://schemas.openxmlformats.org/officeDocument/2006/relationships/image" Target="media/image54.jpeg"/><Relationship Id="rId63" Type="http://schemas.openxmlformats.org/officeDocument/2006/relationships/image" Target="media/image55.png"/><Relationship Id="rId64" Type="http://schemas.openxmlformats.org/officeDocument/2006/relationships/image" Target="media/image56.jpe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23" Type="http://schemas.openxmlformats.org/officeDocument/2006/relationships/hyperlink" Target="http://www.sec.gov/Archives/edgar/data/1162194/000119312514034901/d669277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2019-12-28T23:22:26Z</dcterms:created>
  <dcterms:modified xsi:type="dcterms:W3CDTF">2019-12-28T23:22:26Z</dcterms:modified>
</cp:coreProperties>
</file>