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33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330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JENNIFER LING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18,000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02/13/2017</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18,000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18,000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6.16</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02/13/2017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45,400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jc w:val="right"/>
              <w:ind w:right="19"/>
              <w:spacing w:after="0"/>
              <w:rPr>
                <w:sz w:val="20"/>
                <w:szCs w:val="20"/>
                <w:color w:val="auto"/>
              </w:rPr>
            </w:pPr>
            <w:r>
              <w:rPr>
                <w:rFonts w:ascii="Arial" w:cs="Arial" w:eastAsia="Arial" w:hAnsi="Arial"/>
                <w:sz w:val="13"/>
                <w:szCs w:val="13"/>
                <w:color w:val="0000FF"/>
              </w:rPr>
              <w:t>02/13/2027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45,400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45,400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40" w:right="30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4/48th of the total number of shares underlying the Restricted Stock Units granted will vest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 January 1, 2021, subject to recipient continuing to be a Service Provider (as defined in the Fluidigm Corporation 2011 Equity Incentive Plan) through each such date. "Vesting Commencement Date" shall mean January 1, 2017.</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PRINCIPAL ACCOUNTING OFFICER</w:t>
      </w:r>
    </w:p>
    <w:p>
      <w:pPr>
        <w:ind w:left="6860"/>
        <w:spacing w:after="0" w:line="189" w:lineRule="auto"/>
        <w:rPr>
          <w:sz w:val="20"/>
          <w:szCs w:val="20"/>
          <w:color w:val="auto"/>
        </w:rPr>
      </w:pPr>
      <w:r>
        <w:rPr>
          <w:rFonts w:ascii="Arial" w:cs="Arial" w:eastAsia="Arial" w:hAnsi="Arial"/>
          <w:sz w:val="17"/>
          <w:szCs w:val="17"/>
          <w:color w:val="0000FF"/>
        </w:rPr>
        <w:t xml:space="preserve">/s/ Nicholas Khadder, Attorney- </w:t>
      </w:r>
      <w:r>
        <w:rPr>
          <w:rFonts w:ascii="Arial" w:cs="Arial" w:eastAsia="Arial" w:hAnsi="Arial"/>
          <w:sz w:val="34"/>
          <w:szCs w:val="34"/>
          <w:color w:val="0000FF"/>
          <w:vertAlign w:val="subscript"/>
        </w:rPr>
        <w:t>02/14/2017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511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2019-12-04T00:38:00Z</dcterms:created>
  <dcterms:modified xsi:type="dcterms:W3CDTF">2019-12-04T00:38:00Z</dcterms:modified>
</cp:coreProperties>
</file>