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85"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11/18/2025</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963"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8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8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8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8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11/18/2025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275,000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1.2342</w:t>
            </w:r>
            <w:r>
              <w:rPr>
                <w:rFonts w:ascii="Times New Roman" w:cs="Times New Roman" w:eastAsia="Times New Roman" w:hAnsi="Times New Roman"/>
                <w:sz w:val="22"/>
                <w:szCs w:val="22"/>
                <w:color w:val="008000"/>
                <w:vertAlign w:val="superscript"/>
              </w:rPr>
              <w:t>(1)</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63,250,000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11/19/2025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350,000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1.2826</w:t>
            </w:r>
            <w:r>
              <w:rPr>
                <w:rFonts w:ascii="Times New Roman" w:cs="Times New Roman" w:eastAsia="Times New Roman" w:hAnsi="Times New Roman"/>
                <w:sz w:val="22"/>
                <w:szCs w:val="22"/>
                <w:color w:val="008000"/>
                <w:vertAlign w:val="superscript"/>
              </w:rPr>
              <w:t>(2)</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63,600,000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11/20/2025</w:t>
            </w:r>
          </w:p>
        </w:tc>
        <w:tc>
          <w:tcPr>
            <w:tcW w:w="11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450,000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1.3028</w:t>
            </w:r>
            <w:r>
              <w:rPr>
                <w:rFonts w:ascii="Times New Roman" w:cs="Times New Roman" w:eastAsia="Times New Roman" w:hAnsi="Times New Roman"/>
                <w:sz w:val="22"/>
                <w:szCs w:val="22"/>
                <w:color w:val="008000"/>
                <w:vertAlign w:val="superscript"/>
              </w:rPr>
              <w:t>(3)</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64,050,000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13"/>
        </w:trPr>
        <w:tc>
          <w:tcPr>
            <w:tcW w:w="2800" w:type="dxa"/>
            <w:vAlign w:val="bottom"/>
            <w:tcBorders>
              <w:bottom w:val="single" w:sz="8" w:color="2C2C2C"/>
            </w:tcBorders>
            <w:vMerge w:val="continue"/>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8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 per</w:t>
            </w:r>
          </w:p>
        </w:tc>
        <w:tc>
          <w:tcPr>
            <w:tcW w:w="1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2,901,062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34"/>
                <w:szCs w:val="34"/>
                <w:color w:val="0000FF"/>
                <w:w w:val="88"/>
                <w:vertAlign w:val="subscript"/>
              </w:rPr>
              <w:t>D</w:t>
            </w:r>
            <w:r>
              <w:rPr>
                <w:rFonts w:ascii="Times New Roman" w:cs="Times New Roman" w:eastAsia="Times New Roman" w:hAnsi="Times New Roman"/>
                <w:sz w:val="11"/>
                <w:szCs w:val="11"/>
                <w:color w:val="008000"/>
                <w:w w:val="88"/>
              </w:rPr>
              <w:t>(5)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1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80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1" w:lineRule="exact"/>
        <w:rPr>
          <w:sz w:val="24"/>
          <w:szCs w:val="24"/>
          <w:color w:val="auto"/>
        </w:rPr>
      </w:pPr>
    </w:p>
    <w:p>
      <w:pPr>
        <w:sectPr>
          <w:pgSz w:w="11900" w:h="16963" w:orient="portrait"/>
          <w:cols w:equalWidth="0" w:num="1">
            <w:col w:w="11080"/>
          </w:cols>
          <w:pgMar w:left="460" w:top="219" w:right="359" w:bottom="0" w:gutter="0" w:footer="0" w:header="0"/>
          <w:type w:val="continuous"/>
        </w:sectPr>
      </w:pPr>
    </w:p>
    <w:p>
      <w:pPr>
        <w:spacing w:after="0" w:line="69"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138"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Common Stock, $0.001 par value per</w:t>
      </w:r>
    </w:p>
    <w:p>
      <w:pPr>
        <w:spacing w:after="0" w:line="3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7"/>
          <w:szCs w:val="17"/>
          <w:color w:val="0000FF"/>
        </w:rPr>
        <w:t>share</w:t>
      </w:r>
    </w:p>
    <w:p>
      <w:pPr>
        <w:spacing w:after="0" w:line="20" w:lineRule="exact"/>
        <w:rPr>
          <w:sz w:val="24"/>
          <w:szCs w:val="24"/>
          <w:color w:val="auto"/>
        </w:rPr>
      </w:pPr>
      <w:r>
        <w:rPr>
          <w:sz w:val="24"/>
          <w:szCs w:val="24"/>
          <w:color w:val="auto"/>
        </w:rPr>
        <w:br w:type="column"/>
      </w:r>
    </w:p>
    <w:p>
      <w:pPr>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13,939,637</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(6)</w:t>
      </w:r>
    </w:p>
    <w:p>
      <w:pPr>
        <w:spacing w:after="0" w:line="28" w:lineRule="exact"/>
        <w:rPr>
          <w:sz w:val="24"/>
          <w:szCs w:val="24"/>
          <w:color w:val="auto"/>
        </w:rPr>
      </w:pPr>
    </w:p>
    <w:p>
      <w:pPr>
        <w:ind w:left="40"/>
        <w:spacing w:after="0"/>
        <w:tabs>
          <w:tab w:leader="none" w:pos="1360" w:val="left"/>
          <w:tab w:leader="none" w:pos="1920" w:val="left"/>
        </w:tabs>
        <w:rPr>
          <w:sz w:val="20"/>
          <w:szCs w:val="20"/>
          <w:color w:val="auto"/>
        </w:rPr>
      </w:pPr>
      <w:r>
        <w:rPr>
          <w:rFonts w:ascii="Times New Roman" w:cs="Times New Roman" w:eastAsia="Times New Roman" w:hAnsi="Times New Roman"/>
          <w:sz w:val="17"/>
          <w:szCs w:val="17"/>
          <w:color w:val="0000FF"/>
        </w:rPr>
        <w:t>2,744,219</w:t>
      </w:r>
      <w:r>
        <w:rPr>
          <w:sz w:val="20"/>
          <w:szCs w:val="20"/>
          <w:color w:val="auto"/>
        </w:rPr>
        <w:tab/>
      </w:r>
      <w:r>
        <w:rPr>
          <w:rFonts w:ascii="Times New Roman" w:cs="Times New Roman" w:eastAsia="Times New Roman" w:hAnsi="Times New Roman"/>
          <w:sz w:val="17"/>
          <w:szCs w:val="17"/>
          <w:color w:val="0000FF"/>
        </w:rPr>
        <w:t>I</w:t>
      </w:r>
      <w:r>
        <w:rPr>
          <w:sz w:val="20"/>
          <w:szCs w:val="20"/>
          <w:color w:val="auto"/>
        </w:rPr>
        <w:tab/>
      </w:r>
      <w:r>
        <w:rPr>
          <w:rFonts w:ascii="Times New Roman" w:cs="Times New Roman" w:eastAsia="Times New Roman" w:hAnsi="Times New Roman"/>
          <w:sz w:val="24"/>
          <w:szCs w:val="24"/>
          <w:color w:val="0000FF"/>
          <w:vertAlign w:val="superscript"/>
        </w:rPr>
        <w:t>See</w:t>
      </w:r>
    </w:p>
    <w:p>
      <w:pPr>
        <w:ind w:left="1940"/>
        <w:spacing w:after="0"/>
        <w:rPr>
          <w:sz w:val="20"/>
          <w:szCs w:val="20"/>
          <w:color w:val="auto"/>
        </w:rPr>
      </w:pPr>
      <w:r>
        <w:rPr>
          <w:rFonts w:ascii="Times New Roman" w:cs="Times New Roman" w:eastAsia="Times New Roman" w:hAnsi="Times New Roman"/>
          <w:sz w:val="16"/>
          <w:szCs w:val="16"/>
          <w:color w:val="0000FF"/>
        </w:rPr>
        <w:t>footnote</w:t>
      </w:r>
      <w:r>
        <w:rPr>
          <w:rFonts w:ascii="Times New Roman" w:cs="Times New Roman" w:eastAsia="Times New Roman" w:hAnsi="Times New Roman"/>
          <w:sz w:val="20"/>
          <w:szCs w:val="20"/>
          <w:color w:val="008000"/>
          <w:vertAlign w:val="superscript"/>
        </w:rPr>
        <w:t>(7)</w:t>
      </w:r>
    </w:p>
    <w:p>
      <w:pPr>
        <w:spacing w:after="0" w:line="123" w:lineRule="exact"/>
        <w:rPr>
          <w:sz w:val="24"/>
          <w:szCs w:val="24"/>
          <w:color w:val="auto"/>
        </w:rPr>
      </w:pPr>
    </w:p>
    <w:p>
      <w:pPr>
        <w:sectPr>
          <w:pgSz w:w="11900" w:h="16963" w:orient="portrait"/>
          <w:cols w:equalWidth="0" w:num="2">
            <w:col w:w="7520" w:space="720"/>
            <w:col w:w="2840"/>
          </w:cols>
          <w:pgMar w:left="460" w:top="219" w:right="35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71" w:lineRule="exact"/>
        <w:rPr>
          <w:sz w:val="24"/>
          <w:szCs w:val="24"/>
          <w:color w:val="auto"/>
        </w:rPr>
      </w:pPr>
    </w:p>
    <w:p>
      <w:pPr>
        <w:spacing w:after="0"/>
        <w:rPr>
          <w:sz w:val="20"/>
          <w:szCs w:val="20"/>
          <w:color w:val="auto"/>
        </w:rPr>
      </w:pPr>
      <w:r>
        <w:rPr>
          <w:sz w:val="1"/>
          <w:szCs w:val="1"/>
          <w:color w:val="auto"/>
        </w:rPr>
        <w:drawing>
          <wp:inline distT="0" distB="0" distL="0" distR="0">
            <wp:extent cx="33655" cy="190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1905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spacing w:after="0" w:line="2"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Casdin Capital,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-143510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bl>
    <w:p>
      <w:pPr>
        <w:spacing w:after="0" w:line="200" w:lineRule="exact"/>
        <w:rPr>
          <w:sz w:val="20"/>
          <w:szCs w:val="20"/>
          <w:color w:val="auto"/>
        </w:rPr>
      </w:pPr>
    </w:p>
    <w:p>
      <w:pPr>
        <w:sectPr>
          <w:pgSz w:w="11900" w:h="16840" w:orient="portrait"/>
          <w:cols w:equalWidth="0" w:num="1">
            <w:col w:w="9979"/>
          </w:cols>
          <w:pgMar w:left="480" w:top="125" w:right="1440" w:bottom="0" w:gutter="0" w:footer="0" w:header="0"/>
        </w:sectPr>
      </w:pPr>
    </w:p>
    <w:p>
      <w:pPr>
        <w:spacing w:after="0" w:line="108"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9979"/>
          </w:cols>
          <w:pgMar w:left="480" w:top="125"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319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18319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$1.2247 to $1.2421.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$1.2758 to $1.2870.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0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$1.2788 to $1.3500 .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5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right="1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right="20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00"/>
          </w:cols>
          <w:pgMar w:left="500" w:top="216" w:right="499" w:bottom="1440" w:gutter="0" w:footer="0" w:header="0"/>
        </w:sectPr>
      </w:pPr>
    </w:p>
    <w:p>
      <w:pPr>
        <w:spacing w:after="0" w:line="4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12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06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98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001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41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80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9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Growth Equity Fund 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66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27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093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60"/>
            <w:col w:w="2160"/>
          </w:cols>
          <w:pgMar w:left="500" w:top="216" w:right="49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216"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6" Type="http://schemas.openxmlformats.org/officeDocument/2006/relationships/hyperlink" Target="http://www.sec.gov/cgi-bin/browse-edgar?action=getcompany&amp;CIK=0001534261" TargetMode="External"/><Relationship Id="rId18" Type="http://schemas.openxmlformats.org/officeDocument/2006/relationships/hyperlink" Target="http://www.sec.gov/cgi-bin/browse-edgar?action=getcompany&amp;CIK=0001534260" TargetMode="External"/><Relationship Id="rId19" Type="http://schemas.openxmlformats.org/officeDocument/2006/relationships/hyperlink" Target="http://www.sec.gov/cgi-bin/browse-edgar?action=getcompany&amp;CIK=0001891102" TargetMode="External"/><Relationship Id="rId20" Type="http://schemas.openxmlformats.org/officeDocument/2006/relationships/hyperlink" Target="http://www.sec.gov/cgi-bin/browse-edgar?action=getcompany&amp;CIK=0001919480"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2025-11-20T18:50:50Z</dcterms:created>
  <dcterms:modified xsi:type="dcterms:W3CDTF">2025-11-20T18:50:50Z</dcterms:modified>
</cp:coreProperties>
</file>