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LEVIN CAPITAL STRATEGIES,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3"/>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L.P.</w:t>
              </w:r>
            </w:hyperlink>
          </w:p>
        </w:tc>
        <w:tc>
          <w:tcPr>
            <w:tcW w:w="24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10/14/2016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6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595 MADISON AVENUE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3"/>
              </w:rPr>
              <w:t>17TH FLOOR</w:t>
            </w: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40"/>
              <w:spacing w:after="0"/>
              <w:rPr>
                <w:sz w:val="20"/>
                <w:szCs w:val="20"/>
                <w:color w:val="auto"/>
              </w:rPr>
            </w:pPr>
            <w:r>
              <w:rPr>
                <w:rFonts w:ascii="Arial" w:cs="Arial" w:eastAsia="Arial" w:hAnsi="Arial"/>
                <w:sz w:val="18"/>
                <w:szCs w:val="18"/>
                <w:color w:val="0000FF"/>
              </w:rPr>
              <w:t>NY</w:t>
            </w:r>
          </w:p>
        </w:tc>
        <w:tc>
          <w:tcPr>
            <w:tcW w:w="1200" w:type="dxa"/>
            <w:vAlign w:val="bottom"/>
          </w:tcPr>
          <w:p>
            <w:pPr>
              <w:ind w:left="160"/>
              <w:spacing w:after="0"/>
              <w:rPr>
                <w:sz w:val="20"/>
                <w:szCs w:val="20"/>
                <w:color w:val="auto"/>
              </w:rPr>
            </w:pPr>
            <w:r>
              <w:rPr>
                <w:rFonts w:ascii="Arial" w:cs="Arial" w:eastAsia="Arial" w:hAnsi="Arial"/>
                <w:sz w:val="18"/>
                <w:szCs w:val="18"/>
                <w:color w:val="0000FF"/>
              </w:rPr>
              <w:t>10022</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60"/>
              <w:spacing w:after="0"/>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5"/>
                <w:szCs w:val="5"/>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3320" w:type="dxa"/>
            <w:vAlign w:val="bottom"/>
            <w:gridSpan w:val="3"/>
            <w:vMerge w:val="restart"/>
          </w:tcPr>
          <w:p>
            <w:pPr>
              <w:ind w:left="1060"/>
              <w:spacing w:after="0"/>
              <w:rPr>
                <w:sz w:val="20"/>
                <w:szCs w:val="20"/>
                <w:color w:val="auto"/>
              </w:rPr>
            </w:pPr>
            <w:r>
              <w:rPr>
                <w:rFonts w:ascii="Arial" w:cs="Arial" w:eastAsia="Arial" w:hAnsi="Arial"/>
                <w:sz w:val="18"/>
                <w:szCs w:val="18"/>
                <w:color w:val="0000FF"/>
              </w:rPr>
              <w:t>Passive Investor</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3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bl>
    <w:p>
      <w:pPr>
        <w:spacing w:after="0" w:line="28"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800" w:type="dxa"/>
            <w:vAlign w:val="bottom"/>
          </w:tcPr>
          <w:p>
            <w:pPr>
              <w:ind w:left="100"/>
              <w:spacing w:after="0"/>
              <w:rPr>
                <w:sz w:val="20"/>
                <w:szCs w:val="20"/>
                <w:color w:val="auto"/>
              </w:rPr>
            </w:pPr>
            <w:r>
              <w:rPr>
                <w:rFonts w:ascii="Arial" w:cs="Arial" w:eastAsia="Arial" w:hAnsi="Arial"/>
                <w:sz w:val="14"/>
                <w:szCs w:val="14"/>
                <w:color w:val="auto"/>
                <w:w w:val="94"/>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80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(1)(2)</w:t>
            </w:r>
          </w:p>
        </w:tc>
        <w:tc>
          <w:tcPr>
            <w:tcW w:w="1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vMerge w:val="restart"/>
          </w:tcPr>
          <w:p>
            <w:pPr>
              <w:jc w:val="center"/>
              <w:ind w:right="42"/>
              <w:spacing w:after="0"/>
              <w:rPr>
                <w:sz w:val="20"/>
                <w:szCs w:val="20"/>
                <w:color w:val="auto"/>
              </w:rPr>
            </w:pPr>
            <w:r>
              <w:rPr>
                <w:rFonts w:ascii="Arial" w:cs="Arial" w:eastAsia="Arial" w:hAnsi="Arial"/>
                <w:sz w:val="18"/>
                <w:szCs w:val="18"/>
                <w:color w:val="0000FF"/>
                <w:w w:val="87"/>
              </w:rPr>
              <w:t>51,068</w:t>
            </w:r>
          </w:p>
        </w:tc>
        <w:tc>
          <w:tcPr>
            <w:tcW w:w="9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w w:val="94"/>
              </w:rPr>
              <w:t>By: Levin Capital Trilogy Master Fund,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(3)</w:t>
            </w: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vMerge w:val="continue"/>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(1)(2)</w:t>
            </w:r>
          </w:p>
        </w:tc>
        <w:tc>
          <w:tcPr>
            <w:tcW w:w="1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42"/>
              <w:spacing w:after="0"/>
              <w:rPr>
                <w:sz w:val="20"/>
                <w:szCs w:val="20"/>
                <w:color w:val="auto"/>
              </w:rPr>
            </w:pPr>
            <w:r>
              <w:rPr>
                <w:rFonts w:ascii="Arial" w:cs="Arial" w:eastAsia="Arial" w:hAnsi="Arial"/>
                <w:sz w:val="18"/>
                <w:szCs w:val="18"/>
                <w:color w:val="0000FF"/>
                <w:w w:val="87"/>
              </w:rPr>
              <w:t>22,453</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By: Levcap Alternative Fund, L.P.</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(1)(2)</w:t>
            </w:r>
          </w:p>
        </w:tc>
        <w:tc>
          <w:tcPr>
            <w:tcW w:w="1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42"/>
              <w:spacing w:after="0"/>
              <w:rPr>
                <w:sz w:val="20"/>
                <w:szCs w:val="20"/>
                <w:color w:val="auto"/>
              </w:rPr>
            </w:pPr>
            <w:r>
              <w:rPr>
                <w:rFonts w:ascii="Arial" w:cs="Arial" w:eastAsia="Arial" w:hAnsi="Arial"/>
                <w:sz w:val="18"/>
                <w:szCs w:val="18"/>
                <w:color w:val="0000FF"/>
                <w:w w:val="88"/>
              </w:rPr>
              <w:t>9,252</w:t>
            </w:r>
          </w:p>
        </w:tc>
        <w:tc>
          <w:tcPr>
            <w:tcW w:w="9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0000FF"/>
              </w:rPr>
              <w:t>By: Safinia Partners, L.P.</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0" w:type="dxa"/>
            <w:vAlign w:val="bottom"/>
            <w:tcBorders>
              <w:top w:val="single" w:sz="8" w:color="2C2C2C"/>
            </w:tcBorders>
          </w:tcPr>
          <w:p>
            <w:pPr>
              <w:spacing w:after="0"/>
              <w:rPr>
                <w:sz w:val="19"/>
                <w:szCs w:val="19"/>
                <w:color w:val="auto"/>
              </w:rPr>
            </w:pPr>
          </w:p>
        </w:tc>
        <w:tc>
          <w:tcPr>
            <w:tcW w:w="15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gridSpan w:val="9"/>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4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LEVIN CAPITAL STRATEGIES,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17TH FLOOR</w:t>
            </w:r>
          </w:p>
        </w:tc>
        <w:tc>
          <w:tcPr>
            <w:tcW w:w="1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60"/>
              <w:spacing w:after="0"/>
              <w:rPr>
                <w:sz w:val="20"/>
                <w:szCs w:val="20"/>
                <w:color w:val="auto"/>
              </w:rPr>
            </w:pPr>
            <w:r>
              <w:rPr>
                <w:rFonts w:ascii="Arial" w:cs="Arial" w:eastAsia="Arial" w:hAnsi="Arial"/>
                <w:sz w:val="18"/>
                <w:szCs w:val="18"/>
                <w:color w:val="0000FF"/>
              </w:rPr>
              <w:t>NY</w:t>
            </w:r>
          </w:p>
        </w:tc>
        <w:tc>
          <w:tcPr>
            <w:tcW w:w="460" w:type="dxa"/>
            <w:vAlign w:val="bottom"/>
          </w:tcPr>
          <w:p>
            <w:pPr>
              <w:spacing w:after="0"/>
              <w:rPr>
                <w:sz w:val="20"/>
                <w:szCs w:val="20"/>
                <w:color w:val="auto"/>
              </w:rPr>
            </w:pPr>
            <w:r>
              <w:rPr>
                <w:rFonts w:ascii="Arial" w:cs="Arial" w:eastAsia="Arial" w:hAnsi="Arial"/>
                <w:sz w:val="18"/>
                <w:szCs w:val="18"/>
                <w:color w:val="0000FF"/>
                <w:w w:val="87"/>
              </w:rPr>
              <w:t>10022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3">
              <w:r>
                <w:rPr>
                  <w:rFonts w:ascii="Arial" w:cs="Arial" w:eastAsia="Arial" w:hAnsi="Arial"/>
                  <w:sz w:val="22"/>
                  <w:szCs w:val="22"/>
                  <w:color w:val="0000EE"/>
                  <w:w w:val="89"/>
                </w:rPr>
                <w:t>Levin Capital Strategies GP,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17TH FLOOR</w:t>
            </w:r>
          </w:p>
        </w:tc>
        <w:tc>
          <w:tcPr>
            <w:tcW w:w="1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60"/>
              <w:spacing w:after="0"/>
              <w:rPr>
                <w:sz w:val="20"/>
                <w:szCs w:val="20"/>
                <w:color w:val="auto"/>
              </w:rPr>
            </w:pPr>
            <w:r>
              <w:rPr>
                <w:rFonts w:ascii="Arial" w:cs="Arial" w:eastAsia="Arial" w:hAnsi="Arial"/>
                <w:sz w:val="18"/>
                <w:szCs w:val="18"/>
                <w:color w:val="0000FF"/>
              </w:rPr>
              <w:t>NY</w:t>
            </w:r>
          </w:p>
        </w:tc>
        <w:tc>
          <w:tcPr>
            <w:tcW w:w="460" w:type="dxa"/>
            <w:vAlign w:val="bottom"/>
          </w:tcPr>
          <w:p>
            <w:pPr>
              <w:spacing w:after="0"/>
              <w:rPr>
                <w:sz w:val="20"/>
                <w:szCs w:val="20"/>
                <w:color w:val="auto"/>
              </w:rPr>
            </w:pPr>
            <w:r>
              <w:rPr>
                <w:rFonts w:ascii="Arial" w:cs="Arial" w:eastAsia="Arial" w:hAnsi="Arial"/>
                <w:sz w:val="18"/>
                <w:szCs w:val="18"/>
                <w:color w:val="0000FF"/>
                <w:w w:val="87"/>
              </w:rPr>
              <w:t>10022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Levin Capital Trilogy Master Fund, Ltd.</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1018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018349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LCS,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31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Form 3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w:t>
      </w:r>
    </w:p>
    <w:p>
      <w:pPr>
        <w:sectPr>
          <w:pgSz w:w="11900" w:h="16955" w:orient="portrait"/>
          <w:cols w:equalWidth="0" w:num="1">
            <w:col w:w="11020"/>
          </w:cols>
          <w:pgMar w:left="260" w:top="131" w:right="619" w:bottom="0" w:gutter="0" w:footer="0" w:header="0"/>
        </w:sectPr>
      </w:pPr>
    </w:p>
    <w:bookmarkStart w:id="2" w:name="page3"/>
    <w:bookmarkEnd w:id="2"/>
    <w:p>
      <w:pPr>
        <w:ind w:firstLine="9"/>
        <w:spacing w:after="0" w:line="228"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3 as a result of acquiring over 20%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jc w:val="both"/>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right="1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right="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008000"/>
        </w:rPr>
        <w:t>As the investment manager to certain managed accounts (the "Managed Accounts"), LCS may be deemed to share dispositive over 6,136,241 shares held in the Managed Accounts and may be deemed to share voting power over only 4,296,969 of such shares. As the sub-investment advisor to Transamerica Large Cap Value Fund ("Transamerica"), LCS may be deemed to share voting and dispositive power over 1,098,376 shares held by Transamerica. LCS receives an asset-based management fee for serving as investment manager to the Managed Accounts, except that with respect to 50,711 shares held in Managed Accounts, LCS receives a performance-based incentive fee. The performance-based incentive fee LCS receives for such Managed Accounts does not constitute a reportable pecuniary interest under Section</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4"/>
          <w:szCs w:val="14"/>
          <w:color w:val="008000"/>
        </w:rPr>
        <w:t>16a-1(a)(2) of the Exchange Act, as such fee is based on the performance of the overall account, over a period of one year or more and the shares of the Issuer held in such accounts constitute no more than 10% of the market value thereof. LCS receives an asset-based management fee for serving as sub-investment advisor to Transamerica. Accordingly, LCS does not have a reportable pecuniary interest in the shares held by Transamerica or the shares held in the Managed Accounts. In addition, none of LCS GP, Trilogy, LCSL, Levcap, LCSEP, Safinia, LCSLS and Mr. Levin have a reportable pecuniary interest in the shares held by Transamerica or the shares held in the Managed Accounts.</w:t>
      </w:r>
    </w:p>
    <w:p>
      <w:pPr>
        <w:sectPr>
          <w:pgSz w:w="11900" w:h="16838" w:orient="portrait"/>
          <w:cols w:equalWidth="0" w:num="1">
            <w:col w:w="11340"/>
          </w:cols>
          <w:pgMar w:left="280" w:top="169" w:right="279" w:bottom="1440" w:gutter="0" w:footer="0" w:header="0"/>
        </w:sectPr>
      </w:pPr>
    </w:p>
    <w:p>
      <w:pPr>
        <w:spacing w:after="0" w:line="6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0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5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L/S, LLC; By: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4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10/24/2016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40" w:space="80"/>
            <w:col w:w="2220"/>
          </w:cols>
          <w:pgMar w:left="280" w:top="169"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6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1" Type="http://schemas.openxmlformats.org/officeDocument/2006/relationships/hyperlink" Target="http://www.sec.gov/cgi-bin/browse-edgar?action=getcompany&amp;CIK=0001354821" TargetMode="External"/><Relationship Id="rId12" Type="http://schemas.openxmlformats.org/officeDocument/2006/relationships/hyperlink" Target="http://www.sec.gov/cgi-bin/browse-edgar?action=getcompany&amp;CIK=0001162194" TargetMode="External"/><Relationship Id="rId13" Type="http://schemas.openxmlformats.org/officeDocument/2006/relationships/hyperlink" Target="http://www.sec.gov/cgi-bin/browse-edgar?action=getcompany&amp;CIK=0001688305" TargetMode="External"/><Relationship Id="rId14" Type="http://schemas.openxmlformats.org/officeDocument/2006/relationships/hyperlink" Target="http://www.sec.gov/cgi-bin/browse-edgar?action=getcompany&amp;CIK=0001688307" TargetMode="External"/><Relationship Id="rId16" Type="http://schemas.openxmlformats.org/officeDocument/2006/relationships/hyperlink" Target="http://www.sec.gov/cgi-bin/browse-edgar?action=getcompany&amp;CIK=0001688304"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0" Type="http://schemas.openxmlformats.org/officeDocument/2006/relationships/hyperlink" Target="http://www.sec.gov/cgi-bin/browse-edgar?action=getcompany&amp;CIK=0001688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2019-12-07T15:26:27Z</dcterms:created>
  <dcterms:modified xsi:type="dcterms:W3CDTF">2019-12-07T15:26:27Z</dcterms:modified>
</cp:coreProperties>
</file>