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Standard BioTools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14a-12 under the Securities Exchange Act of 1934, as amended</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Subject Company: Standard BioTools Inc.</w:t>
      </w:r>
    </w:p>
    <w:p>
      <w:pPr>
        <w:spacing w:after="0" w:line="32" w:lineRule="exact"/>
        <w:rPr>
          <w:sz w:val="24"/>
          <w:szCs w:val="24"/>
          <w:color w:val="auto"/>
        </w:rPr>
      </w:pPr>
    </w:p>
    <w:p>
      <w:pPr>
        <w:ind w:left="8760"/>
        <w:spacing w:after="0"/>
        <w:rPr>
          <w:sz w:val="20"/>
          <w:szCs w:val="20"/>
          <w:color w:val="auto"/>
        </w:rPr>
      </w:pPr>
      <w:r>
        <w:rPr>
          <w:rFonts w:ascii="Arial" w:cs="Arial" w:eastAsia="Arial" w:hAnsi="Arial"/>
          <w:sz w:val="16"/>
          <w:szCs w:val="16"/>
          <w:b w:val="1"/>
          <w:bCs w:val="1"/>
          <w:color w:val="auto"/>
        </w:rPr>
        <w:t>Commission File No.: 001-34180</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Dear LABsters,</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morning, we announced our intent to merge with SomaLogic, (NASDAQ: SLGC), a company that shares our mission to power research insights that accelerate breakthroughs in human health. SomaLogic has developed and commercialized the most comprehensive, highest data quality serum proteome tool available, and their technology and team will be excellent complements to the comprehensive multi-omics powerhouse we are building. This is a leap forward for our company and I hope you will join me in celebrating the announcement!</w:t>
      </w:r>
    </w:p>
    <w:p>
      <w:pPr>
        <w:spacing w:after="0" w:line="187"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Our merger with SomaLogic activates our strategy to unlock value in our large, underserved industry. Our market is replete with great life science technologies, few of which are ever able to scale their operations and commercialize their solutions to meaningfully influence research. That is why I’m so excited about the opportunity ahead of us! We have ample capital, a growing suite of the highest plex, highest data quality life science tools, large-enterprise expertise and importantly, SBS operating discipline that underpins everything we do. Those advantages will position SBI + SomaLogic, uniquely, to bring to market a scalable, profit-generating platform that advances life science research.</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Uniting will fundamentally improve the growth and scalability of our organizations. Let me share how:</w:t>
      </w:r>
    </w:p>
    <w:p>
      <w:pPr>
        <w:spacing w:after="0" w:line="221" w:lineRule="exact"/>
        <w:rPr>
          <w:sz w:val="24"/>
          <w:szCs w:val="24"/>
          <w:color w:val="auto"/>
        </w:rPr>
      </w:pPr>
    </w:p>
    <w:p>
      <w:pPr>
        <w:jc w:val="both"/>
        <w:ind w:left="66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Technological leadership</w:t>
      </w:r>
      <w:r>
        <w:rPr>
          <w:rFonts w:ascii="Arial" w:cs="Arial" w:eastAsia="Arial" w:hAnsi="Arial"/>
          <w:sz w:val="18"/>
          <w:szCs w:val="18"/>
          <w:color w:val="auto"/>
        </w:rPr>
        <w:t>. The combination will accelerate growth by creating a comprehensive differentiated portfolio of three complementary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highest throughput and data quality proteomic solutions, which will couple with our genomics workstation to drive translational and clinical research insights.</w:t>
      </w:r>
    </w:p>
    <w:p>
      <w:pPr>
        <w:spacing w:after="0" w:line="175"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Expanded commercial reach. </w:t>
      </w:r>
      <w:r>
        <w:rPr>
          <w:rFonts w:ascii="Arial" w:cs="Arial" w:eastAsia="Arial" w:hAnsi="Arial"/>
          <w:sz w:val="17"/>
          <w:szCs w:val="17"/>
          <w:color w:val="auto"/>
        </w:rPr>
        <w:t>Growth will also benefit from broad new cross-selling opportunities. Our strong presence in academic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settings ideally complements SomaLogic’s significant biopharmaceutical footprint. New doors will open to biopharmaceutical customers we have been in pursuit of </w:t>
      </w:r>
      <w:r>
        <w:rPr>
          <w:rFonts w:ascii="Arial" w:cs="Arial" w:eastAsia="Arial" w:hAnsi="Arial"/>
          <w:sz w:val="17"/>
          <w:szCs w:val="17"/>
          <w:i w:val="1"/>
          <w:iCs w:val="1"/>
          <w:color w:val="auto"/>
        </w:rPr>
        <w:t>and</w:t>
      </w:r>
      <w:r>
        <w:rPr>
          <w:rFonts w:ascii="Arial" w:cs="Arial" w:eastAsia="Arial" w:hAnsi="Arial"/>
          <w:sz w:val="17"/>
          <w:szCs w:val="17"/>
          <w:color w:val="auto"/>
        </w:rPr>
        <w:t xml:space="preserve"> we will have differentiated technology to share with our existing customer base.</w:t>
      </w:r>
    </w:p>
    <w:p>
      <w:pPr>
        <w:spacing w:after="0" w:line="157"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Expedites our path to profitability. </w:t>
      </w:r>
      <w:r>
        <w:rPr>
          <w:rFonts w:ascii="Arial" w:cs="Arial" w:eastAsia="Arial" w:hAnsi="Arial"/>
          <w:sz w:val="18"/>
          <w:szCs w:val="18"/>
          <w:color w:val="auto"/>
        </w:rPr>
        <w:t>The elimination of redundant public company and G&amp;A costs, consolidation of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of SBS to SomaLogic’s organizational processes will generate profits that our businesses could not have realized alone. This truly is a 1+1= 3 opportunity for both organizations.</w:t>
      </w:r>
    </w:p>
    <w:p>
      <w:pPr>
        <w:spacing w:after="0" w:line="17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Stronger balance sheet</w:t>
      </w:r>
      <w:r>
        <w:rPr>
          <w:rFonts w:ascii="Arial" w:cs="Arial" w:eastAsia="Arial" w:hAnsi="Arial"/>
          <w:sz w:val="18"/>
          <w:szCs w:val="18"/>
          <w:color w:val="auto"/>
        </w:rPr>
        <w:t>. When the transaction closes, our new combined company will boast over $500 million in cash. That will be instrumental</w:t>
      </w:r>
      <w:r>
        <w:rPr>
          <w:rFonts w:ascii="Arial" w:cs="Arial" w:eastAsia="Arial" w:hAnsi="Arial"/>
          <w:sz w:val="18"/>
          <w:szCs w:val="18"/>
          <w:b w:val="1"/>
          <w:bCs w:val="1"/>
          <w:color w:val="auto"/>
        </w:rPr>
        <w:t xml:space="preserve"> </w:t>
      </w:r>
      <w:r>
        <w:rPr>
          <w:rFonts w:ascii="Arial" w:cs="Arial" w:eastAsia="Arial" w:hAnsi="Arial"/>
          <w:sz w:val="18"/>
          <w:szCs w:val="18"/>
          <w:color w:val="auto"/>
        </w:rPr>
        <w:t>to supporting our future growth initiatives.</w:t>
      </w:r>
    </w:p>
    <w:p>
      <w:pPr>
        <w:spacing w:after="0" w:line="16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Our united businesses will adopt the Standard BioTools name and the LAB stock ticker. I will continue as Chief Executive Officer, Jeff Black as Chief Financial Officer and Alex Kim as Chief Operating Officer. SomaLogic’s interim CEO, Adam Taich, will assume the role of Chief Strategy Officer and their Chief R&amp;D Officer, Shane Bowen, will serve as Chief Technology Officer. I hope you will join me in sincerely welcoming them, as well as SomaLogic’s talented team of over 400 employees in Boulder, CO, La Jolla, CA, and around the world.</w:t>
      </w:r>
    </w:p>
    <w:p>
      <w:pPr>
        <w:spacing w:after="0" w:line="187" w:lineRule="exact"/>
        <w:rPr>
          <w:sz w:val="24"/>
          <w:szCs w:val="24"/>
          <w:color w:val="auto"/>
        </w:rPr>
      </w:pPr>
    </w:p>
    <w:p>
      <w:pPr>
        <w:jc w:val="both"/>
        <w:spacing w:after="0" w:line="301" w:lineRule="auto"/>
        <w:rPr>
          <w:sz w:val="20"/>
          <w:szCs w:val="20"/>
          <w:color w:val="auto"/>
        </w:rPr>
      </w:pPr>
      <w:r>
        <w:rPr>
          <w:rFonts w:ascii="Arial" w:cs="Arial" w:eastAsia="Arial" w:hAnsi="Arial"/>
          <w:sz w:val="16"/>
          <w:szCs w:val="16"/>
          <w:color w:val="auto"/>
        </w:rPr>
        <w:t>We expect the transaction to close in the first quarter of 2024, which will be followed by a lot work to integrate our organizations. Until close, both companies will continue to operate as normal. Your role and the value you bring to our team will continue to be crucial as we strive for a strong close to 2023 and prepare for an even better 2024. Keep doing your job and doing it well! The only variable that is changing is the magnitude of the opportunity ahead. With SomaLogic, we are a stronger organization, and even better positioned to unleash tools that will accelerate breakthroughs in human health.</w:t>
      </w:r>
    </w:p>
    <w:p>
      <w:pPr>
        <w:spacing w:after="0" w:line="15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We will host a townhall today at 11:00 AM ET as well as 7:00 PM ET to provide additional details and answer questions. An FAQ document has also been linked here. While we will not have all the answers today, we will, and we are committed to keeping you apprised of progress. Feel free to reach out to your manager or SBI leadership with additional questions.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Be well LABsters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Michael Egholm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communication contains forward-looking statements that are subject to risks, uncertainties and other factors that could cause actual results to differ materially from those referred to in the forward-looking statements.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August 8,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parties undertake no obligation to revise or update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proposed transaction and required stockholder approval, Standard BioTools will file with the SEC a registration statement on 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and June 9,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2023-10-04T15:39:25Z</dcterms:created>
  <dcterms:modified xsi:type="dcterms:W3CDTF">2023-10-04T15:39:25Z</dcterms:modified>
</cp:coreProperties>
</file>