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150495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170180</wp:posOffset>
            </wp:positionV>
            <wp:extent cx="2383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173990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Standard BioTools Inc.</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171450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25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001-34180</w:t>
            </w:r>
          </w:p>
        </w:tc>
        <w:tc>
          <w:tcPr>
            <w:tcW w:w="31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77-0513190</w:t>
            </w:r>
          </w:p>
        </w:tc>
        <w:tc>
          <w:tcPr>
            <w:tcW w:w="0" w:type="dxa"/>
            <w:vAlign w:val="bottom"/>
          </w:tcPr>
          <w:p>
            <w:pPr>
              <w:spacing w:after="0"/>
              <w:rPr>
                <w:sz w:val="1"/>
                <w:szCs w:val="1"/>
                <w:color w:val="auto"/>
              </w:rPr>
            </w:pPr>
          </w:p>
        </w:tc>
      </w:tr>
      <w:tr>
        <w:trPr>
          <w:trHeight w:val="216"/>
        </w:trPr>
        <w:tc>
          <w:tcPr>
            <w:tcW w:w="25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3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c>
          <w:tcPr>
            <w:tcW w:w="0" w:type="dxa"/>
            <w:vAlign w:val="bottom"/>
          </w:tcPr>
          <w:p>
            <w:pPr>
              <w:spacing w:after="0"/>
              <w:rPr>
                <w:sz w:val="1"/>
                <w:szCs w:val="1"/>
                <w:color w:val="auto"/>
              </w:rPr>
            </w:pPr>
          </w:p>
        </w:tc>
      </w:tr>
      <w:tr>
        <w:trPr>
          <w:trHeight w:val="234"/>
        </w:trPr>
        <w:tc>
          <w:tcPr>
            <w:tcW w:w="25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3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50 Milk Street, 10th Floor</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560" w:type="dxa"/>
            <w:vAlign w:val="bottom"/>
          </w:tcPr>
          <w:p>
            <w:pPr>
              <w:spacing w:after="0"/>
              <w:rPr>
                <w:sz w:val="16"/>
                <w:szCs w:val="16"/>
                <w:color w:val="auto"/>
              </w:rPr>
            </w:pPr>
          </w:p>
        </w:tc>
        <w:tc>
          <w:tcPr>
            <w:tcW w:w="4380" w:type="dxa"/>
            <w:vAlign w:val="bottom"/>
            <w:vMerge w:val="continue"/>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560" w:type="dxa"/>
            <w:vAlign w:val="bottom"/>
          </w:tcPr>
          <w:p>
            <w:pPr>
              <w:spacing w:after="0"/>
              <w:rPr>
                <w:sz w:val="19"/>
                <w:szCs w:val="19"/>
                <w:color w:val="auto"/>
              </w:rPr>
            </w:pPr>
          </w:p>
        </w:tc>
        <w:tc>
          <w:tcPr>
            <w:tcW w:w="43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Boston, Massachusetts 02109</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60" w:type="dxa"/>
            <w:vAlign w:val="bottom"/>
          </w:tcPr>
          <w:p>
            <w:pPr>
              <w:spacing w:after="0"/>
              <w:rPr>
                <w:sz w:val="19"/>
                <w:szCs w:val="19"/>
                <w:color w:val="auto"/>
              </w:rPr>
            </w:pP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(650) 266-6000</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145415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8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LAB</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52" w:lineRule="exact"/>
        <w:rPr>
          <w:sz w:val="24"/>
          <w:szCs w:val="24"/>
          <w:color w:val="auto"/>
        </w:rPr>
      </w:pPr>
    </w:p>
    <w:p>
      <w:pPr>
        <w:ind w:right="220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21" w:lineRule="exact"/>
        <w:rPr>
          <w:sz w:val="20"/>
          <w:szCs w:val="20"/>
          <w:color w:val="auto"/>
        </w:rPr>
      </w:pPr>
    </w:p>
    <w:p>
      <w:pPr>
        <w:jc w:val="both"/>
        <w:ind w:right="60" w:firstLine="449"/>
        <w:spacing w:after="0" w:line="282" w:lineRule="auto"/>
        <w:rPr>
          <w:sz w:val="20"/>
          <w:szCs w:val="20"/>
          <w:color w:val="auto"/>
        </w:rPr>
      </w:pPr>
      <w:r>
        <w:rPr>
          <w:rFonts w:ascii="Times New Roman" w:cs="Times New Roman" w:eastAsia="Times New Roman" w:hAnsi="Times New Roman"/>
          <w:sz w:val="18"/>
          <w:szCs w:val="18"/>
          <w:color w:val="auto"/>
        </w:rPr>
        <w:t>On February 24, 2026, Standard BioTools Inc. issued a press release which included information with respect to certain financial results for the three months and fiscal year ended December 31, 2025. The press release is attached hereto as Exhibit 99.1.</w:t>
      </w:r>
    </w:p>
    <w:p>
      <w:pPr>
        <w:spacing w:after="0" w:line="162"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The information set forth in the press release, except for the information set forth under the headings “Full Year 2026 Revenue Outlook” and “About Standard BioTools Inc.”, together with the forward-looking statement disclaimer, is incorporated by reference into this Item 2.02 of this Current Report on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97"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The information set forth under the headings “Full Year 2026 Revenue Outlook” and “About Standard BioTools Inc.”, together with the forward-looking statement disclaimer, is incorporated by reference into this Item 7.01 of this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 w:type="dxa"/>
            <w:vAlign w:val="bottom"/>
          </w:tcPr>
          <w:p>
            <w:pPr>
              <w:spacing w:after="0"/>
              <w:rPr>
                <w:sz w:val="20"/>
                <w:szCs w:val="20"/>
                <w:color w:val="auto"/>
              </w:rPr>
            </w:pPr>
          </w:p>
        </w:tc>
        <w:tc>
          <w:tcPr>
            <w:tcW w:w="10000" w:type="dxa"/>
            <w:vAlign w:val="bottom"/>
            <w:tcBorders>
              <w:bottom w:val="single" w:sz="8" w:color="auto"/>
            </w:tcBorders>
            <w:gridSpan w:val="2"/>
          </w:tcPr>
          <w:p>
            <w:pPr>
              <w:ind w:left="4580"/>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11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100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0000FF"/>
              </w:rPr>
              <w:t>Press release issued by Standard BioTools Inc., dated February 24, 2026</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40" w:type="dxa"/>
            <w:vAlign w:val="bottom"/>
            <w:tcBorders>
              <w:right w:val="single" w:sz="8" w:color="0000EE"/>
            </w:tcBorders>
            <w:shd w:val="clear" w:color="auto" w:fill="0000FF"/>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4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The information in Item 2.02 and Item 7.01 of this Current Report on Form 8-K, including Exhibit 99.1 attached hereto,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Date:</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648"/>
        </w:trPr>
        <w:tc>
          <w:tcPr>
            <w:tcW w:w="11240" w:type="dxa"/>
            <w:vAlign w:val="bottom"/>
            <w:gridSpan w:val="2"/>
          </w:tcPr>
          <w:p>
            <w:pPr>
              <w:ind w:left="6420"/>
              <w:spacing w:after="0"/>
              <w:rPr>
                <w:sz w:val="20"/>
                <w:szCs w:val="20"/>
                <w:color w:val="auto"/>
              </w:rPr>
            </w:pPr>
            <w:r>
              <w:rPr>
                <w:rFonts w:ascii="Times New Roman" w:cs="Times New Roman" w:eastAsia="Times New Roman" w:hAnsi="Times New Roman"/>
                <w:sz w:val="18"/>
                <w:szCs w:val="18"/>
                <w:b w:val="1"/>
                <w:bCs w:val="1"/>
                <w:color w:val="auto"/>
              </w:rPr>
              <w:t>STANDARD BIOTOOLS INC.</w:t>
            </w:r>
          </w:p>
        </w:tc>
      </w:tr>
      <w:tr>
        <w:trPr>
          <w:trHeight w:val="432"/>
        </w:trPr>
        <w:tc>
          <w:tcPr>
            <w:tcW w:w="720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Alex Kim</w:t>
            </w:r>
          </w:p>
        </w:tc>
      </w:tr>
      <w:tr>
        <w:trPr>
          <w:trHeight w:val="191"/>
        </w:trPr>
        <w:tc>
          <w:tcPr>
            <w:tcW w:w="7200" w:type="dxa"/>
            <w:vAlign w:val="bottom"/>
          </w:tcPr>
          <w:p>
            <w:pPr>
              <w:ind w:left="64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Alex Kim</w:t>
            </w:r>
          </w:p>
        </w:tc>
      </w:tr>
      <w:tr>
        <w:trPr>
          <w:trHeight w:val="234"/>
        </w:trPr>
        <w:tc>
          <w:tcPr>
            <w:tcW w:w="720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72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00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985520" cy="702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855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Standard BioTools Reports Fourth Quarter and Full Year 2025 Financial Results</w:t>
      </w:r>
    </w:p>
    <w:p>
      <w:pPr>
        <w:spacing w:after="0" w:line="247"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BOSTON, Mass., February 24, 2026 (GLOBE NEWSWIRE) -- Standard BioTools Inc. (NASDAQ: LAB) (the “Company” or “Standard BioTools”) today announced financial results for the quarter and fiscal year ended December 31,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Highlights:</w:t>
      </w:r>
    </w:p>
    <w:p>
      <w:pPr>
        <w:spacing w:after="0" w:line="108"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Fourth quarter 2025 revenue from Continuing Operations of $23.8 million; Full Year 2025 revenue of $85.3 million</w:t>
      </w:r>
    </w:p>
    <w:p>
      <w:pPr>
        <w:spacing w:after="0" w:line="107" w:lineRule="exact"/>
        <w:rPr>
          <w:rFonts w:ascii="Times New Roman" w:cs="Times New Roman" w:eastAsia="Times New Roman" w:hAnsi="Times New Roman"/>
          <w:sz w:val="20"/>
          <w:szCs w:val="20"/>
          <w:color w:val="auto"/>
        </w:rPr>
      </w:pPr>
    </w:p>
    <w:p>
      <w:pPr>
        <w:ind w:left="760" w:right="600" w:hanging="378"/>
        <w:spacing w:after="0" w:line="273"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Fully operationalized over $40 million in previously announced annualized cost savings supporting path to positive adjusted EBITDA and adjusted cash flow exiting 2026</w:t>
      </w:r>
    </w:p>
    <w:p>
      <w:pPr>
        <w:spacing w:after="0" w:line="56" w:lineRule="exact"/>
        <w:rPr>
          <w:rFonts w:ascii="Times New Roman" w:cs="Times New Roman" w:eastAsia="Times New Roman" w:hAnsi="Times New Roman"/>
          <w:sz w:val="20"/>
          <w:szCs w:val="20"/>
          <w:color w:val="auto"/>
        </w:rPr>
      </w:pPr>
    </w:p>
    <w:p>
      <w:pPr>
        <w:ind w:left="760" w:right="60" w:hanging="378"/>
        <w:spacing w:after="0" w:line="22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Approximately $550 Million in cash &amp; investments following the closing of the SomaLogic transaction on January 30, 2026</w:t>
      </w:r>
      <w:r>
        <w:rPr>
          <w:rFonts w:ascii="Times New Roman" w:cs="Times New Roman" w:eastAsia="Times New Roman" w:hAnsi="Times New Roman"/>
          <w:sz w:val="26"/>
          <w:szCs w:val="26"/>
          <w:b w:val="1"/>
          <w:bCs w:val="1"/>
          <w:i w:val="1"/>
          <w:iCs w:val="1"/>
          <w:color w:val="auto"/>
          <w:vertAlign w:val="superscript"/>
        </w:rPr>
        <w:t>1</w:t>
      </w:r>
      <w:r>
        <w:rPr>
          <w:rFonts w:ascii="Times New Roman" w:cs="Times New Roman" w:eastAsia="Times New Roman" w:hAnsi="Times New Roman"/>
          <w:sz w:val="20"/>
          <w:szCs w:val="20"/>
          <w:i w:val="1"/>
          <w:iCs w:val="1"/>
          <w:color w:val="auto"/>
        </w:rPr>
        <w:t xml:space="preserve"> to fuel inorganic growth strategy</w:t>
      </w:r>
    </w:p>
    <w:p>
      <w:pPr>
        <w:spacing w:after="0" w:line="8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“We delivered a strong finish to the year with better-than-expected performance, driven by disciplined execution across the business,” said Michael Egholm, PhD, President and Chief Executive Officer of Standard BioTools. “Our team continued to deliver tangible efficiency gains fully operationalizing over $40 million in previously announced cost savings and exiting the year with meaningfully lower run-rate operating expenses, reinforcing progress toward achieving our 2026 profitability targets.”</w:t>
      </w:r>
    </w:p>
    <w:p>
      <w:pPr>
        <w:spacing w:after="0" w:line="193"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0"/>
          <w:szCs w:val="20"/>
          <w:color w:val="auto"/>
        </w:rPr>
        <w:t>Dr. Egholm continued, “Looking ahead, we enter 2026 with a focused and streamlined business, a proven team executing with the rigor of the Standard BioTools Business System (SBS), a strong balance sheet following the strategic sale of SomaLogic to Illumina, and approximately $1 billion in NOL carryforwards. Taken together, these differentiated assets provide significant flexibility to pursue disciplined M&amp;A and drive long-term shareholder value.”</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Financial Results Table: Continuing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0" w:type="dxa"/>
            <w:vAlign w:val="bottom"/>
            <w:gridSpan w:val="6"/>
          </w:tcPr>
          <w:p>
            <w:pPr>
              <w:jc w:val="right"/>
              <w:ind w:right="2220"/>
              <w:spacing w:after="0"/>
              <w:rPr>
                <w:sz w:val="20"/>
                <w:szCs w:val="20"/>
                <w:color w:val="auto"/>
              </w:rPr>
            </w:pPr>
            <w:r>
              <w:rPr>
                <w:rFonts w:ascii="Times New Roman" w:cs="Times New Roman" w:eastAsia="Times New Roman" w:hAnsi="Times New Roman"/>
                <w:sz w:val="18"/>
                <w:szCs w:val="18"/>
                <w:b w:val="1"/>
                <w:bCs w:val="1"/>
                <w:color w:val="auto"/>
              </w:rPr>
              <w:t>As Reported</w:t>
            </w:r>
          </w:p>
        </w:tc>
      </w:tr>
      <w:tr>
        <w:trPr>
          <w:trHeight w:val="187"/>
        </w:trPr>
        <w:tc>
          <w:tcPr>
            <w:tcW w:w="60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gridSpan w:val="2"/>
          </w:tcPr>
          <w:p>
            <w:pPr>
              <w:jc w:val="right"/>
              <w:ind w:right="600"/>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Twelve Months Ended</w:t>
            </w:r>
          </w:p>
        </w:tc>
        <w:tc>
          <w:tcPr>
            <w:tcW w:w="180" w:type="dxa"/>
            <w:vAlign w:val="bottom"/>
          </w:tcPr>
          <w:p>
            <w:pPr>
              <w:spacing w:after="0"/>
              <w:rPr>
                <w:sz w:val="16"/>
                <w:szCs w:val="16"/>
                <w:color w:val="auto"/>
              </w:rPr>
            </w:pPr>
          </w:p>
        </w:tc>
      </w:tr>
      <w:tr>
        <w:trPr>
          <w:trHeight w:val="238"/>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 millions, except percentages)</w:t>
            </w: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0"/>
                <w:szCs w:val="20"/>
                <w:color w:val="auto"/>
              </w:rPr>
            </w:pPr>
          </w:p>
        </w:tc>
      </w:tr>
      <w:tr>
        <w:trPr>
          <w:trHeight w:val="21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80" w:type="dxa"/>
            <w:vAlign w:val="bottom"/>
            <w:shd w:val="clear" w:color="auto" w:fill="CFF0FC"/>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Pr>
          <w:p>
            <w:pPr>
              <w:spacing w:after="0"/>
              <w:rPr>
                <w:sz w:val="18"/>
                <w:szCs w:val="18"/>
                <w:color w:val="auto"/>
              </w:rPr>
            </w:pPr>
          </w:p>
        </w:tc>
        <w:tc>
          <w:tcPr>
            <w:tcW w:w="2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22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80" w:type="dxa"/>
            <w:vAlign w:val="bottom"/>
          </w:tcPr>
          <w:p>
            <w:pPr>
              <w:spacing w:after="0"/>
              <w:rPr>
                <w:sz w:val="18"/>
                <w:szCs w:val="18"/>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80" w:type="dxa"/>
            <w:vAlign w:val="bottom"/>
            <w:shd w:val="clear" w:color="auto" w:fill="CFF0FC"/>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(110.2)</w:t>
            </w: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(58.8)</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liquid investments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2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8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0" w:firstLine="8"/>
        <w:spacing w:after="0" w:line="233" w:lineRule="auto"/>
        <w:tabs>
          <w:tab w:leader="none" w:pos="105"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0"/>
          <w:szCs w:val="20"/>
          <w:color w:val="auto"/>
        </w:rPr>
        <w:t>This approximate cash and investments balance is unaudited and may be adjusted as a result of, among other things, completion of financial closing procedures and internal reviews. This financial information does not represent a comprehensive statement of the Company’s current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2025 Financial Results: Continuing Operations</w:t>
      </w:r>
    </w:p>
    <w:p>
      <w:pPr>
        <w:spacing w:after="0" w:line="233"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color w:val="auto"/>
        </w:rPr>
        <w:t>Following the announced sale of SomaLogic, Inc. (“SomaLogic”) and other specified assets to Illumina, Inc. (“Illumina”) in June 2025, which transaction closed in January 2026, all financial results in this section reflect continuing operations only.</w:t>
      </w:r>
    </w:p>
    <w:p>
      <w:pPr>
        <w:spacing w:after="0" w:line="169"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Revenue </w:t>
      </w:r>
      <w:r>
        <w:rPr>
          <w:rFonts w:ascii="Times New Roman" w:cs="Times New Roman" w:eastAsia="Times New Roman" w:hAnsi="Times New Roman"/>
          <w:sz w:val="20"/>
          <w:szCs w:val="20"/>
          <w:color w:val="auto"/>
        </w:rPr>
        <w:t>was $23.8 million in the fourth quarter of 2025, down 4% year-over-year.</w:t>
      </w:r>
    </w:p>
    <w:p>
      <w:pPr>
        <w:spacing w:after="0" w:line="25" w:lineRule="exact"/>
        <w:rPr>
          <w:rFonts w:ascii="Times New Roman" w:cs="Times New Roman" w:eastAsia="Times New Roman" w:hAnsi="Times New Roman"/>
          <w:sz w:val="18"/>
          <w:szCs w:val="18"/>
          <w:color w:val="auto"/>
        </w:rPr>
      </w:pPr>
    </w:p>
    <w:p>
      <w:pPr>
        <w:ind w:left="1500" w:right="400" w:hanging="369"/>
        <w:spacing w:after="0" w:line="246" w:lineRule="auto"/>
        <w:tabs>
          <w:tab w:leader="none" w:pos="150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Consumables </w:t>
      </w:r>
      <w:r>
        <w:rPr>
          <w:rFonts w:ascii="Times New Roman" w:cs="Times New Roman" w:eastAsia="Times New Roman" w:hAnsi="Times New Roman"/>
          <w:sz w:val="20"/>
          <w:szCs w:val="20"/>
          <w:color w:val="auto"/>
        </w:rPr>
        <w:t>revenue was $9.0 million in the fourth quarter of 2025, down 17% year-over-year. Lower consumables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revenue in the quarter reflected project funding declines primarily in flow and microfluidics.</w:t>
      </w:r>
    </w:p>
    <w:p>
      <w:pPr>
        <w:spacing w:after="0" w:line="29" w:lineRule="exact"/>
        <w:rPr>
          <w:rFonts w:ascii="Times New Roman" w:cs="Times New Roman" w:eastAsia="Times New Roman" w:hAnsi="Times New Roman"/>
          <w:sz w:val="20"/>
          <w:szCs w:val="20"/>
          <w:color w:val="auto"/>
        </w:rPr>
      </w:pPr>
    </w:p>
    <w:p>
      <w:pPr>
        <w:ind w:left="1500" w:right="80" w:hanging="369"/>
        <w:spacing w:after="0" w:line="256" w:lineRule="auto"/>
        <w:tabs>
          <w:tab w:leader="none" w:pos="150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Instruments </w:t>
      </w:r>
      <w:r>
        <w:rPr>
          <w:rFonts w:ascii="Times New Roman" w:cs="Times New Roman" w:eastAsia="Times New Roman" w:hAnsi="Times New Roman"/>
          <w:sz w:val="20"/>
          <w:szCs w:val="20"/>
          <w:color w:val="auto"/>
        </w:rPr>
        <w:t>revenue was $8.5 million in the fourth quarter of 2025, up 10% year-over-year. Instrument revenue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quarter reflected strong growth in imaging but overall remained impacted by capital-constrained end-markets, particularly in the Americas.</w:t>
      </w:r>
    </w:p>
    <w:p>
      <w:pPr>
        <w:spacing w:after="0" w:line="33" w:lineRule="exact"/>
        <w:rPr>
          <w:rFonts w:ascii="Times New Roman" w:cs="Times New Roman" w:eastAsia="Times New Roman" w:hAnsi="Times New Roman"/>
          <w:sz w:val="20"/>
          <w:szCs w:val="20"/>
          <w:color w:val="auto"/>
        </w:rPr>
      </w:pPr>
    </w:p>
    <w:p>
      <w:pPr>
        <w:ind w:left="1500" w:right="20" w:hanging="369"/>
        <w:spacing w:after="0" w:line="250" w:lineRule="auto"/>
        <w:tabs>
          <w:tab w:leader="none" w:pos="15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Services </w:t>
      </w:r>
      <w:r>
        <w:rPr>
          <w:rFonts w:ascii="Times New Roman" w:cs="Times New Roman" w:eastAsia="Times New Roman" w:hAnsi="Times New Roman"/>
          <w:sz w:val="20"/>
          <w:szCs w:val="20"/>
          <w:color w:val="auto"/>
        </w:rPr>
        <w:t>revenue, which is predominantly Field Services, was $6.4 million in the fourth quarter of 2025, up 1% year-over-year. Lab Services revenue increased due to higher demand from pharmaceutical customers, offset by decreased Field Services revenue due to fewer active service contracts and lower on-demand revenue driven by improved instrument quality and uptime.</w:t>
      </w:r>
    </w:p>
    <w:p>
      <w:pPr>
        <w:spacing w:after="0" w:line="364" w:lineRule="exact"/>
        <w:rPr>
          <w:rFonts w:ascii="Times New Roman" w:cs="Times New Roman" w:eastAsia="Times New Roman" w:hAnsi="Times New Roman"/>
          <w:sz w:val="18"/>
          <w:szCs w:val="18"/>
          <w:color w:val="auto"/>
        </w:rPr>
      </w:pPr>
    </w:p>
    <w:p>
      <w:pPr>
        <w:ind w:left="760" w:right="280" w:hanging="378"/>
        <w:spacing w:after="0" w:line="25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Gross margins </w:t>
      </w:r>
      <w:r>
        <w:rPr>
          <w:rFonts w:ascii="Times New Roman" w:cs="Times New Roman" w:eastAsia="Times New Roman" w:hAnsi="Times New Roman"/>
          <w:sz w:val="20"/>
          <w:szCs w:val="20"/>
          <w:color w:val="auto"/>
        </w:rPr>
        <w:t>in the fourth quarter of 2025 were approximately 47.8%, versus 45.8% in the fourth quarter of 2024; and non-GAAP gross margins in the fourth quarter of 2025 were approximately 50.3%, versus 48.1% in the fourth quarter of 2024. Gross margins and non-GAAP gross margins were driven by volume and product mix.</w:t>
      </w:r>
    </w:p>
    <w:p>
      <w:pPr>
        <w:spacing w:after="0" w:line="290" w:lineRule="exact"/>
        <w:rPr>
          <w:rFonts w:ascii="Times New Roman" w:cs="Times New Roman" w:eastAsia="Times New Roman" w:hAnsi="Times New Roman"/>
          <w:sz w:val="18"/>
          <w:szCs w:val="18"/>
          <w:color w:val="auto"/>
        </w:rPr>
      </w:pPr>
    </w:p>
    <w:p>
      <w:pPr>
        <w:ind w:left="760" w:right="260" w:hanging="378"/>
        <w:spacing w:after="0" w:line="247"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Operating expenses </w:t>
      </w:r>
      <w:r>
        <w:rPr>
          <w:rFonts w:ascii="Times New Roman" w:cs="Times New Roman" w:eastAsia="Times New Roman" w:hAnsi="Times New Roman"/>
          <w:sz w:val="20"/>
          <w:szCs w:val="20"/>
          <w:color w:val="auto"/>
        </w:rPr>
        <w:t>in the fourth quarter of 2025 were $36.0 million, a decrease of $1.4 million, or down 4%, compared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fourth quarter of 2024. Operating expenses included $2.1 million in restructuring and related charges. Non-GAAP operating expenses, which exclude transaction costs, stock-based compensation, and restructuring charges, were $27.8 million in the fourth quarter of 2025, a decrease of $0.4 million, or down 1%, compared to the fourth quarter of 2024. The decrease in operating expenses was due to restructuring actions.</w:t>
      </w:r>
    </w:p>
    <w:p>
      <w:pPr>
        <w:spacing w:after="0" w:line="301" w:lineRule="exact"/>
        <w:rPr>
          <w:rFonts w:ascii="Times New Roman" w:cs="Times New Roman" w:eastAsia="Times New Roman" w:hAnsi="Times New Roman"/>
          <w:sz w:val="18"/>
          <w:szCs w:val="18"/>
          <w:color w:val="auto"/>
        </w:rPr>
      </w:pPr>
    </w:p>
    <w:p>
      <w:pPr>
        <w:ind w:left="760" w:right="140" w:hanging="378"/>
        <w:spacing w:after="0" w:line="264"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b w:val="1"/>
          <w:bCs w:val="1"/>
          <w:color w:val="auto"/>
        </w:rPr>
        <w:t xml:space="preserve">Net income </w:t>
      </w:r>
      <w:r>
        <w:rPr>
          <w:rFonts w:ascii="Times New Roman" w:cs="Times New Roman" w:eastAsia="Times New Roman" w:hAnsi="Times New Roman"/>
          <w:sz w:val="19"/>
          <w:szCs w:val="19"/>
          <w:color w:val="auto"/>
        </w:rPr>
        <w:t>for the fourth quarter of 2025 was $13.9 million, compared to a net loss of $27.2 million in the fourth quarter of 2024,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representing a change of $41.1 million or 151%. The improvement primarily reflects a one-time, non-cash partial release of $38.4 million of the U.S. deferred tax valuation allowance, based on expected gains from the Sengenics and SomaLogic divestitures and our conclusion that this portion will be realized. Adjusted EBITDA for the fourth quarter of 2025 was a loss of $15.8 million, versus an adjusted EBITDA loss of $16.2 million in the fourth quarter of 2024, an improvement of $0.4 million, or 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 Year 2025 Financial Results: Continuing Operations</w:t>
      </w:r>
    </w:p>
    <w:p>
      <w:pPr>
        <w:spacing w:after="0" w:line="233"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Following the announced sale of SomaLogic and other specified assets to Illumina, in June 2025, which transaction closed in January 2026, all financial results in this section reflect continuing operations only.</w:t>
      </w:r>
    </w:p>
    <w:p>
      <w:pPr>
        <w:spacing w:after="0" w:line="169"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Revenue </w:t>
      </w:r>
      <w:r>
        <w:rPr>
          <w:rFonts w:ascii="Times New Roman" w:cs="Times New Roman" w:eastAsia="Times New Roman" w:hAnsi="Times New Roman"/>
          <w:sz w:val="20"/>
          <w:szCs w:val="20"/>
          <w:color w:val="auto"/>
        </w:rPr>
        <w:t>was $85.3 million in 2025, down 6% year-over-year.</w:t>
      </w:r>
    </w:p>
    <w:p>
      <w:pPr>
        <w:spacing w:after="0" w:line="25" w:lineRule="exact"/>
        <w:rPr>
          <w:rFonts w:ascii="Times New Roman" w:cs="Times New Roman" w:eastAsia="Times New Roman" w:hAnsi="Times New Roman"/>
          <w:sz w:val="18"/>
          <w:szCs w:val="18"/>
          <w:color w:val="auto"/>
        </w:rPr>
      </w:pPr>
    </w:p>
    <w:p>
      <w:pPr>
        <w:ind w:left="1500" w:right="400" w:hanging="369"/>
        <w:spacing w:after="0" w:line="246" w:lineRule="auto"/>
        <w:tabs>
          <w:tab w:leader="none" w:pos="15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Consumables </w:t>
      </w:r>
      <w:r>
        <w:rPr>
          <w:rFonts w:ascii="Times New Roman" w:cs="Times New Roman" w:eastAsia="Times New Roman" w:hAnsi="Times New Roman"/>
          <w:sz w:val="20"/>
          <w:szCs w:val="20"/>
          <w:color w:val="auto"/>
        </w:rPr>
        <w:t>revenue was $36.2 million in 2025, down 11% year-over-year. Lower consumables revenue in the year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reflected project funding declines in flow and microfluidics.</w:t>
      </w:r>
    </w:p>
    <w:p>
      <w:pPr>
        <w:spacing w:after="0" w:line="29" w:lineRule="exact"/>
        <w:rPr>
          <w:rFonts w:ascii="Times New Roman" w:cs="Times New Roman" w:eastAsia="Times New Roman" w:hAnsi="Times New Roman"/>
          <w:sz w:val="20"/>
          <w:szCs w:val="20"/>
          <w:color w:val="auto"/>
        </w:rPr>
      </w:pPr>
    </w:p>
    <w:p>
      <w:pPr>
        <w:ind w:left="1500" w:hanging="369"/>
        <w:spacing w:after="0" w:line="273" w:lineRule="auto"/>
        <w:tabs>
          <w:tab w:leader="none" w:pos="15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Instruments </w:t>
      </w:r>
      <w:r>
        <w:rPr>
          <w:rFonts w:ascii="Times New Roman" w:cs="Times New Roman" w:eastAsia="Times New Roman" w:hAnsi="Times New Roman"/>
          <w:sz w:val="20"/>
          <w:szCs w:val="20"/>
          <w:color w:val="auto"/>
        </w:rPr>
        <w:t>revenue was $25.4 million in 2025, up 2% year-over-year. Instrument revenue in the year reflected growth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imaging but overall remained impacted by capital-constrained end-markets globally.</w:t>
      </w:r>
    </w:p>
    <w:p>
      <w:pPr>
        <w:spacing w:after="0" w:line="16" w:lineRule="exact"/>
        <w:rPr>
          <w:rFonts w:ascii="Times New Roman" w:cs="Times New Roman" w:eastAsia="Times New Roman" w:hAnsi="Times New Roman"/>
          <w:sz w:val="20"/>
          <w:szCs w:val="20"/>
          <w:color w:val="auto"/>
        </w:rPr>
      </w:pPr>
    </w:p>
    <w:p>
      <w:pPr>
        <w:ind w:left="1500" w:right="580" w:hanging="369"/>
        <w:spacing w:after="0" w:line="273" w:lineRule="auto"/>
        <w:tabs>
          <w:tab w:leader="none" w:pos="15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Services </w:t>
      </w:r>
      <w:r>
        <w:rPr>
          <w:rFonts w:ascii="Times New Roman" w:cs="Times New Roman" w:eastAsia="Times New Roman" w:hAnsi="Times New Roman"/>
          <w:sz w:val="20"/>
          <w:szCs w:val="20"/>
          <w:color w:val="auto"/>
        </w:rPr>
        <w:t>revenue, which is predominantly Field Services, was $23.7 million in 2025, down 7% year-over-year. Lab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revenue increased due to higher demand from pharmaceutical customers, offset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left="1500" w:right="100"/>
        <w:spacing w:after="0" w:line="269" w:lineRule="auto"/>
        <w:rPr>
          <w:sz w:val="20"/>
          <w:szCs w:val="20"/>
          <w:color w:val="auto"/>
        </w:rPr>
      </w:pPr>
      <w:r>
        <w:rPr>
          <w:rFonts w:ascii="Times New Roman" w:cs="Times New Roman" w:eastAsia="Times New Roman" w:hAnsi="Times New Roman"/>
          <w:sz w:val="20"/>
          <w:szCs w:val="20"/>
          <w:color w:val="auto"/>
        </w:rPr>
        <w:t>decreased Field Services revenue due to fewer active service contracts and lower on-demand revenue driven by improved instrument quality and uptime.</w:t>
      </w:r>
    </w:p>
    <w:p>
      <w:pPr>
        <w:spacing w:after="0" w:line="344" w:lineRule="exact"/>
        <w:rPr>
          <w:sz w:val="20"/>
          <w:szCs w:val="20"/>
          <w:color w:val="auto"/>
        </w:rPr>
      </w:pPr>
    </w:p>
    <w:p>
      <w:pPr>
        <w:jc w:val="both"/>
        <w:ind w:left="1780" w:hanging="515"/>
        <w:spacing w:after="0" w:line="256" w:lineRule="auto"/>
        <w:tabs>
          <w:tab w:leader="none" w:pos="17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Gross margins </w:t>
      </w:r>
      <w:r>
        <w:rPr>
          <w:rFonts w:ascii="Times New Roman" w:cs="Times New Roman" w:eastAsia="Times New Roman" w:hAnsi="Times New Roman"/>
          <w:sz w:val="20"/>
          <w:szCs w:val="20"/>
          <w:color w:val="auto"/>
        </w:rPr>
        <w:t>in 2025 were approximately 49.9%, versus 49.3% in 2024; and non-GAAP gross margins in 2025 were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approximately 53.6%, versus 53.3% in 2024. Gross margins and non-GAAP gross margins were driven by volume and product mix.</w:t>
      </w:r>
    </w:p>
    <w:p>
      <w:pPr>
        <w:spacing w:after="0" w:line="290" w:lineRule="exact"/>
        <w:rPr>
          <w:rFonts w:ascii="Times New Roman" w:cs="Times New Roman" w:eastAsia="Times New Roman" w:hAnsi="Times New Roman"/>
          <w:sz w:val="18"/>
          <w:szCs w:val="18"/>
          <w:color w:val="auto"/>
        </w:rPr>
      </w:pPr>
    </w:p>
    <w:p>
      <w:pPr>
        <w:ind w:left="1780" w:right="60" w:hanging="515"/>
        <w:spacing w:after="0" w:line="247" w:lineRule="auto"/>
        <w:tabs>
          <w:tab w:leader="none" w:pos="17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Operating expenses </w:t>
      </w:r>
      <w:r>
        <w:rPr>
          <w:rFonts w:ascii="Times New Roman" w:cs="Times New Roman" w:eastAsia="Times New Roman" w:hAnsi="Times New Roman"/>
          <w:sz w:val="20"/>
          <w:szCs w:val="20"/>
          <w:color w:val="auto"/>
        </w:rPr>
        <w:t>in 2025 were $152.8 million, a decrease of $19.6 million, or down 11%, compared to 2024.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Operating expenses included $14.8 million in restructuring and related charges. Non-GAAP operating expenses, which exclude transaction costs, stock-based compensation, and restructuring charges, were $108.3 million in 2025, a decrease of $4.4 million, or down 4%, compared to 2024. The decrease in operating expenses was due to restructuring actions.</w:t>
      </w:r>
    </w:p>
    <w:p>
      <w:pPr>
        <w:spacing w:after="0" w:line="301" w:lineRule="exact"/>
        <w:rPr>
          <w:rFonts w:ascii="Times New Roman" w:cs="Times New Roman" w:eastAsia="Times New Roman" w:hAnsi="Times New Roman"/>
          <w:sz w:val="20"/>
          <w:szCs w:val="20"/>
          <w:color w:val="auto"/>
        </w:rPr>
      </w:pPr>
    </w:p>
    <w:p>
      <w:pPr>
        <w:ind w:left="1780" w:right="140" w:hanging="515"/>
        <w:spacing w:after="0" w:line="247" w:lineRule="auto"/>
        <w:tabs>
          <w:tab w:leader="none" w:pos="17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for 2025 was $58.8 million, compared to a net loss of $90.9 million in 2024, representing an improvement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$32.1 million or 35%. The improvement primarily reflects a one-time, non-cash partial release of $38.4 million of the U.S. deferred tax valuation allowance, based on expected gains from the Sengenics and SomaLogic divestitures and our conclusion that this portion will be realized. Adjusted EBITDA for 2025 was a loss of $62.6 million, versus an adjusted EBITDA loss of $64.2 million in 2024, an improvement of $1.7 million, or 3%.</w:t>
      </w:r>
    </w:p>
    <w:p>
      <w:pPr>
        <w:spacing w:after="0" w:line="301" w:lineRule="exact"/>
        <w:rPr>
          <w:rFonts w:ascii="Times New Roman" w:cs="Times New Roman" w:eastAsia="Times New Roman" w:hAnsi="Times New Roman"/>
          <w:sz w:val="18"/>
          <w:szCs w:val="18"/>
          <w:color w:val="auto"/>
        </w:rPr>
      </w:pPr>
    </w:p>
    <w:p>
      <w:pPr>
        <w:ind w:left="760" w:right="460" w:hanging="378"/>
        <w:spacing w:after="0" w:line="273"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Net operating loss (NOL) carry forwards </w:t>
      </w:r>
      <w:r>
        <w:rPr>
          <w:rFonts w:ascii="Times New Roman" w:cs="Times New Roman" w:eastAsia="Times New Roman" w:hAnsi="Times New Roman"/>
          <w:sz w:val="20"/>
          <w:szCs w:val="20"/>
          <w:color w:val="auto"/>
        </w:rPr>
        <w:t>of approximately $1 billion for US federal income tax purposes. Utilization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NOL carry forward may be subject to expiration and substantial annual limitations.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 Year 2026 Revenue Outlook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fiscal year 2026, the Company expects revenue in the range of $80 million to $85 million, with seasonality similar to prior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Information</w:t>
      </w: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Standard BioTools has presented certain financial information in accordance with U.S. GAAP and on a non-GAAP basis. The non-GAAP financial measures included in this press release are non-GAAP gross margin, non-GAAP gross profit, non-GAAP operating expenses, and adjusted EBITDA. Management uses these non-GAAP financial measures, in addition to GAAP financial measures, as a measure of operating performance because the non-GAAP financial measures do not include the impact of items that management does not consider indicative of the Company’s core operating performance.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Standard BioTools encourages investors to carefully consider its results under GAAP, as well as its supplemental non-GAAP information and the reconciliations between these presentations, to more fully understand its business. Reconciliations between GAAP and non-GAAP financial measures are presented in the accompanying tables of this release.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Private Securities Litigation Reform Act of 1995, including, among others, statements regarding future financial and business performance, including with respect to the full year 2026 revenue outlook and expected cash following the closing of the transaction with Illumina; operational and strategic plans; deployment of capital; market and growth opportunity and potential; and the potential to realize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expected benefits from the transaction with Illumina and the expected benefits and synergies of prior and potential future acquisitions, including the potential for such transactions to drive long-term profitable growth. Forward-looking statements are subject to numerous risks and uncertainties that could cause actual results to differ materially from currently anticipated results, including, but not limited to, the potential that the expected benefits and opportunities of the transaction may not be realized or may take longer to realize than expected; risks that the anticipated benefits and synergies resulting from prior and potential future acquisitions and the integration of any such businesses, including the potential for such transactions to drive long-term profitable growth, may not be fully realized or may take longer to realize than expected; risks that the Company may not realize expected cost savings from such transactions; possible integration, restructuring and transition-related disruption resulting from such transactions, including through the loss of customers, suppliers, and employees and adverse impacts on the Company’s development activities and results of operation; integration and restructuring activities, including customer and employee relations, management distraction, and reduced operating performance; risks that internal and external costs required for ongoing and planned activities may be higher than expected, which may cause the Company to use cash more quickly than it expects or change or curtail some of the Company’s plans, or both; risks that the Company’s expectations as to expenses, cash usage, and cash needs may prove not to be correct for other reasons such as changes in plans or actual events being different than our assumptions; changes in the Company’s business or external market conditions; existing and potential future NIH funding pressures; the effect from existing and potential future U.S. export controls and tariffs; challenges inherent in developing, manufacturing, launching, marketing, and selling new products; interruptions or delays in the supply of components or materials for, or manufacturing of, the Company’s products; reliance on sales of capital equipment for a significant proportion of revenues in each quarter; seasonal variations in customer operations; unanticipated increases in costs or expenses; continued or sustained budgetary, inflationary, or recessionary pressures; uncertainties in contractual relationships; reductions in research and development spending or changes in budget priorities by customers; uncertainties relating to the Company’s research and development activities, and distribution plans and capabilities; potential product performance and quality issues; risks associated with international operations; intellectual property risks; and competition. For information regarding other related risks, see the “Risk Factors” section of the Company’s annual report on Form 10-K, for the year ended December 31, 2024, filed with the SEC on March 11, 2025, the Company’s quarterly report on Form 10-Q for the quarter ended June 30, 2025, filed with the SEC on August 15, 2025, and in the Company’s other filings with the SEC. These forward-looking statements speak only as of the date hereof. The Company disclaims any obligation to update these forward-looking statements except as may be required by law.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Standard BioTools Inc.</w:t>
      </w:r>
    </w:p>
    <w:p>
      <w:pPr>
        <w:spacing w:after="0" w:line="233" w:lineRule="exact"/>
        <w:rPr>
          <w:sz w:val="20"/>
          <w:szCs w:val="20"/>
          <w:color w:val="auto"/>
        </w:rPr>
      </w:pPr>
    </w:p>
    <w:p>
      <w:pPr>
        <w:ind w:right="780"/>
        <w:spacing w:after="0" w:line="249" w:lineRule="auto"/>
        <w:rPr>
          <w:sz w:val="20"/>
          <w:szCs w:val="20"/>
          <w:color w:val="auto"/>
        </w:rPr>
      </w:pPr>
      <w:r>
        <w:rPr>
          <w:rFonts w:ascii="Times New Roman" w:cs="Times New Roman" w:eastAsia="Times New Roman" w:hAnsi="Times New Roman"/>
          <w:sz w:val="20"/>
          <w:szCs w:val="20"/>
          <w:color w:val="auto"/>
        </w:rPr>
        <w:t>Standard BioTools, Inc. (Nasdaq: LAB), is committed to setting the new standard in the life science tools industry through strategic consolidation, best-in-class operations and a world class management team. The Company's established portfolio includes essential, standardized next-generation solutions designed to help biomedical researchers develop better therapeutics faster. Learn more at standardbio.com or connect with us on X, Facebook®, LinkedIn, and YouTube™.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Research Use Only. Not for use in diagnostic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Limited Use Label License and other terms may apply: standardbio.com/legal/salesterms.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Patent and License Information: standardbio.com/legal/notices.</w:t>
      </w:r>
    </w:p>
    <w:p>
      <w:pPr>
        <w:ind w:right="480"/>
        <w:spacing w:after="0" w:line="246" w:lineRule="auto"/>
        <w:rPr>
          <w:sz w:val="20"/>
          <w:szCs w:val="20"/>
          <w:color w:val="auto"/>
        </w:rPr>
      </w:pPr>
      <w:r>
        <w:rPr>
          <w:rFonts w:ascii="Times New Roman" w:cs="Times New Roman" w:eastAsia="Times New Roman" w:hAnsi="Times New Roman"/>
          <w:sz w:val="20"/>
          <w:szCs w:val="20"/>
          <w:color w:val="auto"/>
        </w:rPr>
        <w:t>Trademarks: standardbio.com/legal/trademarks. Any other trademarks are the sole property of their respective owners. ©2025 Standard BioTools Inc. (f.k.a. Fluidigm Corporation). All rights reserved.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ir@standardbio.com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1393190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Continuing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per share amounts)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218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38"/>
        </w:trPr>
        <w:tc>
          <w:tcPr>
            <w:tcW w:w="6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0"/>
                <w:szCs w:val="20"/>
                <w:color w:val="auto"/>
              </w:rPr>
            </w:pPr>
          </w:p>
        </w:tc>
        <w:tc>
          <w:tcPr>
            <w:tcW w:w="218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61,659</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 revenue</w:t>
            </w:r>
          </w:p>
        </w:tc>
        <w:tc>
          <w:tcPr>
            <w:tcW w:w="4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24,777</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services and other revenue</w:t>
            </w:r>
          </w:p>
        </w:tc>
        <w:tc>
          <w:tcPr>
            <w:tcW w:w="4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44,883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37,439</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152,792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172,368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(26,082)</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(110,249)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(127,485)</w:t>
            </w:r>
          </w:p>
        </w:tc>
        <w:tc>
          <w:tcPr>
            <w:tcW w:w="0" w:type="dxa"/>
            <w:vAlign w:val="bottom"/>
          </w:tcPr>
          <w:p>
            <w:pPr>
              <w:spacing w:after="0"/>
              <w:rPr>
                <w:sz w:val="1"/>
                <w:szCs w:val="1"/>
                <w:color w:val="auto"/>
              </w:rPr>
            </w:pP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Bargain purchase gain</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(3,316)</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(4,143)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(5,008)</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(22,031)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(26,901)</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(96,702)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(90,397)</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(27,173)</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(58,826)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(90,939)</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(6,899)</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(16,070)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(47,946)</w:t>
            </w:r>
          </w:p>
        </w:tc>
        <w:tc>
          <w:tcPr>
            <w:tcW w:w="0" w:type="dxa"/>
            <w:vAlign w:val="bottom"/>
          </w:tcPr>
          <w:p>
            <w:pPr>
              <w:spacing w:after="0"/>
              <w:rPr>
                <w:sz w:val="1"/>
                <w:szCs w:val="1"/>
                <w:color w:val="auto"/>
              </w:rPr>
            </w:pPr>
          </w:p>
        </w:tc>
      </w:tr>
      <w:tr>
        <w:trPr>
          <w:trHeight w:val="20"/>
        </w:trPr>
        <w:tc>
          <w:tcPr>
            <w:tcW w:w="604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19,283</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(34,072)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(74,896)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(138,885)</w:t>
            </w:r>
          </w:p>
        </w:tc>
        <w:tc>
          <w:tcPr>
            <w:tcW w:w="0" w:type="dxa"/>
            <w:vAlign w:val="bottom"/>
          </w:tcPr>
          <w:p>
            <w:pPr>
              <w:spacing w:after="0"/>
              <w:rPr>
                <w:sz w:val="1"/>
                <w:szCs w:val="1"/>
                <w:color w:val="auto"/>
              </w:rPr>
            </w:pP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Induced conversion of redeemable preferred stock</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(46,014)</w:t>
            </w:r>
          </w:p>
        </w:tc>
        <w:tc>
          <w:tcPr>
            <w:tcW w:w="0" w:type="dxa"/>
            <w:vAlign w:val="bottom"/>
          </w:tcPr>
          <w:p>
            <w:pPr>
              <w:spacing w:after="0"/>
              <w:rPr>
                <w:sz w:val="1"/>
                <w:szCs w:val="1"/>
                <w:color w:val="auto"/>
              </w:rPr>
            </w:pPr>
          </w:p>
        </w:tc>
      </w:tr>
      <w:tr>
        <w:trPr>
          <w:trHeight w:val="20"/>
        </w:trPr>
        <w:tc>
          <w:tcPr>
            <w:tcW w:w="604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4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19,283</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(34,072)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(74,896)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(184,899)</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from continuing operations</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30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60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from discontinued operations</w:t>
            </w:r>
          </w:p>
        </w:tc>
        <w:tc>
          <w:tcPr>
            <w:tcW w:w="4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17"/>
                <w:szCs w:val="17"/>
                <w:color w:val="auto"/>
              </w:rPr>
            </w:pPr>
          </w:p>
        </w:tc>
        <w:tc>
          <w:tcPr>
            <w:tcW w:w="3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3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6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30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178"/>
        </w:trPr>
        <w:tc>
          <w:tcPr>
            <w:tcW w:w="604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Shares used in computing net income (loss) per share attributable to common</w:t>
            </w:r>
          </w:p>
        </w:tc>
        <w:tc>
          <w:tcPr>
            <w:tcW w:w="4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385,048</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374,544</w:t>
            </w:r>
          </w:p>
        </w:tc>
        <w:tc>
          <w:tcPr>
            <w:tcW w:w="2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381,623</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353,245</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stockholders</w:t>
            </w:r>
          </w:p>
        </w:tc>
        <w:tc>
          <w:tcPr>
            <w:tcW w:w="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0"/>
        </w:trPr>
        <w:tc>
          <w:tcPr>
            <w:tcW w:w="60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-5160010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-5160010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-5160010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-5160010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-4594225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-4594225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-4594225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-4594225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-3470910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-3470910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-3470910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-3470910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-2073910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-2073910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-2073910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-2073910</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-1790700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-1790700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-1790700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-1790700</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-1482090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-1464945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-1482090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-1464945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-1482090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-1464945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-1482090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-1464945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-1156335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-1139190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-1156335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-1139190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-1156335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-1139190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-1156335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-1139190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Continuing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229"/>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56"/>
        </w:trPr>
        <w:tc>
          <w:tcPr>
            <w:tcW w:w="74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20"/>
                <w:szCs w:val="20"/>
                <w:b w:val="1"/>
                <w:bCs w:val="1"/>
                <w:color w:val="auto"/>
              </w:rPr>
              <w:t>2025</w:t>
            </w: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2"/>
                <w:szCs w:val="22"/>
                <w:color w:val="auto"/>
              </w:rPr>
            </w:pPr>
          </w:p>
        </w:tc>
      </w:tr>
      <w:tr>
        <w:trPr>
          <w:trHeight w:val="20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118,213</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166,728</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126,146</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13,431</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14,741</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228,406</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42,963</w:t>
            </w:r>
          </w:p>
        </w:tc>
        <w:tc>
          <w:tcPr>
            <w:tcW w:w="100" w:type="dxa"/>
            <w:vAlign w:val="bottom"/>
          </w:tcPr>
          <w:p>
            <w:pPr>
              <w:spacing w:after="0"/>
              <w:rPr>
                <w:sz w:val="18"/>
                <w:szCs w:val="18"/>
                <w:color w:val="auto"/>
              </w:rPr>
            </w:pPr>
          </w:p>
        </w:tc>
      </w:tr>
      <w:tr>
        <w:trPr>
          <w:trHeight w:val="20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454,264</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375,883</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22,775</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26,732</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26,567</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25,701</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 non-current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r>
      <w:tr>
        <w:trPr>
          <w:trHeight w:val="216"/>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2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567,754</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612,345</w:t>
            </w:r>
          </w:p>
        </w:tc>
        <w:tc>
          <w:tcPr>
            <w:tcW w:w="10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21,435</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grant income, current</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25,633</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20,804</w:t>
            </w:r>
          </w:p>
        </w:tc>
        <w:tc>
          <w:tcPr>
            <w:tcW w:w="100" w:type="dxa"/>
            <w:vAlign w:val="bottom"/>
          </w:tcPr>
          <w:p>
            <w:pPr>
              <w:spacing w:after="0"/>
              <w:rPr>
                <w:sz w:val="18"/>
                <w:szCs w:val="18"/>
                <w:color w:val="auto"/>
              </w:rPr>
            </w:pP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108,308</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65,895</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non-current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25,590</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32,674</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Deferred grant income, non-current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tcPr>
          <w:p>
            <w:pPr>
              <w:spacing w:after="0"/>
              <w:rPr>
                <w:sz w:val="18"/>
                <w:szCs w:val="18"/>
                <w:color w:val="auto"/>
              </w:rPr>
            </w:pP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143,463</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140,623</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424,291</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471,722</w:t>
            </w:r>
          </w:p>
        </w:tc>
        <w:tc>
          <w:tcPr>
            <w:tcW w:w="100" w:type="dxa"/>
            <w:vAlign w:val="bottom"/>
          </w:tcPr>
          <w:p>
            <w:pPr>
              <w:spacing w:after="0"/>
              <w:rPr>
                <w:sz w:val="18"/>
                <w:szCs w:val="18"/>
                <w:color w:val="auto"/>
              </w:rPr>
            </w:pPr>
          </w:p>
        </w:tc>
      </w:tr>
      <w:tr>
        <w:trPr>
          <w:trHeight w:val="25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567,754</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612,345</w:t>
            </w:r>
          </w:p>
        </w:tc>
        <w:tc>
          <w:tcPr>
            <w:tcW w:w="100" w:type="dxa"/>
            <w:vAlign w:val="bottom"/>
            <w:shd w:val="clear" w:color="auto" w:fill="CFF0FC"/>
          </w:tcPr>
          <w:p>
            <w:pPr>
              <w:spacing w:after="0"/>
              <w:rPr>
                <w:sz w:val="21"/>
                <w:szCs w:val="21"/>
                <w:color w:val="auto"/>
              </w:rPr>
            </w:pPr>
          </w:p>
        </w:tc>
      </w:tr>
      <w:tr>
        <w:trPr>
          <w:trHeight w:val="1310"/>
        </w:trPr>
        <w:tc>
          <w:tcPr>
            <w:tcW w:w="740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58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5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-3685540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-3685540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-882015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-864870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r>
      <w:tr>
        <w:trPr>
          <w:trHeight w:val="209"/>
        </w:trPr>
        <w:tc>
          <w:tcPr>
            <w:tcW w:w="6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(74,896)</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(138,885)</w:t>
            </w: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Bargain purchase gain</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(25,213)</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31,732</w:t>
            </w:r>
          </w:p>
        </w:tc>
        <w:tc>
          <w:tcPr>
            <w:tcW w:w="120" w:type="dxa"/>
            <w:vAlign w:val="bottom"/>
          </w:tcPr>
          <w:p>
            <w:pPr>
              <w:spacing w:after="0"/>
              <w:rPr>
                <w:sz w:val="18"/>
                <w:szCs w:val="18"/>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20" w:type="dxa"/>
            <w:vAlign w:val="bottom"/>
            <w:shd w:val="clear" w:color="auto" w:fill="CFF0FC"/>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120" w:type="dxa"/>
            <w:vAlign w:val="bottom"/>
          </w:tcPr>
          <w:p>
            <w:pPr>
              <w:spacing w:after="0"/>
              <w:rPr>
                <w:sz w:val="18"/>
                <w:szCs w:val="18"/>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discount on short-term investments, net</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(2,653)</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(7,435)</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120" w:type="dxa"/>
            <w:vAlign w:val="bottom"/>
            <w:shd w:val="clear" w:color="auto" w:fill="CFF0FC"/>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20" w:type="dxa"/>
            <w:vAlign w:val="bottom"/>
          </w:tcPr>
          <w:p>
            <w:pPr>
              <w:spacing w:after="0"/>
              <w:rPr>
                <w:sz w:val="18"/>
                <w:szCs w:val="18"/>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(232)</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(632)</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(3,177)</w:t>
            </w: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non-cash items</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shd w:val="clear" w:color="auto" w:fill="CFF0FC"/>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 net</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(44,978)</w:t>
            </w:r>
          </w:p>
        </w:tc>
        <w:tc>
          <w:tcPr>
            <w:tcW w:w="3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(29,197)</w:t>
            </w:r>
          </w:p>
        </w:tc>
      </w:tr>
      <w:tr>
        <w:trPr>
          <w:trHeight w:val="20"/>
        </w:trPr>
        <w:tc>
          <w:tcPr>
            <w:tcW w:w="6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(74,350)</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(143,454)</w:t>
            </w:r>
          </w:p>
        </w:tc>
      </w:tr>
      <w:tr>
        <w:trPr>
          <w:trHeight w:val="210"/>
        </w:trPr>
        <w:tc>
          <w:tcPr>
            <w:tcW w:w="6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restricted cash acquired in the Merger</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280,033</w:t>
            </w:r>
          </w:p>
        </w:tc>
        <w:tc>
          <w:tcPr>
            <w:tcW w:w="120" w:type="dxa"/>
            <w:vAlign w:val="bottom"/>
            <w:shd w:val="clear" w:color="auto" w:fill="CFF0FC"/>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(1,385)</w:t>
            </w: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short-term marketable debt securities</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(101,753)</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(256,119)</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long-term marketable debt securities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(32,321)</w:t>
            </w: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marketable equity securities</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(6,857)</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convertible note receivable</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sales and maturities of investments</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179,000</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349,000</w:t>
            </w:r>
          </w:p>
        </w:tc>
        <w:tc>
          <w:tcPr>
            <w:tcW w:w="120" w:type="dxa"/>
            <w:vAlign w:val="bottom"/>
            <w:shd w:val="clear" w:color="auto" w:fill="CFF0FC"/>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(8,303)</w:t>
            </w:r>
          </w:p>
        </w:tc>
        <w:tc>
          <w:tcPr>
            <w:tcW w:w="3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(8,355)</w:t>
            </w:r>
          </w:p>
        </w:tc>
      </w:tr>
      <w:tr>
        <w:trPr>
          <w:trHeight w:val="209"/>
        </w:trPr>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24,766</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363,174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term loan and convertible notes</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(63,192)</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Payment of term loan fee</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(545)</w:t>
            </w: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(40,490)</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ESPP stock issuance</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18"/>
                <w:szCs w:val="18"/>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for taxes related to net share settlement of equity awards and other</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(484)</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(459)</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Pr>
          <w:p>
            <w:pPr>
              <w:spacing w:after="0"/>
              <w:rPr>
                <w:sz w:val="18"/>
                <w:szCs w:val="18"/>
                <w:color w:val="auto"/>
              </w:rPr>
            </w:pPr>
          </w:p>
        </w:tc>
      </w:tr>
      <w:tr>
        <w:trPr>
          <w:trHeight w:val="210"/>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(102,616)</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fluctuations on cash and cash equivalents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(785)</w:t>
            </w:r>
          </w:p>
        </w:tc>
      </w:tr>
      <w:tr>
        <w:trPr>
          <w:trHeight w:val="20"/>
        </w:trPr>
        <w:tc>
          <w:tcPr>
            <w:tcW w:w="6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(48,172)</w:t>
            </w: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116,319</w:t>
            </w:r>
          </w:p>
        </w:tc>
        <w:tc>
          <w:tcPr>
            <w:tcW w:w="120" w:type="dxa"/>
            <w:vAlign w:val="bottom"/>
            <w:shd w:val="clear" w:color="auto" w:fill="CFF0FC"/>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168,818</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52,499</w:t>
            </w:r>
          </w:p>
        </w:tc>
        <w:tc>
          <w:tcPr>
            <w:tcW w:w="120" w:type="dxa"/>
            <w:vAlign w:val="bottom"/>
          </w:tcPr>
          <w:p>
            <w:pPr>
              <w:spacing w:after="0"/>
              <w:rPr>
                <w:sz w:val="18"/>
                <w:szCs w:val="18"/>
                <w:color w:val="auto"/>
              </w:rPr>
            </w:pPr>
          </w:p>
        </w:tc>
      </w:tr>
      <w:tr>
        <w:trPr>
          <w:trHeight w:val="250"/>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120,646</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168,818</w:t>
            </w:r>
          </w:p>
        </w:tc>
        <w:tc>
          <w:tcPr>
            <w:tcW w:w="120" w:type="dxa"/>
            <w:vAlign w:val="bottom"/>
            <w:shd w:val="clear" w:color="auto" w:fill="CFF0FC"/>
          </w:tcPr>
          <w:p>
            <w:pPr>
              <w:spacing w:after="0"/>
              <w:rPr>
                <w:sz w:val="21"/>
                <w:szCs w:val="21"/>
                <w:color w:val="auto"/>
              </w:rPr>
            </w:pPr>
          </w:p>
        </w:tc>
      </w:tr>
      <w:tr>
        <w:trPr>
          <w:trHeight w:val="197"/>
        </w:trPr>
        <w:tc>
          <w:tcPr>
            <w:tcW w:w="65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Cash, cash equivalents, and restricted cash consists of:</w:t>
            </w:r>
          </w:p>
        </w:tc>
        <w:tc>
          <w:tcPr>
            <w:tcW w:w="10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118,213</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166,728</w:t>
            </w:r>
          </w:p>
        </w:tc>
        <w:tc>
          <w:tcPr>
            <w:tcW w:w="120" w:type="dxa"/>
            <w:vAlign w:val="bottom"/>
            <w:shd w:val="clear" w:color="auto" w:fill="CFF0FC"/>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tcPr>
          <w:p>
            <w:pPr>
              <w:spacing w:after="0"/>
              <w:rPr>
                <w:sz w:val="18"/>
                <w:szCs w:val="18"/>
                <w:color w:val="auto"/>
              </w:rPr>
            </w:pPr>
          </w:p>
        </w:tc>
      </w:tr>
      <w:tr>
        <w:trPr>
          <w:trHeight w:val="250"/>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120,646</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168,818</w:t>
            </w:r>
          </w:p>
        </w:tc>
        <w:tc>
          <w:tcPr>
            <w:tcW w:w="120" w:type="dxa"/>
            <w:vAlign w:val="bottom"/>
            <w:shd w:val="clear" w:color="auto" w:fill="CFF0FC"/>
          </w:tcPr>
          <w:p>
            <w:pPr>
              <w:spacing w:after="0"/>
              <w:rPr>
                <w:sz w:val="21"/>
                <w:szCs w:val="21"/>
                <w:color w:val="auto"/>
              </w:rPr>
            </w:pPr>
          </w:p>
        </w:tc>
      </w:tr>
      <w:tr>
        <w:trPr>
          <w:trHeight w:val="1500"/>
        </w:trPr>
        <w:tc>
          <w:tcPr>
            <w:tcW w:w="6580" w:type="dxa"/>
            <w:vAlign w:val="bottom"/>
            <w:tcBorders>
              <w:top w:val="single" w:sz="8" w:color="CFF0FC"/>
              <w:bottom w:val="single" w:sz="8" w:color="9A9A9A"/>
            </w:tcBorders>
          </w:tcPr>
          <w:p>
            <w:pPr>
              <w:spacing w:after="0"/>
              <w:rPr>
                <w:sz w:val="24"/>
                <w:szCs w:val="24"/>
                <w:color w:val="auto"/>
              </w:rPr>
            </w:pPr>
          </w:p>
        </w:tc>
        <w:tc>
          <w:tcPr>
            <w:tcW w:w="106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38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340" w:type="dxa"/>
            <w:vAlign w:val="bottom"/>
            <w:tcBorders>
              <w:top w:val="single" w:sz="8" w:color="auto"/>
              <w:bottom w:val="single" w:sz="8" w:color="9A9A9A"/>
            </w:tcBorders>
          </w:tcPr>
          <w:p>
            <w:pPr>
              <w:spacing w:after="0"/>
              <w:rPr>
                <w:sz w:val="24"/>
                <w:szCs w:val="24"/>
                <w:color w:val="auto"/>
              </w:rPr>
            </w:pPr>
          </w:p>
        </w:tc>
        <w:tc>
          <w:tcPr>
            <w:tcW w:w="12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-4653915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-4653915</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-3265170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-3265170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-1585595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-1567815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-1585595</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-1567815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-1002665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-985520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-1002665</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-985520</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REVENUE</w:t>
      </w:r>
    </w:p>
    <w:p>
      <w:pPr>
        <w:jc w:val="center"/>
        <w:spacing w:after="0"/>
        <w:rPr>
          <w:sz w:val="20"/>
          <w:szCs w:val="20"/>
          <w:color w:val="auto"/>
        </w:rPr>
      </w:pPr>
      <w:r>
        <w:rPr>
          <w:rFonts w:ascii="Times New Roman" w:cs="Times New Roman" w:eastAsia="Times New Roman" w:hAnsi="Times New Roman"/>
          <w:sz w:val="20"/>
          <w:szCs w:val="20"/>
          <w:b w:val="1"/>
          <w:bCs w:val="1"/>
          <w:color w:val="auto"/>
        </w:rPr>
        <w:t>Continuing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280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200" w:type="dxa"/>
            <w:vAlign w:val="bottom"/>
          </w:tcPr>
          <w:p>
            <w:pPr>
              <w:spacing w:after="0"/>
              <w:rPr>
                <w:sz w:val="12"/>
                <w:szCs w:val="12"/>
                <w:color w:val="auto"/>
              </w:rPr>
            </w:pPr>
          </w:p>
        </w:tc>
        <w:tc>
          <w:tcPr>
            <w:tcW w:w="980" w:type="dxa"/>
            <w:vAlign w:val="bottom"/>
            <w:tcBorders>
              <w:top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9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Instruments</w:t>
            </w:r>
          </w:p>
        </w:tc>
        <w:tc>
          <w:tcPr>
            <w:tcW w:w="980" w:type="dxa"/>
            <w:vAlign w:val="bottom"/>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126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6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25,411</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24,889</w:t>
            </w:r>
          </w:p>
        </w:tc>
        <w:tc>
          <w:tcPr>
            <w:tcW w:w="100" w:type="dxa"/>
            <w:vAlign w:val="bottom"/>
          </w:tcPr>
          <w:p>
            <w:pPr>
              <w:spacing w:after="0"/>
              <w:rPr>
                <w:sz w:val="18"/>
                <w:szCs w:val="18"/>
                <w:color w:val="auto"/>
              </w:rPr>
            </w:pPr>
          </w:p>
        </w:tc>
      </w:tr>
      <w:tr>
        <w:trPr>
          <w:trHeight w:val="216"/>
        </w:trPr>
        <w:tc>
          <w:tcPr>
            <w:tcW w:w="42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Consumables</w:t>
            </w:r>
          </w:p>
        </w:tc>
        <w:tc>
          <w:tcPr>
            <w:tcW w:w="9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36,248</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product revenue</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61,659</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65,429</w:t>
            </w:r>
          </w:p>
        </w:tc>
        <w:tc>
          <w:tcPr>
            <w:tcW w:w="100" w:type="dxa"/>
            <w:vAlign w:val="bottom"/>
          </w:tcPr>
          <w:p>
            <w:pPr>
              <w:spacing w:after="0"/>
              <w:rPr>
                <w:sz w:val="18"/>
                <w:szCs w:val="18"/>
                <w:color w:val="auto"/>
              </w:rPr>
            </w:pPr>
          </w:p>
        </w:tc>
      </w:tr>
      <w:tr>
        <w:trPr>
          <w:trHeight w:val="209"/>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and other revenue</w:t>
            </w:r>
          </w:p>
        </w:tc>
        <w:tc>
          <w:tcPr>
            <w:tcW w:w="9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23,672</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23,795</w:t>
            </w:r>
          </w:p>
        </w:tc>
        <w:tc>
          <w:tcPr>
            <w:tcW w:w="126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24,777</w:t>
            </w:r>
          </w:p>
        </w:tc>
        <w:tc>
          <w:tcPr>
            <w:tcW w:w="6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85,331</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91,008</w:t>
            </w:r>
          </w:p>
        </w:tc>
        <w:tc>
          <w:tcPr>
            <w:tcW w:w="10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7"/>
        </w:trPr>
        <w:tc>
          <w:tcPr>
            <w:tcW w:w="4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-1311275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-1311275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-1311275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-1311275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-1019810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-1019810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-1019810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FINANCIAL INFORMATION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Continuing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ITEMIZED RECONCILIATION OF GROSS PROFIT TO NON-GAAP GROSS PROFIT AND MARGIN PERCENTAGE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13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4380" w:type="dxa"/>
            <w:vAlign w:val="bottom"/>
          </w:tcPr>
          <w:p>
            <w:pPr>
              <w:spacing w:after="0"/>
              <w:rPr>
                <w:sz w:val="18"/>
                <w:szCs w:val="18"/>
                <w:color w:val="auto"/>
              </w:rPr>
            </w:pPr>
          </w:p>
        </w:tc>
        <w:tc>
          <w:tcPr>
            <w:tcW w:w="342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180" w:type="dxa"/>
            <w:vAlign w:val="bottom"/>
          </w:tcPr>
          <w:p>
            <w:pPr>
              <w:spacing w:after="0"/>
              <w:rPr>
                <w:sz w:val="18"/>
                <w:szCs w:val="18"/>
                <w:color w:val="auto"/>
              </w:rPr>
            </w:pPr>
          </w:p>
        </w:tc>
      </w:tr>
      <w:tr>
        <w:trPr>
          <w:trHeight w:val="210"/>
        </w:trPr>
        <w:tc>
          <w:tcPr>
            <w:tcW w:w="43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11,382</w:t>
            </w:r>
          </w:p>
        </w:tc>
        <w:tc>
          <w:tcPr>
            <w:tcW w:w="2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2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42,543</w:t>
            </w:r>
          </w:p>
        </w:tc>
        <w:tc>
          <w:tcPr>
            <w:tcW w:w="2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44,883</w:t>
            </w:r>
          </w:p>
        </w:tc>
        <w:tc>
          <w:tcPr>
            <w:tcW w:w="180" w:type="dxa"/>
            <w:vAlign w:val="bottom"/>
            <w:shd w:val="clear" w:color="auto" w:fill="CFF0FC"/>
          </w:tcPr>
          <w:p>
            <w:pPr>
              <w:spacing w:after="0"/>
              <w:rPr>
                <w:sz w:val="18"/>
                <w:szCs w:val="18"/>
                <w:color w:val="auto"/>
              </w:rPr>
            </w:pPr>
          </w:p>
        </w:tc>
      </w:tr>
      <w:tr>
        <w:trPr>
          <w:trHeight w:val="216"/>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80" w:type="dxa"/>
            <w:vAlign w:val="bottom"/>
          </w:tcPr>
          <w:p>
            <w:pPr>
              <w:spacing w:after="0"/>
              <w:rPr>
                <w:sz w:val="18"/>
                <w:szCs w:val="18"/>
                <w:color w:val="auto"/>
              </w:rPr>
            </w:pPr>
          </w:p>
        </w:tc>
      </w:tr>
      <w:tr>
        <w:trPr>
          <w:trHeight w:val="216"/>
        </w:trPr>
        <w:tc>
          <w:tcPr>
            <w:tcW w:w="4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80" w:type="dxa"/>
            <w:vAlign w:val="bottom"/>
            <w:shd w:val="clear" w:color="auto" w:fill="CFF0FC"/>
          </w:tcPr>
          <w:p>
            <w:pPr>
              <w:spacing w:after="0"/>
              <w:rPr>
                <w:sz w:val="18"/>
                <w:szCs w:val="18"/>
                <w:color w:val="auto"/>
              </w:rPr>
            </w:pPr>
          </w:p>
        </w:tc>
      </w:tr>
      <w:tr>
        <w:trPr>
          <w:trHeight w:val="216"/>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tcPr>
          <w:p>
            <w:pPr>
              <w:spacing w:after="0"/>
              <w:rPr>
                <w:sz w:val="18"/>
                <w:szCs w:val="18"/>
                <w:color w:val="auto"/>
              </w:rPr>
            </w:pPr>
          </w:p>
        </w:tc>
      </w:tr>
      <w:tr>
        <w:trPr>
          <w:trHeight w:val="216"/>
        </w:trPr>
        <w:tc>
          <w:tcPr>
            <w:tcW w:w="43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11,958</w:t>
            </w:r>
          </w:p>
        </w:tc>
        <w:tc>
          <w:tcPr>
            <w:tcW w:w="2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11,929</w:t>
            </w:r>
          </w:p>
        </w:tc>
        <w:tc>
          <w:tcPr>
            <w:tcW w:w="2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45,743</w:t>
            </w:r>
          </w:p>
        </w:tc>
        <w:tc>
          <w:tcPr>
            <w:tcW w:w="2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48,480</w:t>
            </w:r>
          </w:p>
        </w:tc>
        <w:tc>
          <w:tcPr>
            <w:tcW w:w="18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43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percentage</w:t>
            </w:r>
          </w:p>
        </w:tc>
        <w:tc>
          <w:tcPr>
            <w:tcW w:w="9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4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gross margin percentage</w:t>
            </w:r>
          </w:p>
        </w:tc>
        <w:tc>
          <w:tcPr>
            <w:tcW w:w="9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53.3%</w:t>
            </w:r>
          </w:p>
        </w:tc>
      </w:tr>
      <w:tr>
        <w:trPr>
          <w:trHeight w:val="1297"/>
        </w:trPr>
        <w:tc>
          <w:tcPr>
            <w:tcW w:w="4380" w:type="dxa"/>
            <w:vAlign w:val="bottom"/>
            <w:tcBorders>
              <w:top w:val="single" w:sz="8" w:color="CFF0FC"/>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52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128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-2013585</wp:posOffset>
            </wp:positionV>
            <wp:extent cx="111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-2013585</wp:posOffset>
            </wp:positionV>
            <wp:extent cx="1117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-2013585</wp:posOffset>
            </wp:positionV>
            <wp:extent cx="1111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-2013585</wp:posOffset>
            </wp:positionV>
            <wp:extent cx="1117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-873760</wp:posOffset>
            </wp:positionV>
            <wp:extent cx="111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-856615</wp:posOffset>
            </wp:positionV>
            <wp:extent cx="111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-873760</wp:posOffset>
            </wp:positionV>
            <wp:extent cx="1117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-856615</wp:posOffset>
            </wp:positionV>
            <wp:extent cx="1117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-873760</wp:posOffset>
            </wp:positionV>
            <wp:extent cx="111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-856615</wp:posOffset>
            </wp:positionV>
            <wp:extent cx="111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-873760</wp:posOffset>
            </wp:positionV>
            <wp:extent cx="1117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-856615</wp:posOffset>
            </wp:positionV>
            <wp:extent cx="1117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FINANCIAL INFORMATION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Continuing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ITEMIZED RECONCILIATION OF GAAP TO NON-GAAP 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20" w:type="dxa"/>
            <w:vAlign w:val="bottom"/>
          </w:tcPr>
          <w:p>
            <w:pPr>
              <w:spacing w:after="0"/>
              <w:rPr>
                <w:sz w:val="18"/>
                <w:szCs w:val="18"/>
                <w:color w:val="auto"/>
              </w:rPr>
            </w:pPr>
          </w:p>
        </w:tc>
        <w:tc>
          <w:tcPr>
            <w:tcW w:w="336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100" w:type="dxa"/>
            <w:vAlign w:val="bottom"/>
          </w:tcPr>
          <w:p>
            <w:pPr>
              <w:spacing w:after="0"/>
              <w:rPr>
                <w:sz w:val="18"/>
                <w:szCs w:val="18"/>
                <w:color w:val="auto"/>
              </w:rPr>
            </w:pPr>
          </w:p>
        </w:tc>
      </w:tr>
      <w:tr>
        <w:trPr>
          <w:trHeight w:val="209"/>
        </w:trPr>
        <w:tc>
          <w:tcPr>
            <w:tcW w:w="45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36,026</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37,439</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152,792</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172,368</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and related charges (1)</w:t>
            </w:r>
          </w:p>
        </w:tc>
        <w:tc>
          <w:tcPr>
            <w:tcW w:w="9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(2,075)</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(12,500)</w:t>
            </w:r>
          </w:p>
        </w:tc>
      </w:tr>
      <w:tr>
        <w:trPr>
          <w:trHeight w:val="216"/>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9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(645)</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(27,979)</w:t>
            </w: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(4,386)</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(16,515)</w:t>
            </w:r>
          </w:p>
        </w:tc>
      </w:tr>
      <w:tr>
        <w:trPr>
          <w:trHeight w:val="216"/>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(1,142)</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(5,428)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(2,600)</w:t>
            </w: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55"/>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940" w:type="dxa"/>
            <w:vAlign w:val="bottom"/>
            <w:tcBorders>
              <w:top w:val="single" w:sz="8" w:color="auto"/>
              <w:bottom w:val="single" w:sz="8" w:color="auto"/>
            </w:tcBorders>
            <w:shd w:val="clear" w:color="auto" w:fill="CFF0FC"/>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27,768</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CFF0FC"/>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28,166</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108,309</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4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R&amp;D operating expenses</w:t>
            </w:r>
          </w:p>
        </w:tc>
        <w:tc>
          <w:tcPr>
            <w:tcW w:w="940" w:type="dxa"/>
            <w:vAlign w:val="bottom"/>
            <w:tcBorders>
              <w:top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3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25,987</w:t>
            </w: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tcBorders>
              <w:top w:val="single" w:sz="8" w:color="CFF0FC"/>
            </w:tcBorders>
          </w:tcPr>
          <w:p>
            <w:pPr>
              <w:spacing w:after="0"/>
              <w:rPr>
                <w:sz w:val="24"/>
                <w:szCs w:val="24"/>
                <w:color w:val="auto"/>
              </w:rPr>
            </w:pPr>
          </w:p>
        </w:tc>
      </w:tr>
      <w:tr>
        <w:trPr>
          <w:trHeight w:val="216"/>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(600)</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(1,702)</w:t>
            </w: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w:t>
            </w:r>
          </w:p>
        </w:tc>
      </w:tr>
      <w:tr>
        <w:trPr>
          <w:trHeight w:val="216"/>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(Loss) gain on disposal of property and equipment</w:t>
            </w:r>
          </w:p>
        </w:tc>
        <w:tc>
          <w:tcPr>
            <w:tcW w:w="9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4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Non-GAAP R&amp;D operating expenses</w:t>
            </w:r>
          </w:p>
        </w:tc>
        <w:tc>
          <w:tcPr>
            <w:tcW w:w="94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3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22,910</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26,545</w:t>
            </w:r>
          </w:p>
        </w:tc>
        <w:tc>
          <w:tcPr>
            <w:tcW w:w="100" w:type="dxa"/>
            <w:vAlign w:val="bottom"/>
            <w:tcBorders>
              <w:top w:val="single" w:sz="8" w:color="CFF0FC"/>
            </w:tcBorders>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SG&amp;A operating expenses</w:t>
            </w:r>
          </w:p>
        </w:tc>
        <w:tc>
          <w:tcPr>
            <w:tcW w:w="94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25,337</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27,318</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109,861</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103,058</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(3,786)</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(14,813)</w:t>
            </w:r>
          </w:p>
        </w:tc>
      </w:tr>
      <w:tr>
        <w:trPr>
          <w:trHeight w:val="216"/>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(958)</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(2,019)</w:t>
            </w: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50"/>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SG&amp;A operating expenses</w:t>
            </w:r>
          </w:p>
        </w:tc>
        <w:tc>
          <w:tcPr>
            <w:tcW w:w="940" w:type="dxa"/>
            <w:vAlign w:val="bottom"/>
            <w:tcBorders>
              <w:top w:val="single" w:sz="8" w:color="auto"/>
              <w:bottom w:val="single" w:sz="8" w:color="auto"/>
            </w:tcBorders>
            <w:shd w:val="clear" w:color="auto" w:fill="CFF0FC"/>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20,590</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21,928</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85,399</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86,154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-1739265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-1722120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-1722120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-1739265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-1722120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-1028065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-1028065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-1028065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-8255</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ind w:right="380" w:firstLine="8"/>
        <w:spacing w:after="0" w:line="269" w:lineRule="auto"/>
        <w:tabs>
          <w:tab w:leader="none" w:pos="21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and related charges for the twelve months ended December 31, 2025 includes $2.2 million of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2348865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FINANCIAL INFORMATION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Continuing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ITEMIZED RECONCILIATION OF GAAP NET LOSS TO ADJUSTED EBITDA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100" w:type="dxa"/>
            <w:vAlign w:val="bottom"/>
          </w:tcPr>
          <w:p>
            <w:pPr>
              <w:spacing w:after="0"/>
              <w:rPr>
                <w:sz w:val="18"/>
                <w:szCs w:val="18"/>
                <w:color w:val="auto"/>
              </w:rPr>
            </w:pPr>
          </w:p>
        </w:tc>
      </w:tr>
      <w:tr>
        <w:trPr>
          <w:trHeight w:val="210"/>
        </w:trPr>
        <w:tc>
          <w:tcPr>
            <w:tcW w:w="45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(27,173)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(58,826)</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(90,939)</w:t>
            </w: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(35,932)</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(37,876)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(1,662)</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(9,179)</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(20,199)</w:t>
            </w: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Bargain purchase gain</w:t>
            </w: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(25,213)</w:t>
            </w: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27,979</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 (1)</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17,411</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1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(956)</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(15,810)</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(16,237)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(62,566)</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(64,219)</w:t>
            </w:r>
          </w:p>
        </w:tc>
      </w:tr>
    </w:tbl>
    <w:p>
      <w:pPr>
        <w:spacing w:after="0" w:line="193" w:lineRule="exact"/>
        <w:rPr>
          <w:sz w:val="20"/>
          <w:szCs w:val="20"/>
          <w:color w:val="auto"/>
        </w:rPr>
      </w:pPr>
    </w:p>
    <w:p>
      <w:pPr>
        <w:ind w:right="180" w:firstLine="8"/>
        <w:spacing w:after="0" w:line="269" w:lineRule="auto"/>
        <w:tabs>
          <w:tab w:leader="none" w:pos="21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 expense for the twelve months ended December 31, 2025 includes $2.2 million of expense that is allocated to restructuring and related charges on the Company's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2026-02-24T15:29:17Z</dcterms:created>
  <dcterms:modified xsi:type="dcterms:W3CDTF">2026-02-24T15:29:17Z</dcterms:modified>
</cp:coreProperties>
</file>