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6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rPr>
          <w:sz w:val="20"/>
          <w:szCs w:val="20"/>
          <w:color w:val="auto"/>
        </w:rPr>
      </w:pPr>
      <w:r>
        <w:rPr>
          <w:rFonts w:ascii="Courier New" w:cs="Courier New" w:eastAsia="Courier New" w:hAnsi="Courier New"/>
          <w:sz w:val="18"/>
          <w:szCs w:val="18"/>
          <w:color w:val="auto"/>
        </w:rPr>
        <w:t>(Amendment No. 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FLUIDIGM CORPORATION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Common Stock, $0.001 Par Value per Share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34385P108</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December 31, 2015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536"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[_] Rule 13d-1(c)</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[_] Rule 13d-1(d)</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280" w:type="dxa"/>
            <w:vAlign w:val="bottom"/>
            <w:gridSpan w:val="6"/>
          </w:tcPr>
          <w:p>
            <w:pPr>
              <w:spacing w:after="0"/>
              <w:rPr>
                <w:sz w:val="20"/>
                <w:szCs w:val="20"/>
                <w:color w:val="auto"/>
              </w:rPr>
            </w:pPr>
            <w:r>
              <w:rPr>
                <w:rFonts w:ascii="Courier New" w:cs="Courier New" w:eastAsia="Courier New" w:hAnsi="Courier New"/>
                <w:sz w:val="18"/>
                <w:szCs w:val="18"/>
                <w:color w:val="auto"/>
                <w:w w:val="98"/>
              </w:rPr>
              <w:t>*The  remainder of this cover page shall</w:t>
            </w:r>
          </w:p>
        </w:tc>
        <w:tc>
          <w:tcPr>
            <w:tcW w:w="320" w:type="dxa"/>
            <w:vAlign w:val="bottom"/>
          </w:tcPr>
          <w:p>
            <w:pPr>
              <w:ind w:left="40"/>
              <w:spacing w:after="0"/>
              <w:rPr>
                <w:sz w:val="20"/>
                <w:szCs w:val="20"/>
                <w:color w:val="auto"/>
              </w:rPr>
            </w:pPr>
            <w:r>
              <w:rPr>
                <w:rFonts w:ascii="Courier New" w:cs="Courier New" w:eastAsia="Courier New" w:hAnsi="Courier New"/>
                <w:sz w:val="18"/>
                <w:szCs w:val="18"/>
                <w:color w:val="auto"/>
              </w:rPr>
              <w:t>be</w:t>
            </w:r>
          </w:p>
        </w:tc>
        <w:tc>
          <w:tcPr>
            <w:tcW w:w="3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filled out for a reporting person's</w:t>
            </w: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initial</w:t>
            </w:r>
          </w:p>
        </w:tc>
        <w:tc>
          <w:tcPr>
            <w:tcW w:w="21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filing on this form</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with respect</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3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8"/>
              </w:rPr>
              <w:t>subject class of securities,</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c>
          <w:tcPr>
            <w:tcW w:w="17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any  subsequent</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amendment</w:t>
            </w:r>
          </w:p>
        </w:tc>
        <w:tc>
          <w:tcPr>
            <w:tcW w:w="128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containing</w:t>
            </w:r>
          </w:p>
        </w:tc>
        <w:tc>
          <w:tcPr>
            <w:tcW w:w="3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information which  would  alter</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disclosures provided</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prior</w:t>
            </w:r>
          </w:p>
        </w:tc>
        <w:tc>
          <w:tcPr>
            <w:tcW w:w="12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cover page.</w:t>
            </w:r>
          </w:p>
        </w:tc>
        <w:tc>
          <w:tcPr>
            <w:tcW w:w="3320" w:type="dxa"/>
            <w:vAlign w:val="bottom"/>
          </w:tcPr>
          <w:p>
            <w:pPr>
              <w:spacing w:after="0"/>
              <w:rPr>
                <w:sz w:val="17"/>
                <w:szCs w:val="17"/>
                <w:color w:val="auto"/>
              </w:rPr>
            </w:pPr>
          </w:p>
        </w:tc>
      </w:tr>
    </w:tbl>
    <w:p>
      <w:pPr>
        <w:spacing w:after="0" w:line="200" w:lineRule="exact"/>
        <w:rPr>
          <w:sz w:val="24"/>
          <w:szCs w:val="24"/>
          <w:color w:val="auto"/>
        </w:rPr>
      </w:pPr>
    </w:p>
    <w:p>
      <w:pPr>
        <w:spacing w:after="0" w:line="209" w:lineRule="exact"/>
        <w:rPr>
          <w:sz w:val="24"/>
          <w:szCs w:val="24"/>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Page 1 of 11</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jc w:val="center"/>
              <w:ind w:right="792"/>
              <w:spacing w:after="0"/>
              <w:rPr>
                <w:sz w:val="20"/>
                <w:szCs w:val="20"/>
                <w:color w:val="auto"/>
              </w:rPr>
            </w:pPr>
            <w:r>
              <w:rPr>
                <w:rFonts w:ascii="Courier New" w:cs="Courier New" w:eastAsia="Courier New" w:hAnsi="Courier New"/>
                <w:sz w:val="18"/>
                <w:szCs w:val="18"/>
                <w:color w:val="auto"/>
                <w:w w:val="98"/>
              </w:rPr>
              <w:t>-----------------------</w:t>
            </w:r>
          </w:p>
        </w:tc>
        <w:tc>
          <w:tcPr>
            <w:tcW w:w="1220" w:type="dxa"/>
            <w:vAlign w:val="bottom"/>
          </w:tcPr>
          <w:p>
            <w:pPr>
              <w:spacing w:after="0"/>
              <w:rPr>
                <w:sz w:val="17"/>
                <w:szCs w:val="17"/>
                <w:color w:val="auto"/>
              </w:rPr>
            </w:pPr>
          </w:p>
        </w:tc>
      </w:tr>
      <w:tr>
        <w:trPr>
          <w:trHeight w:val="203"/>
        </w:trPr>
        <w:tc>
          <w:tcPr>
            <w:tcW w:w="33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CUSIP No. 34385P108</w:t>
            </w:r>
          </w:p>
        </w:tc>
        <w:tc>
          <w:tcPr>
            <w:tcW w:w="12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2"/>
              </w:rPr>
              <w:t>13G</w:t>
            </w:r>
          </w:p>
        </w:tc>
      </w:tr>
      <w:tr>
        <w:trPr>
          <w:trHeight w:val="203"/>
        </w:trPr>
        <w:tc>
          <w:tcPr>
            <w:tcW w:w="33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8"/>
              </w:rPr>
              <w:t>-----------------------</w:t>
            </w:r>
          </w:p>
        </w:tc>
        <w:tc>
          <w:tcPr>
            <w:tcW w:w="1220" w:type="dxa"/>
            <w:vAlign w:val="bottom"/>
          </w:tcPr>
          <w:p>
            <w:pPr>
              <w:spacing w:after="0"/>
              <w:rPr>
                <w:sz w:val="17"/>
                <w:szCs w:val="17"/>
                <w:color w:val="auto"/>
              </w:rPr>
            </w:pPr>
          </w:p>
        </w:tc>
      </w:tr>
    </w:tbl>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40" w:hanging="527"/>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GOLDMAN SACHS GROUP, INC.</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6740"/>
        <w:spacing w:after="0"/>
        <w:rPr>
          <w:sz w:val="20"/>
          <w:szCs w:val="20"/>
          <w:color w:val="auto"/>
        </w:rPr>
      </w:pPr>
      <w:r>
        <w:rPr>
          <w:rFonts w:ascii="Courier New" w:cs="Courier New" w:eastAsia="Courier New" w:hAnsi="Courier New"/>
          <w:sz w:val="18"/>
          <w:szCs w:val="18"/>
          <w:color w:val="auto"/>
        </w:rPr>
        <w:t>(a) [_]</w:t>
      </w:r>
    </w:p>
    <w:p>
      <w:pPr>
        <w:ind w:left="6740"/>
        <w:spacing w:after="0" w:line="238" w:lineRule="auto"/>
        <w:rPr>
          <w:sz w:val="20"/>
          <w:szCs w:val="20"/>
          <w:color w:val="auto"/>
        </w:rPr>
      </w:pPr>
      <w:r>
        <w:rPr>
          <w:rFonts w:ascii="Courier New" w:cs="Courier New" w:eastAsia="Courier New" w:hAnsi="Courier New"/>
          <w:sz w:val="18"/>
          <w:szCs w:val="18"/>
          <w:color w:val="auto"/>
        </w:rPr>
        <w:t>(b) [_]</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ectPr>
          <w:pgSz w:w="11900" w:h="16838" w:orient="portrait"/>
          <w:cols w:equalWidth="0" w:num="1">
            <w:col w:w="10219"/>
          </w:cols>
          <w:pgMar w:left="240" w:top="852"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1,481,266</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6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Each</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9"/>
              </w:rPr>
              <w:t>With:</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1,481,845</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259" w:hanging="1047"/>
        <w:spacing w:after="0" w:line="708" w:lineRule="auto"/>
        <w:tabs>
          <w:tab w:leader="none" w:pos="63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1,481,845</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4419" w:hanging="1152"/>
        <w:spacing w:after="0" w:line="708" w:lineRule="auto"/>
        <w:tabs>
          <w:tab w:leader="none" w:pos="63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5.1 %</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HC-CO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2 of 11</w:t>
      </w:r>
    </w:p>
    <w:p>
      <w:pPr>
        <w:sectPr>
          <w:pgSz w:w="11900" w:h="16838" w:orient="portrait"/>
          <w:cols w:equalWidth="0" w:num="1">
            <w:col w:w="10219"/>
          </w:cols>
          <w:pgMar w:left="240" w:top="54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320" w:type="dxa"/>
            <w:vAlign w:val="bottom"/>
          </w:tcPr>
          <w:p>
            <w:pPr>
              <w:jc w:val="center"/>
              <w:ind w:right="792"/>
              <w:spacing w:after="0"/>
              <w:rPr>
                <w:sz w:val="20"/>
                <w:szCs w:val="20"/>
                <w:color w:val="auto"/>
              </w:rPr>
            </w:pPr>
            <w:r>
              <w:rPr>
                <w:rFonts w:ascii="Courier New" w:cs="Courier New" w:eastAsia="Courier New" w:hAnsi="Courier New"/>
                <w:sz w:val="18"/>
                <w:szCs w:val="18"/>
                <w:color w:val="auto"/>
                <w:w w:val="98"/>
              </w:rPr>
              <w:t>-----------------------</w:t>
            </w:r>
          </w:p>
        </w:tc>
        <w:tc>
          <w:tcPr>
            <w:tcW w:w="1220" w:type="dxa"/>
            <w:vAlign w:val="bottom"/>
          </w:tcPr>
          <w:p>
            <w:pPr>
              <w:spacing w:after="0"/>
              <w:rPr>
                <w:sz w:val="17"/>
                <w:szCs w:val="17"/>
                <w:color w:val="auto"/>
              </w:rPr>
            </w:pPr>
          </w:p>
        </w:tc>
      </w:tr>
      <w:tr>
        <w:trPr>
          <w:trHeight w:val="203"/>
        </w:trPr>
        <w:tc>
          <w:tcPr>
            <w:tcW w:w="33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7"/>
              </w:rPr>
              <w:t>CUSIP No. 34385P108</w:t>
            </w:r>
          </w:p>
        </w:tc>
        <w:tc>
          <w:tcPr>
            <w:tcW w:w="122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2"/>
              </w:rPr>
              <w:t>13G</w:t>
            </w:r>
          </w:p>
        </w:tc>
      </w:tr>
      <w:tr>
        <w:trPr>
          <w:trHeight w:val="203"/>
        </w:trPr>
        <w:tc>
          <w:tcPr>
            <w:tcW w:w="3320" w:type="dxa"/>
            <w:vAlign w:val="bottom"/>
          </w:tcPr>
          <w:p>
            <w:pPr>
              <w:jc w:val="center"/>
              <w:ind w:right="792"/>
              <w:spacing w:after="0" w:line="203" w:lineRule="exact"/>
              <w:rPr>
                <w:sz w:val="20"/>
                <w:szCs w:val="20"/>
                <w:color w:val="auto"/>
              </w:rPr>
            </w:pPr>
            <w:r>
              <w:rPr>
                <w:rFonts w:ascii="Courier New" w:cs="Courier New" w:eastAsia="Courier New" w:hAnsi="Courier New"/>
                <w:sz w:val="18"/>
                <w:szCs w:val="18"/>
                <w:color w:val="auto"/>
                <w:w w:val="98"/>
              </w:rPr>
              <w:t>-----------------------</w:t>
            </w:r>
          </w:p>
        </w:tc>
        <w:tc>
          <w:tcPr>
            <w:tcW w:w="1220" w:type="dxa"/>
            <w:vAlign w:val="bottom"/>
          </w:tcPr>
          <w:p>
            <w:pPr>
              <w:spacing w:after="0"/>
              <w:rPr>
                <w:sz w:val="17"/>
                <w:szCs w:val="17"/>
                <w:color w:val="auto"/>
              </w:rPr>
            </w:pP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527"/>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GOLDMAN, SACHS &amp; CO.</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(a) [_]</w:t>
      </w:r>
    </w:p>
    <w:p>
      <w:pPr>
        <w:ind w:left="6740"/>
        <w:spacing w:after="0" w:line="238" w:lineRule="auto"/>
        <w:rPr>
          <w:sz w:val="20"/>
          <w:szCs w:val="20"/>
          <w:color w:val="auto"/>
        </w:rPr>
      </w:pPr>
      <w:r>
        <w:rPr>
          <w:rFonts w:ascii="Courier New" w:cs="Courier New" w:eastAsia="Courier New" w:hAnsi="Courier New"/>
          <w:sz w:val="18"/>
          <w:szCs w:val="18"/>
          <w:color w:val="auto"/>
        </w:rPr>
        <w:t>(b) [_]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20"/>
        <w:spacing w:after="0"/>
        <w:tabs>
          <w:tab w:leader="none" w:pos="62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New York</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540" w:type="dxa"/>
            <w:vAlign w:val="bottom"/>
          </w:tcPr>
          <w:p>
            <w:pPr>
              <w:spacing w:after="0"/>
              <w:rPr>
                <w:sz w:val="17"/>
                <w:szCs w:val="17"/>
                <w:color w:val="auto"/>
              </w:rPr>
            </w:pPr>
          </w:p>
        </w:tc>
        <w:tc>
          <w:tcPr>
            <w:tcW w:w="8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w:t>
            </w:r>
          </w:p>
        </w:tc>
        <w:tc>
          <w:tcPr>
            <w:tcW w:w="548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405"/>
        </w:trPr>
        <w:tc>
          <w:tcPr>
            <w:tcW w:w="1540" w:type="dxa"/>
            <w:vAlign w:val="bottom"/>
          </w:tcPr>
          <w:p>
            <w:pPr>
              <w:jc w:val="center"/>
              <w:ind w:right="72"/>
              <w:spacing w:after="0"/>
              <w:rPr>
                <w:sz w:val="20"/>
                <w:szCs w:val="20"/>
                <w:color w:val="auto"/>
              </w:rPr>
            </w:pPr>
            <w:r>
              <w:rPr>
                <w:rFonts w:ascii="Courier New" w:cs="Courier New" w:eastAsia="Courier New" w:hAnsi="Courier New"/>
                <w:sz w:val="18"/>
                <w:szCs w:val="18"/>
                <w:color w:val="auto"/>
                <w:w w:val="96"/>
              </w:rPr>
              <w:t>Number of</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Shares</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6.</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1,481,266</w:t>
            </w:r>
          </w:p>
        </w:tc>
      </w:tr>
      <w:tr>
        <w:trPr>
          <w:trHeight w:val="203"/>
        </w:trPr>
        <w:tc>
          <w:tcPr>
            <w:tcW w:w="1540" w:type="dxa"/>
            <w:vAlign w:val="bottom"/>
          </w:tcPr>
          <w:p>
            <w:pPr>
              <w:jc w:val="center"/>
              <w:ind w:right="1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6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jc w:val="center"/>
              <w:ind w:right="192"/>
              <w:spacing w:after="0" w:line="203" w:lineRule="exact"/>
              <w:rPr>
                <w:sz w:val="20"/>
                <w:szCs w:val="20"/>
                <w:color w:val="auto"/>
              </w:rPr>
            </w:pPr>
            <w:r>
              <w:rPr>
                <w:rFonts w:ascii="Courier New" w:cs="Courier New" w:eastAsia="Courier New" w:hAnsi="Courier New"/>
                <w:sz w:val="18"/>
                <w:szCs w:val="18"/>
                <w:color w:val="auto"/>
                <w:w w:val="97"/>
              </w:rPr>
              <w:t>Each</w:t>
            </w: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540" w:type="dxa"/>
            <w:vAlign w:val="bottom"/>
          </w:tcPr>
          <w:p>
            <w:pPr>
              <w:ind w:left="100"/>
              <w:spacing w:after="0"/>
              <w:rPr>
                <w:sz w:val="20"/>
                <w:szCs w:val="20"/>
                <w:color w:val="auto"/>
              </w:rPr>
            </w:pPr>
            <w:r>
              <w:rPr>
                <w:rFonts w:ascii="Courier New" w:cs="Courier New" w:eastAsia="Courier New" w:hAnsi="Courier New"/>
                <w:sz w:val="18"/>
                <w:szCs w:val="18"/>
                <w:color w:val="auto"/>
              </w:rPr>
              <w:t>Reporting</w:t>
            </w:r>
          </w:p>
        </w:tc>
        <w:tc>
          <w:tcPr>
            <w:tcW w:w="880" w:type="dxa"/>
            <w:vAlign w:val="bottom"/>
          </w:tcPr>
          <w:p>
            <w:pPr>
              <w:spacing w:after="0"/>
              <w:rPr>
                <w:sz w:val="24"/>
                <w:szCs w:val="24"/>
                <w:color w:val="auto"/>
              </w:rPr>
            </w:pPr>
          </w:p>
        </w:tc>
        <w:tc>
          <w:tcPr>
            <w:tcW w:w="5480" w:type="dxa"/>
            <w:vAlign w:val="bottom"/>
          </w:tcPr>
          <w:p>
            <w:pPr>
              <w:ind w:left="540"/>
              <w:spacing w:after="0"/>
              <w:rPr>
                <w:sz w:val="20"/>
                <w:szCs w:val="20"/>
                <w:color w:val="auto"/>
              </w:rPr>
            </w:pPr>
            <w:r>
              <w:rPr>
                <w:rFonts w:ascii="Courier New" w:cs="Courier New" w:eastAsia="Courier New" w:hAnsi="Courier New"/>
                <w:sz w:val="18"/>
                <w:szCs w:val="18"/>
                <w:color w:val="auto"/>
              </w:rPr>
              <w:t>0</w:t>
            </w:r>
          </w:p>
        </w:tc>
      </w:tr>
      <w:tr>
        <w:trPr>
          <w:trHeight w:val="405"/>
        </w:trPr>
        <w:tc>
          <w:tcPr>
            <w:tcW w:w="1540" w:type="dxa"/>
            <w:vAlign w:val="bottom"/>
          </w:tcPr>
          <w:p>
            <w:pPr>
              <w:jc w:val="center"/>
              <w:ind w:right="172"/>
              <w:spacing w:after="0"/>
              <w:rPr>
                <w:sz w:val="20"/>
                <w:szCs w:val="20"/>
                <w:color w:val="auto"/>
              </w:rPr>
            </w:pPr>
            <w:r>
              <w:rPr>
                <w:rFonts w:ascii="Courier New" w:cs="Courier New" w:eastAsia="Courier New" w:hAnsi="Courier New"/>
                <w:sz w:val="18"/>
                <w:szCs w:val="18"/>
                <w:color w:val="auto"/>
                <w:w w:val="98"/>
              </w:rPr>
              <w:t>Person</w:t>
            </w:r>
          </w:p>
        </w:tc>
        <w:tc>
          <w:tcPr>
            <w:tcW w:w="63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540" w:type="dxa"/>
            <w:vAlign w:val="bottom"/>
          </w:tcPr>
          <w:p>
            <w:pPr>
              <w:spacing w:after="0"/>
              <w:rPr>
                <w:sz w:val="17"/>
                <w:szCs w:val="17"/>
                <w:color w:val="auto"/>
              </w:rPr>
            </w:pPr>
          </w:p>
        </w:tc>
        <w:tc>
          <w:tcPr>
            <w:tcW w:w="8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w:t>
            </w:r>
          </w:p>
        </w:tc>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54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9"/>
              </w:rPr>
              <w:t>With:</w:t>
            </w:r>
          </w:p>
        </w:tc>
        <w:tc>
          <w:tcPr>
            <w:tcW w:w="880" w:type="dxa"/>
            <w:vAlign w:val="bottom"/>
          </w:tcPr>
          <w:p>
            <w:pPr>
              <w:spacing w:after="0"/>
              <w:rPr>
                <w:sz w:val="17"/>
                <w:szCs w:val="17"/>
                <w:color w:val="auto"/>
              </w:rPr>
            </w:pPr>
          </w:p>
        </w:tc>
        <w:tc>
          <w:tcPr>
            <w:tcW w:w="548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1,481,845</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527"/>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1,481,845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180" w:right="2739" w:hanging="7172"/>
        <w:spacing w:after="0" w:line="399" w:lineRule="auto"/>
        <w:tabs>
          <w:tab w:leader="none" w:pos="6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if the Aggregate Amount in Row (9) Excludes Certain Shares [_]</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640" w:hanging="632"/>
        <w:spacing w:after="0"/>
        <w:tabs>
          <w:tab w:leader="none" w:pos="6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5.1 %</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7059" w:hanging="1152"/>
        <w:spacing w:after="0" w:line="470" w:lineRule="auto"/>
        <w:tabs>
          <w:tab w:leader="none" w:pos="63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BD-PN-IA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Page 3 of 11</w:t>
      </w:r>
    </w:p>
    <w:p>
      <w:pPr>
        <w:sectPr>
          <w:pgSz w:w="11900" w:h="16838" w:orient="portrait"/>
          <w:cols w:equalWidth="0" w:num="1">
            <w:col w:w="10219"/>
          </w:cols>
          <w:pgMar w:left="240" w:top="717" w:right="1440" w:bottom="564" w:gutter="0" w:footer="0" w:header="0"/>
        </w:sectPr>
      </w:pPr>
    </w:p>
    <w:bookmarkStart w:id="3" w:name="page4"/>
    <w:bookmarkEnd w:id="3"/>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Name of Issuer: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FLUIDIGM CORPORATION</w:t>
      </w:r>
    </w:p>
    <w:p>
      <w:pPr>
        <w:spacing w:after="0" w:line="200" w:lineRule="exact"/>
        <w:rPr>
          <w:sz w:val="20"/>
          <w:szCs w:val="20"/>
          <w:color w:val="auto"/>
        </w:rPr>
      </w:pPr>
    </w:p>
    <w:p>
      <w:pPr>
        <w:sectPr>
          <w:pgSz w:w="11900" w:h="16838" w:orient="portrait"/>
          <w:cols w:equalWidth="0" w:num="2">
            <w:col w:w="1280" w:space="720"/>
            <w:col w:w="8219"/>
          </w:cols>
          <w:pgMar w:left="240" w:top="717" w:right="1440" w:bottom="0" w:gutter="0" w:footer="0" w:header="0"/>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Address of Issuer's Principal Executive Offices: 7000 Shoreline Court, Suite 100 South San Francisco, CA 94080</w:t>
      </w:r>
    </w:p>
    <w:p>
      <w:pPr>
        <w:spacing w:after="0" w:line="200" w:lineRule="exact"/>
        <w:rPr>
          <w:sz w:val="20"/>
          <w:szCs w:val="20"/>
          <w:color w:val="auto"/>
        </w:rPr>
      </w:pPr>
    </w:p>
    <w:p>
      <w:pPr>
        <w:sectPr>
          <w:pgSz w:w="11900" w:h="16838" w:orient="portrait"/>
          <w:cols w:equalWidth="0" w:num="2">
            <w:col w:w="1280" w:space="720"/>
            <w:col w:w="8219"/>
          </w:cols>
          <w:pgMar w:left="240" w:top="717" w:right="1440" w:bottom="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Name of Persons Filing:</w:t>
      </w:r>
    </w:p>
    <w:p>
      <w:pPr>
        <w:spacing w:after="0" w:line="200" w:lineRule="exact"/>
        <w:rPr>
          <w:sz w:val="20"/>
          <w:szCs w:val="20"/>
          <w:color w:val="auto"/>
        </w:rPr>
      </w:pPr>
    </w:p>
    <w:p>
      <w:pPr>
        <w:sectPr>
          <w:pgSz w:w="11900" w:h="16838" w:orient="portrait"/>
          <w:cols w:equalWidth="0" w:num="2">
            <w:col w:w="1280" w:space="720"/>
            <w:col w:w="8219"/>
          </w:cols>
          <w:pgMar w:left="240" w:top="717" w:right="1440" w:bottom="0" w:gutter="0" w:footer="0" w:header="0"/>
          <w:type w:val="continuous"/>
        </w:sectPr>
      </w:pPr>
    </w:p>
    <w:p>
      <w:pPr>
        <w:spacing w:after="0" w:line="2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THE GOLDMAN SACHS GROUP, INC.</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GOLDMAN, SACHS &amp; CO.</w:t>
      </w:r>
    </w:p>
    <w:p>
      <w:pPr>
        <w:sectPr>
          <w:pgSz w:w="11900" w:h="16838" w:orient="portrait"/>
          <w:cols w:equalWidth="0" w:num="1">
            <w:col w:w="10219"/>
          </w:cols>
          <w:pgMar w:left="240" w:top="717"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ectPr>
          <w:pgSz w:w="11900" w:h="16838" w:orient="portrait"/>
          <w:cols w:equalWidth="0" w:num="2">
            <w:col w:w="1280" w:space="720"/>
            <w:col w:w="8219"/>
          </w:cols>
          <w:pgMar w:left="240" w:top="717" w:right="1440" w:bottom="0" w:gutter="0" w:footer="0" w:header="0"/>
          <w:type w:val="continuous"/>
        </w:sectPr>
      </w:pPr>
    </w:p>
    <w:p>
      <w:pPr>
        <w:spacing w:after="0" w:line="2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The Goldman Sachs Group, Inc.</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200 West Street</w:t>
      </w:r>
    </w:p>
    <w:p>
      <w:pPr>
        <w:ind w:left="2000"/>
        <w:spacing w:after="0" w:line="238" w:lineRule="auto"/>
        <w:rPr>
          <w:sz w:val="20"/>
          <w:szCs w:val="20"/>
          <w:color w:val="auto"/>
        </w:rPr>
      </w:pPr>
      <w:r>
        <w:rPr>
          <w:rFonts w:ascii="Courier New" w:cs="Courier New" w:eastAsia="Courier New" w:hAnsi="Courier New"/>
          <w:sz w:val="18"/>
          <w:szCs w:val="18"/>
          <w:color w:val="auto"/>
        </w:rPr>
        <w:t>New York, NY 10282</w:t>
      </w: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Goldman, Sachs &amp; Co.</w:t>
      </w:r>
    </w:p>
    <w:p>
      <w:pPr>
        <w:ind w:left="2000"/>
        <w:spacing w:after="0" w:line="238" w:lineRule="auto"/>
        <w:rPr>
          <w:sz w:val="20"/>
          <w:szCs w:val="20"/>
          <w:color w:val="auto"/>
        </w:rPr>
      </w:pPr>
      <w:r>
        <w:rPr>
          <w:rFonts w:ascii="Courier New" w:cs="Courier New" w:eastAsia="Courier New" w:hAnsi="Courier New"/>
          <w:sz w:val="18"/>
          <w:szCs w:val="18"/>
          <w:color w:val="auto"/>
        </w:rPr>
        <w:t>200 West Street</w:t>
      </w:r>
    </w:p>
    <w:p>
      <w:pPr>
        <w:ind w:left="2000"/>
        <w:spacing w:after="0"/>
        <w:rPr>
          <w:sz w:val="20"/>
          <w:szCs w:val="20"/>
          <w:color w:val="auto"/>
        </w:rPr>
      </w:pPr>
      <w:r>
        <w:rPr>
          <w:rFonts w:ascii="Courier New" w:cs="Courier New" w:eastAsia="Courier New" w:hAnsi="Courier New"/>
          <w:sz w:val="18"/>
          <w:szCs w:val="18"/>
          <w:color w:val="auto"/>
        </w:rPr>
        <w:t>New York, NY 10282</w:t>
      </w:r>
    </w:p>
    <w:p>
      <w:pPr>
        <w:sectPr>
          <w:pgSz w:w="11900" w:h="16838" w:orient="portrait"/>
          <w:cols w:equalWidth="0" w:num="1">
            <w:col w:w="10219"/>
          </w:cols>
          <w:pgMar w:left="240" w:top="717" w:right="1440" w:bottom="0" w:gutter="0" w:footer="0" w:header="0"/>
          <w:type w:val="continuous"/>
        </w:sect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Citizenship: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GOLDMAN SACHS GROUP, INC. - Delaware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 New York</w:t>
      </w:r>
    </w:p>
    <w:p>
      <w:pPr>
        <w:spacing w:after="0" w:line="200" w:lineRule="exact"/>
        <w:rPr>
          <w:sz w:val="20"/>
          <w:szCs w:val="20"/>
          <w:color w:val="auto"/>
        </w:rPr>
      </w:pPr>
    </w:p>
    <w:p>
      <w:pPr>
        <w:sectPr>
          <w:pgSz w:w="11900" w:h="16838" w:orient="portrait"/>
          <w:cols w:equalWidth="0" w:num="2">
            <w:col w:w="1280" w:space="720"/>
            <w:col w:w="821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 $0.001 Par Value per Share</w:t>
      </w:r>
    </w:p>
    <w:p>
      <w:pPr>
        <w:spacing w:after="0" w:line="200" w:lineRule="exact"/>
        <w:rPr>
          <w:sz w:val="20"/>
          <w:szCs w:val="20"/>
          <w:color w:val="auto"/>
        </w:rPr>
      </w:pPr>
    </w:p>
    <w:p>
      <w:pPr>
        <w:sectPr>
          <w:pgSz w:w="11900" w:h="16838" w:orient="portrait"/>
          <w:cols w:equalWidth="0" w:num="2">
            <w:col w:w="1280" w:space="720"/>
            <w:col w:w="8219"/>
          </w:cols>
          <w:pgMar w:left="240" w:top="717"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34385P108</w:t>
      </w:r>
    </w:p>
    <w:p>
      <w:pPr>
        <w:spacing w:after="0" w:line="200" w:lineRule="exact"/>
        <w:rPr>
          <w:sz w:val="20"/>
          <w:szCs w:val="20"/>
          <w:color w:val="auto"/>
        </w:rPr>
      </w:pPr>
    </w:p>
    <w:p>
      <w:pPr>
        <w:sectPr>
          <w:pgSz w:w="11900" w:h="16838" w:orient="portrait"/>
          <w:cols w:equalWidth="0" w:num="2">
            <w:col w:w="1280" w:space="720"/>
            <w:col w:w="8219"/>
          </w:cols>
          <w:pgMar w:left="240" w:top="717"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ind w:right="2319"/>
        <w:spacing w:after="0" w:line="290" w:lineRule="auto"/>
        <w:rPr>
          <w:sz w:val="20"/>
          <w:szCs w:val="20"/>
          <w:color w:val="auto"/>
        </w:rPr>
      </w:pPr>
      <w:r>
        <w:rPr>
          <w:rFonts w:ascii="Courier New" w:cs="Courier New" w:eastAsia="Courier New" w:hAnsi="Courier New"/>
          <w:sz w:val="16"/>
          <w:szCs w:val="16"/>
          <w:color w:val="auto"/>
        </w:rPr>
        <w:t>If this statement is filed pursuant to Rules 13d-1(b) or 13d-2(b) or (c), check whether the person filing is a:</w:t>
      </w:r>
    </w:p>
    <w:p>
      <w:pPr>
        <w:spacing w:after="0" w:line="170" w:lineRule="exact"/>
        <w:rPr>
          <w:sz w:val="20"/>
          <w:szCs w:val="20"/>
          <w:color w:val="auto"/>
        </w:rPr>
      </w:pPr>
    </w:p>
    <w:p>
      <w:pPr>
        <w:sectPr>
          <w:pgSz w:w="11900" w:h="16838" w:orient="portrait"/>
          <w:cols w:equalWidth="0" w:num="2">
            <w:col w:w="1280" w:space="720"/>
            <w:col w:w="8219"/>
          </w:cols>
          <w:pgMar w:left="240" w:top="717" w:right="1440" w:bottom="0" w:gutter="0" w:footer="0" w:header="0"/>
          <w:type w:val="continuous"/>
        </w:sectPr>
      </w:pPr>
    </w:p>
    <w:p>
      <w:pPr>
        <w:ind w:left="1060"/>
        <w:spacing w:after="0"/>
        <w:rPr>
          <w:sz w:val="20"/>
          <w:szCs w:val="20"/>
          <w:color w:val="auto"/>
        </w:rPr>
      </w:pPr>
      <w:r>
        <w:rPr>
          <w:rFonts w:ascii="Courier New" w:cs="Courier New" w:eastAsia="Courier New" w:hAnsi="Courier New"/>
          <w:sz w:val="16"/>
          <w:szCs w:val="16"/>
          <w:color w:val="auto"/>
        </w:rPr>
        <w:t>(a).[X]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Broker or dealer registered under Section 15 of the Act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U.S.C. 78o).</w:t>
      </w:r>
    </w:p>
    <w:p>
      <w:pPr>
        <w:ind w:left="1160"/>
        <w:spacing w:after="0" w:line="238" w:lineRule="auto"/>
        <w:rPr>
          <w:sz w:val="20"/>
          <w:szCs w:val="20"/>
          <w:color w:val="auto"/>
        </w:rPr>
      </w:pPr>
      <w:r>
        <w:rPr>
          <w:rFonts w:ascii="Courier New" w:cs="Courier New" w:eastAsia="Courier New" w:hAnsi="Courier New"/>
          <w:sz w:val="18"/>
          <w:szCs w:val="18"/>
          <w:color w:val="auto"/>
        </w:rPr>
        <w:t>Goldman, Sachs &amp; Co.</w:t>
      </w:r>
    </w:p>
    <w:p>
      <w:pPr>
        <w:spacing w:after="0" w:line="200" w:lineRule="exact"/>
        <w:rPr>
          <w:sz w:val="20"/>
          <w:szCs w:val="20"/>
          <w:color w:val="auto"/>
        </w:rPr>
      </w:pPr>
    </w:p>
    <w:p>
      <w:pPr>
        <w:sectPr>
          <w:pgSz w:w="11900" w:h="16838" w:orient="portrait"/>
          <w:cols w:equalWidth="0" w:num="2">
            <w:col w:w="1800" w:space="200"/>
            <w:col w:w="8219"/>
          </w:cols>
          <w:pgMar w:left="240" w:top="717" w:right="1440" w:bottom="0" w:gutter="0" w:footer="0" w:header="0"/>
          <w:type w:val="continuous"/>
        </w:sectPr>
      </w:pPr>
    </w:p>
    <w:p>
      <w:pPr>
        <w:spacing w:after="0" w:line="7"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(b).[_]</w:t>
      </w:r>
    </w:p>
    <w:p>
      <w:pPr>
        <w:spacing w:after="0" w:line="20" w:lineRule="exact"/>
        <w:rPr>
          <w:sz w:val="20"/>
          <w:szCs w:val="20"/>
          <w:color w:val="auto"/>
        </w:rPr>
      </w:pPr>
      <w:r>
        <w:rPr>
          <w:sz w:val="20"/>
          <w:szCs w:val="20"/>
          <w:color w:val="auto"/>
        </w:rPr>
        <w:br w:type="column"/>
      </w:r>
    </w:p>
    <w:p>
      <w:pPr>
        <w:ind w:right="3479"/>
        <w:spacing w:after="0" w:line="235" w:lineRule="auto"/>
        <w:rPr>
          <w:sz w:val="20"/>
          <w:szCs w:val="20"/>
          <w:color w:val="auto"/>
        </w:rPr>
      </w:pPr>
      <w:r>
        <w:rPr>
          <w:rFonts w:ascii="Courier New" w:cs="Courier New" w:eastAsia="Courier New" w:hAnsi="Courier New"/>
          <w:sz w:val="18"/>
          <w:szCs w:val="18"/>
          <w:color w:val="auto"/>
        </w:rPr>
        <w:t>Bank as defined in Section 3(a)(6) of the Act (15 U.S.C. 78c).</w:t>
      </w:r>
    </w:p>
    <w:p>
      <w:pPr>
        <w:spacing w:after="0" w:line="200" w:lineRule="exact"/>
        <w:rPr>
          <w:sz w:val="20"/>
          <w:szCs w:val="20"/>
          <w:color w:val="auto"/>
        </w:rPr>
      </w:pPr>
    </w:p>
    <w:p>
      <w:pPr>
        <w:sectPr>
          <w:pgSz w:w="11900" w:h="16838" w:orient="portrait"/>
          <w:cols w:equalWidth="0" w:num="2">
            <w:col w:w="1800" w:space="200"/>
            <w:col w:w="8219"/>
          </w:cols>
          <w:pgMar w:left="240" w:top="717" w:right="1440" w:bottom="0" w:gutter="0" w:footer="0" w:header="0"/>
          <w:type w:val="continuous"/>
        </w:sectPr>
      </w:pPr>
    </w:p>
    <w:p>
      <w:pPr>
        <w:spacing w:after="0" w:line="3"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(c).[_]</w:t>
      </w:r>
      <w:r>
        <w:rPr>
          <w:sz w:val="20"/>
          <w:szCs w:val="20"/>
          <w:color w:val="auto"/>
        </w:rPr>
        <w:tab/>
      </w:r>
      <w:r>
        <w:rPr>
          <w:rFonts w:ascii="Courier New" w:cs="Courier New" w:eastAsia="Courier New" w:hAnsi="Courier New"/>
          <w:sz w:val="16"/>
          <w:szCs w:val="16"/>
          <w:color w:val="auto"/>
        </w:rPr>
        <w:t>Insurance company as defined in Section 3(a)(19) of the Act</w:t>
      </w:r>
    </w:p>
    <w:tbl>
      <w:tblPr>
        <w:tblLayout w:type="fixed"/>
        <w:tblInd w:w="1060" w:type="dxa"/>
        <w:tblCellMar>
          <w:top w:w="0" w:type="dxa"/>
          <w:left w:w="0" w:type="dxa"/>
          <w:bottom w:w="0" w:type="dxa"/>
          <w:right w:w="0" w:type="dxa"/>
        </w:tblCellMar>
      </w:tblPr>
      <w:tr>
        <w:trPr>
          <w:trHeight w:val="203"/>
        </w:trPr>
        <w:tc>
          <w:tcPr>
            <w:tcW w:w="840" w:type="dxa"/>
            <w:vAlign w:val="bottom"/>
          </w:tcPr>
          <w:p>
            <w:pPr>
              <w:spacing w:after="0"/>
              <w:rPr>
                <w:sz w:val="17"/>
                <w:szCs w:val="17"/>
                <w:color w:val="auto"/>
              </w:rPr>
            </w:pPr>
          </w:p>
        </w:tc>
        <w:tc>
          <w:tcPr>
            <w:tcW w:w="27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(15 U.S.C. 78c).</w:t>
            </w:r>
          </w:p>
        </w:tc>
        <w:tc>
          <w:tcPr>
            <w:tcW w:w="11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405"/>
        </w:trPr>
        <w:tc>
          <w:tcPr>
            <w:tcW w:w="840" w:type="dxa"/>
            <w:vAlign w:val="bottom"/>
          </w:tcPr>
          <w:p>
            <w:pPr>
              <w:spacing w:after="0"/>
              <w:rPr>
                <w:sz w:val="20"/>
                <w:szCs w:val="20"/>
                <w:color w:val="auto"/>
              </w:rPr>
            </w:pPr>
            <w:r>
              <w:rPr>
                <w:rFonts w:ascii="Courier New" w:cs="Courier New" w:eastAsia="Courier New" w:hAnsi="Courier New"/>
                <w:sz w:val="18"/>
                <w:szCs w:val="18"/>
                <w:color w:val="auto"/>
              </w:rPr>
              <w:t>(d).[_]</w:t>
            </w:r>
          </w:p>
        </w:tc>
        <w:tc>
          <w:tcPr>
            <w:tcW w:w="384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8"/>
              </w:rPr>
              <w:t>Investment company registered under</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Section 8 of the</w:t>
            </w:r>
          </w:p>
        </w:tc>
      </w:tr>
      <w:tr>
        <w:trPr>
          <w:trHeight w:val="203"/>
        </w:trPr>
        <w:tc>
          <w:tcPr>
            <w:tcW w:w="840" w:type="dxa"/>
            <w:vAlign w:val="bottom"/>
          </w:tcPr>
          <w:p>
            <w:pPr>
              <w:spacing w:after="0"/>
              <w:rPr>
                <w:sz w:val="17"/>
                <w:szCs w:val="17"/>
                <w:color w:val="auto"/>
              </w:rPr>
            </w:pPr>
          </w:p>
        </w:tc>
        <w:tc>
          <w:tcPr>
            <w:tcW w:w="60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Investment Company Act of 1940 (15 U.S.C. 80a-8).</w:t>
            </w:r>
          </w:p>
        </w:tc>
      </w:tr>
      <w:tr>
        <w:trPr>
          <w:trHeight w:val="405"/>
        </w:trPr>
        <w:tc>
          <w:tcPr>
            <w:tcW w:w="840" w:type="dxa"/>
            <w:vAlign w:val="bottom"/>
          </w:tcPr>
          <w:p>
            <w:pPr>
              <w:spacing w:after="0"/>
              <w:rPr>
                <w:sz w:val="20"/>
                <w:szCs w:val="20"/>
                <w:color w:val="auto"/>
              </w:rPr>
            </w:pPr>
            <w:r>
              <w:rPr>
                <w:rFonts w:ascii="Courier New" w:cs="Courier New" w:eastAsia="Courier New" w:hAnsi="Courier New"/>
                <w:sz w:val="18"/>
                <w:szCs w:val="18"/>
                <w:color w:val="auto"/>
              </w:rPr>
              <w:t>(e).[X]</w:t>
            </w:r>
          </w:p>
        </w:tc>
        <w:tc>
          <w:tcPr>
            <w:tcW w:w="2700" w:type="dxa"/>
            <w:vAlign w:val="bottom"/>
          </w:tcPr>
          <w:p>
            <w:pPr>
              <w:ind w:left="100"/>
              <w:spacing w:after="0"/>
              <w:rPr>
                <w:sz w:val="20"/>
                <w:szCs w:val="20"/>
                <w:color w:val="auto"/>
              </w:rPr>
            </w:pPr>
            <w:r>
              <w:rPr>
                <w:rFonts w:ascii="Courier New" w:cs="Courier New" w:eastAsia="Courier New" w:hAnsi="Courier New"/>
                <w:sz w:val="18"/>
                <w:szCs w:val="18"/>
                <w:color w:val="auto"/>
                <w:w w:val="99"/>
              </w:rPr>
              <w:t>An investment adviser in</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w w:val="99"/>
              </w:rPr>
              <w:t>accordance</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with</w:t>
            </w:r>
          </w:p>
        </w:tc>
      </w:tr>
      <w:tr>
        <w:trPr>
          <w:trHeight w:val="203"/>
        </w:trPr>
        <w:tc>
          <w:tcPr>
            <w:tcW w:w="840" w:type="dxa"/>
            <w:vAlign w:val="bottom"/>
          </w:tcPr>
          <w:p>
            <w:pPr>
              <w:spacing w:after="0"/>
              <w:rPr>
                <w:sz w:val="17"/>
                <w:szCs w:val="17"/>
                <w:color w:val="auto"/>
              </w:rPr>
            </w:pPr>
          </w:p>
        </w:tc>
        <w:tc>
          <w:tcPr>
            <w:tcW w:w="27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Rule 13d-1(b)(1)(ii)(E);</w:t>
            </w:r>
          </w:p>
        </w:tc>
        <w:tc>
          <w:tcPr>
            <w:tcW w:w="114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3840" w:type="dxa"/>
            <w:vAlign w:val="bottom"/>
            <w:gridSpan w:val="2"/>
          </w:tcPr>
          <w:p>
            <w:pPr>
              <w:ind w:left="1260"/>
              <w:spacing w:after="0" w:line="203" w:lineRule="exact"/>
              <w:rPr>
                <w:sz w:val="20"/>
                <w:szCs w:val="20"/>
                <w:color w:val="auto"/>
              </w:rPr>
            </w:pPr>
            <w:r>
              <w:rPr>
                <w:rFonts w:ascii="Courier New" w:cs="Courier New" w:eastAsia="Courier New" w:hAnsi="Courier New"/>
                <w:sz w:val="18"/>
                <w:szCs w:val="18"/>
                <w:color w:val="auto"/>
              </w:rPr>
              <w:t>Goldman, Sachs &amp; Co.</w:t>
            </w:r>
          </w:p>
        </w:tc>
        <w:tc>
          <w:tcPr>
            <w:tcW w:w="2160" w:type="dxa"/>
            <w:vAlign w:val="bottom"/>
          </w:tcPr>
          <w:p>
            <w:pPr>
              <w:spacing w:after="0"/>
              <w:rPr>
                <w:sz w:val="17"/>
                <w:szCs w:val="17"/>
                <w:color w:val="auto"/>
              </w:rPr>
            </w:pPr>
          </w:p>
        </w:tc>
      </w:tr>
      <w:tr>
        <w:trPr>
          <w:trHeight w:val="405"/>
        </w:trPr>
        <w:tc>
          <w:tcPr>
            <w:tcW w:w="840" w:type="dxa"/>
            <w:vAlign w:val="bottom"/>
          </w:tcPr>
          <w:p>
            <w:pPr>
              <w:spacing w:after="0"/>
              <w:rPr>
                <w:sz w:val="20"/>
                <w:szCs w:val="20"/>
                <w:color w:val="auto"/>
              </w:rPr>
            </w:pPr>
            <w:r>
              <w:rPr>
                <w:rFonts w:ascii="Courier New" w:cs="Courier New" w:eastAsia="Courier New" w:hAnsi="Courier New"/>
                <w:sz w:val="18"/>
                <w:szCs w:val="18"/>
                <w:color w:val="auto"/>
              </w:rPr>
              <w:t>(f).[_]</w:t>
            </w:r>
          </w:p>
        </w:tc>
        <w:tc>
          <w:tcPr>
            <w:tcW w:w="2700" w:type="dxa"/>
            <w:vAlign w:val="bottom"/>
          </w:tcPr>
          <w:p>
            <w:pPr>
              <w:ind w:left="100"/>
              <w:spacing w:after="0"/>
              <w:rPr>
                <w:sz w:val="20"/>
                <w:szCs w:val="20"/>
                <w:color w:val="auto"/>
              </w:rPr>
            </w:pPr>
            <w:r>
              <w:rPr>
                <w:rFonts w:ascii="Courier New" w:cs="Courier New" w:eastAsia="Courier New" w:hAnsi="Courier New"/>
                <w:sz w:val="18"/>
                <w:szCs w:val="18"/>
                <w:color w:val="auto"/>
                <w:w w:val="99"/>
              </w:rPr>
              <w:t>An employee benefit plan</w:t>
            </w:r>
          </w:p>
        </w:tc>
        <w:tc>
          <w:tcPr>
            <w:tcW w:w="33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6"/>
              </w:rPr>
              <w:t>or endowment fund in accordance</w:t>
            </w:r>
          </w:p>
        </w:tc>
      </w:tr>
      <w:tr>
        <w:trPr>
          <w:trHeight w:val="203"/>
        </w:trPr>
        <w:tc>
          <w:tcPr>
            <w:tcW w:w="840" w:type="dxa"/>
            <w:vAlign w:val="bottom"/>
          </w:tcPr>
          <w:p>
            <w:pPr>
              <w:spacing w:after="0"/>
              <w:rPr>
                <w:sz w:val="17"/>
                <w:szCs w:val="17"/>
                <w:color w:val="auto"/>
              </w:rPr>
            </w:pPr>
          </w:p>
        </w:tc>
        <w:tc>
          <w:tcPr>
            <w:tcW w:w="3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with Rule 13d-1(b)(1)(ii)(F);</w:t>
            </w:r>
          </w:p>
        </w:tc>
        <w:tc>
          <w:tcPr>
            <w:tcW w:w="2160" w:type="dxa"/>
            <w:vAlign w:val="bottom"/>
          </w:tcPr>
          <w:p>
            <w:pPr>
              <w:spacing w:after="0"/>
              <w:rPr>
                <w:sz w:val="17"/>
                <w:szCs w:val="17"/>
                <w:color w:val="auto"/>
              </w:rPr>
            </w:pPr>
          </w:p>
        </w:tc>
      </w:tr>
      <w:tr>
        <w:trPr>
          <w:trHeight w:val="405"/>
        </w:trPr>
        <w:tc>
          <w:tcPr>
            <w:tcW w:w="840" w:type="dxa"/>
            <w:vAlign w:val="bottom"/>
          </w:tcPr>
          <w:p>
            <w:pPr>
              <w:spacing w:after="0"/>
              <w:rPr>
                <w:sz w:val="20"/>
                <w:szCs w:val="20"/>
                <w:color w:val="auto"/>
              </w:rPr>
            </w:pPr>
            <w:r>
              <w:rPr>
                <w:rFonts w:ascii="Courier New" w:cs="Courier New" w:eastAsia="Courier New" w:hAnsi="Courier New"/>
                <w:sz w:val="18"/>
                <w:szCs w:val="18"/>
                <w:color w:val="auto"/>
              </w:rPr>
              <w:t>(g).[X]</w:t>
            </w:r>
          </w:p>
        </w:tc>
        <w:tc>
          <w:tcPr>
            <w:tcW w:w="2700" w:type="dxa"/>
            <w:vAlign w:val="bottom"/>
          </w:tcPr>
          <w:p>
            <w:pPr>
              <w:ind w:left="100"/>
              <w:spacing w:after="0"/>
              <w:rPr>
                <w:sz w:val="20"/>
                <w:szCs w:val="20"/>
                <w:color w:val="auto"/>
              </w:rPr>
            </w:pPr>
            <w:r>
              <w:rPr>
                <w:rFonts w:ascii="Courier New" w:cs="Courier New" w:eastAsia="Courier New" w:hAnsi="Courier New"/>
                <w:sz w:val="18"/>
                <w:szCs w:val="18"/>
                <w:color w:val="auto"/>
                <w:w w:val="99"/>
              </w:rPr>
              <w:t>A parent holding company</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w w:val="99"/>
              </w:rPr>
              <w:t>or control</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w w:val="96"/>
              </w:rPr>
              <w:t>person in accordance</w:t>
            </w:r>
          </w:p>
        </w:tc>
      </w:tr>
      <w:tr>
        <w:trPr>
          <w:trHeight w:val="203"/>
        </w:trPr>
        <w:tc>
          <w:tcPr>
            <w:tcW w:w="840" w:type="dxa"/>
            <w:vAlign w:val="bottom"/>
          </w:tcPr>
          <w:p>
            <w:pPr>
              <w:spacing w:after="0"/>
              <w:rPr>
                <w:sz w:val="17"/>
                <w:szCs w:val="17"/>
                <w:color w:val="auto"/>
              </w:rPr>
            </w:pPr>
          </w:p>
        </w:tc>
        <w:tc>
          <w:tcPr>
            <w:tcW w:w="3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with Rule 13d-1(b)(1)(ii)(G);</w:t>
            </w:r>
          </w:p>
        </w:tc>
        <w:tc>
          <w:tcPr>
            <w:tcW w:w="2160" w:type="dxa"/>
            <w:vAlign w:val="bottom"/>
          </w:tcPr>
          <w:p>
            <w:pPr>
              <w:spacing w:after="0"/>
              <w:rPr>
                <w:sz w:val="17"/>
                <w:szCs w:val="17"/>
                <w:color w:val="auto"/>
              </w:rPr>
            </w:pPr>
          </w:p>
        </w:tc>
      </w:tr>
      <w:tr>
        <w:trPr>
          <w:trHeight w:val="203"/>
        </w:trPr>
        <w:tc>
          <w:tcPr>
            <w:tcW w:w="840" w:type="dxa"/>
            <w:vAlign w:val="bottom"/>
          </w:tcPr>
          <w:p>
            <w:pPr>
              <w:spacing w:after="0"/>
              <w:rPr>
                <w:sz w:val="17"/>
                <w:szCs w:val="17"/>
                <w:color w:val="auto"/>
              </w:rPr>
            </w:pPr>
          </w:p>
        </w:tc>
        <w:tc>
          <w:tcPr>
            <w:tcW w:w="3840" w:type="dxa"/>
            <w:vAlign w:val="bottom"/>
            <w:gridSpan w:val="2"/>
          </w:tcPr>
          <w:p>
            <w:pPr>
              <w:ind w:left="1260"/>
              <w:spacing w:after="0" w:line="203" w:lineRule="exact"/>
              <w:rPr>
                <w:sz w:val="20"/>
                <w:szCs w:val="20"/>
                <w:color w:val="auto"/>
              </w:rPr>
            </w:pPr>
            <w:r>
              <w:rPr>
                <w:rFonts w:ascii="Courier New" w:cs="Courier New" w:eastAsia="Courier New" w:hAnsi="Courier New"/>
                <w:sz w:val="18"/>
                <w:szCs w:val="18"/>
                <w:color w:val="auto"/>
                <w:w w:val="98"/>
              </w:rPr>
              <w:t>The Goldman Sachs Group,</w:t>
            </w:r>
          </w:p>
        </w:tc>
        <w:tc>
          <w:tcPr>
            <w:tcW w:w="2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r>
      <w:tr>
        <w:trPr>
          <w:trHeight w:val="405"/>
        </w:trPr>
        <w:tc>
          <w:tcPr>
            <w:tcW w:w="840" w:type="dxa"/>
            <w:vAlign w:val="bottom"/>
          </w:tcPr>
          <w:p>
            <w:pPr>
              <w:spacing w:after="0"/>
              <w:rPr>
                <w:sz w:val="20"/>
                <w:szCs w:val="20"/>
                <w:color w:val="auto"/>
              </w:rPr>
            </w:pPr>
            <w:r>
              <w:rPr>
                <w:rFonts w:ascii="Courier New" w:cs="Courier New" w:eastAsia="Courier New" w:hAnsi="Courier New"/>
                <w:sz w:val="18"/>
                <w:szCs w:val="18"/>
                <w:color w:val="auto"/>
              </w:rPr>
              <w:t>(h).[_]</w:t>
            </w:r>
          </w:p>
        </w:tc>
        <w:tc>
          <w:tcPr>
            <w:tcW w:w="2700" w:type="dxa"/>
            <w:vAlign w:val="bottom"/>
          </w:tcPr>
          <w:p>
            <w:pPr>
              <w:ind w:left="100"/>
              <w:spacing w:after="0"/>
              <w:rPr>
                <w:sz w:val="20"/>
                <w:szCs w:val="20"/>
                <w:color w:val="auto"/>
              </w:rPr>
            </w:pPr>
            <w:r>
              <w:rPr>
                <w:rFonts w:ascii="Courier New" w:cs="Courier New" w:eastAsia="Courier New" w:hAnsi="Courier New"/>
                <w:sz w:val="18"/>
                <w:szCs w:val="18"/>
                <w:color w:val="auto"/>
                <w:w w:val="99"/>
              </w:rPr>
              <w:t>A savings association as</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w w:val="99"/>
              </w:rPr>
              <w:t>defined in</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Section 3(b) of the</w:t>
            </w:r>
          </w:p>
        </w:tc>
      </w:tr>
      <w:tr>
        <w:trPr>
          <w:trHeight w:val="203"/>
        </w:trPr>
        <w:tc>
          <w:tcPr>
            <w:tcW w:w="840" w:type="dxa"/>
            <w:vAlign w:val="bottom"/>
          </w:tcPr>
          <w:p>
            <w:pPr>
              <w:spacing w:after="0"/>
              <w:rPr>
                <w:sz w:val="17"/>
                <w:szCs w:val="17"/>
                <w:color w:val="auto"/>
              </w:rPr>
            </w:pPr>
          </w:p>
        </w:tc>
        <w:tc>
          <w:tcPr>
            <w:tcW w:w="60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Federal Deposit Insurance Act (12 U.S.C. 1813);</w:t>
            </w:r>
          </w:p>
        </w:tc>
      </w:tr>
      <w:tr>
        <w:trPr>
          <w:trHeight w:val="405"/>
        </w:trPr>
        <w:tc>
          <w:tcPr>
            <w:tcW w:w="4680" w:type="dxa"/>
            <w:vAlign w:val="bottom"/>
            <w:gridSpan w:val="3"/>
          </w:tcPr>
          <w:p>
            <w:pPr>
              <w:spacing w:after="0"/>
              <w:rPr>
                <w:sz w:val="20"/>
                <w:szCs w:val="20"/>
                <w:color w:val="auto"/>
              </w:rPr>
            </w:pPr>
            <w:r>
              <w:rPr>
                <w:rFonts w:ascii="Courier New" w:cs="Courier New" w:eastAsia="Courier New" w:hAnsi="Courier New"/>
                <w:sz w:val="18"/>
                <w:szCs w:val="18"/>
                <w:color w:val="auto"/>
                <w:w w:val="98"/>
              </w:rPr>
              <w:t>(i).[_]  A church plan that is excluded from</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w w:val="96"/>
              </w:rPr>
              <w:t>the definition of an</w:t>
            </w:r>
          </w:p>
        </w:tc>
      </w:tr>
      <w:tr>
        <w:trPr>
          <w:trHeight w:val="203"/>
        </w:trPr>
        <w:tc>
          <w:tcPr>
            <w:tcW w:w="840" w:type="dxa"/>
            <w:vAlign w:val="bottom"/>
          </w:tcPr>
          <w:p>
            <w:pPr>
              <w:spacing w:after="0"/>
              <w:rPr>
                <w:sz w:val="17"/>
                <w:szCs w:val="17"/>
                <w:color w:val="auto"/>
              </w:rPr>
            </w:pPr>
          </w:p>
        </w:tc>
        <w:tc>
          <w:tcPr>
            <w:tcW w:w="27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investment company under</w:t>
            </w:r>
          </w:p>
        </w:tc>
        <w:tc>
          <w:tcPr>
            <w:tcW w:w="3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Section 3(c)(14) of the</w:t>
            </w:r>
          </w:p>
        </w:tc>
      </w:tr>
      <w:tr>
        <w:trPr>
          <w:trHeight w:val="203"/>
        </w:trPr>
        <w:tc>
          <w:tcPr>
            <w:tcW w:w="840" w:type="dxa"/>
            <w:vAlign w:val="bottom"/>
          </w:tcPr>
          <w:p>
            <w:pPr>
              <w:spacing w:after="0"/>
              <w:rPr>
                <w:sz w:val="17"/>
                <w:szCs w:val="17"/>
                <w:color w:val="auto"/>
              </w:rPr>
            </w:pPr>
          </w:p>
        </w:tc>
        <w:tc>
          <w:tcPr>
            <w:tcW w:w="60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Investment Company Act of 1940 (15 U.S.C. 80a-3);</w:t>
            </w:r>
          </w:p>
        </w:tc>
      </w:tr>
      <w:tr>
        <w:trPr>
          <w:trHeight w:val="608"/>
        </w:trPr>
        <w:tc>
          <w:tcPr>
            <w:tcW w:w="840" w:type="dxa"/>
            <w:vAlign w:val="bottom"/>
          </w:tcPr>
          <w:p>
            <w:pPr>
              <w:spacing w:after="0"/>
              <w:rPr>
                <w:sz w:val="20"/>
                <w:szCs w:val="20"/>
                <w:color w:val="auto"/>
              </w:rPr>
            </w:pPr>
            <w:r>
              <w:rPr>
                <w:rFonts w:ascii="Courier New" w:cs="Courier New" w:eastAsia="Courier New" w:hAnsi="Courier New"/>
                <w:sz w:val="18"/>
                <w:szCs w:val="18"/>
                <w:color w:val="auto"/>
              </w:rPr>
              <w:t>(j).[_]</w:t>
            </w:r>
          </w:p>
        </w:tc>
        <w:tc>
          <w:tcPr>
            <w:tcW w:w="2700" w:type="dxa"/>
            <w:vAlign w:val="bottom"/>
          </w:tcPr>
          <w:p>
            <w:pPr>
              <w:ind w:left="100"/>
              <w:spacing w:after="0"/>
              <w:rPr>
                <w:sz w:val="20"/>
                <w:szCs w:val="20"/>
                <w:color w:val="auto"/>
              </w:rPr>
            </w:pPr>
            <w:r>
              <w:rPr>
                <w:rFonts w:ascii="Courier New" w:cs="Courier New" w:eastAsia="Courier New" w:hAnsi="Courier New"/>
                <w:sz w:val="18"/>
                <w:szCs w:val="18"/>
                <w:color w:val="auto"/>
                <w:w w:val="99"/>
              </w:rPr>
              <w:t>A non-U.S.institution in</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w w:val="99"/>
              </w:rPr>
              <w:t>accordance</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with</w:t>
            </w:r>
          </w:p>
        </w:tc>
      </w:tr>
      <w:tr>
        <w:trPr>
          <w:trHeight w:val="203"/>
        </w:trPr>
        <w:tc>
          <w:tcPr>
            <w:tcW w:w="840" w:type="dxa"/>
            <w:vAlign w:val="bottom"/>
          </w:tcPr>
          <w:p>
            <w:pPr>
              <w:spacing w:after="0"/>
              <w:rPr>
                <w:sz w:val="17"/>
                <w:szCs w:val="17"/>
                <w:color w:val="auto"/>
              </w:rPr>
            </w:pPr>
          </w:p>
        </w:tc>
        <w:tc>
          <w:tcPr>
            <w:tcW w:w="38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Rule 13d-1(b)(1)(ii)(J);</w:t>
            </w:r>
          </w:p>
        </w:tc>
        <w:tc>
          <w:tcPr>
            <w:tcW w:w="2160" w:type="dxa"/>
            <w:vAlign w:val="bottom"/>
          </w:tcPr>
          <w:p>
            <w:pPr>
              <w:spacing w:after="0"/>
              <w:rPr>
                <w:sz w:val="17"/>
                <w:szCs w:val="17"/>
                <w:color w:val="auto"/>
              </w:rPr>
            </w:pPr>
          </w:p>
        </w:tc>
      </w:tr>
      <w:tr>
        <w:trPr>
          <w:trHeight w:val="405"/>
        </w:trPr>
        <w:tc>
          <w:tcPr>
            <w:tcW w:w="840" w:type="dxa"/>
            <w:vAlign w:val="bottom"/>
          </w:tcPr>
          <w:p>
            <w:pPr>
              <w:spacing w:after="0"/>
              <w:rPr>
                <w:sz w:val="20"/>
                <w:szCs w:val="20"/>
                <w:color w:val="auto"/>
              </w:rPr>
            </w:pPr>
            <w:r>
              <w:rPr>
                <w:rFonts w:ascii="Courier New" w:cs="Courier New" w:eastAsia="Courier New" w:hAnsi="Courier New"/>
                <w:sz w:val="18"/>
                <w:szCs w:val="18"/>
                <w:color w:val="auto"/>
              </w:rPr>
              <w:t>(k).[_]</w:t>
            </w:r>
          </w:p>
        </w:tc>
        <w:tc>
          <w:tcPr>
            <w:tcW w:w="600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Group, in accordance with Rule 13d-1(b)(1)(ii)(J).</w:t>
            </w:r>
          </w:p>
        </w:tc>
      </w:tr>
    </w:tbl>
    <w:p>
      <w:pPr>
        <w:spacing w:after="0" w:line="20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If filing as a non-US institution in accordance with Rule 13d-1(b)</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(1)(ii)(J), please specify the type of institution:</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11</w:t>
      </w:r>
    </w:p>
    <w:p>
      <w:pPr>
        <w:sectPr>
          <w:pgSz w:w="11900" w:h="16838" w:orient="portrait"/>
          <w:cols w:equalWidth="0" w:num="1">
            <w:col w:w="10219"/>
          </w:cols>
          <w:pgMar w:left="240" w:top="717" w:right="1440" w:bottom="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1280" w:space="720"/>
            <w:col w:w="8219"/>
          </w:cols>
          <w:pgMar w:left="240" w:top="520" w:right="1440" w:bottom="0" w:gutter="0" w:footer="0" w:header="0"/>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the response(s) to Item 9 on the attached cover page(s).</w:t>
      </w:r>
    </w:p>
    <w:p>
      <w:pPr>
        <w:spacing w:after="0" w:line="200" w:lineRule="exact"/>
        <w:rPr>
          <w:sz w:val="20"/>
          <w:szCs w:val="20"/>
          <w:color w:val="auto"/>
        </w:rPr>
      </w:pPr>
    </w:p>
    <w:p>
      <w:pPr>
        <w:sectPr>
          <w:pgSz w:w="11900" w:h="16838" w:orient="portrait"/>
          <w:cols w:equalWidth="0" w:num="2">
            <w:col w:w="1480" w:space="520"/>
            <w:col w:w="8219"/>
          </w:cols>
          <w:pgMar w:left="240" w:top="520" w:right="1440" w:bottom="0" w:gutter="0" w:footer="0" w:header="0"/>
          <w:type w:val="continuous"/>
        </w:sectPr>
      </w:pPr>
    </w:p>
    <w:p>
      <w:pPr>
        <w:spacing w:after="0" w:line="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Percent of Class: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the response(s)to Item 11 on the attached cover page(s).</w:t>
      </w:r>
    </w:p>
    <w:p>
      <w:pPr>
        <w:spacing w:after="0" w:line="200" w:lineRule="exact"/>
        <w:rPr>
          <w:sz w:val="20"/>
          <w:szCs w:val="20"/>
          <w:color w:val="auto"/>
        </w:rPr>
      </w:pPr>
    </w:p>
    <w:p>
      <w:pPr>
        <w:sectPr>
          <w:pgSz w:w="11900" w:h="16838" w:orient="portrait"/>
          <w:cols w:equalWidth="0" w:num="2">
            <w:col w:w="1480" w:space="520"/>
            <w:col w:w="8219"/>
          </w:cols>
          <w:pgMar w:left="240" w:top="520" w:right="1440" w:bottom="0" w:gutter="0" w:footer="0" w:header="0"/>
          <w:type w:val="continuous"/>
        </w:sectPr>
      </w:pPr>
    </w:p>
    <w:p>
      <w:pPr>
        <w:spacing w:after="0" w:line="18" w:lineRule="exact"/>
        <w:rPr>
          <w:sz w:val="20"/>
          <w:szCs w:val="20"/>
          <w:color w:val="auto"/>
        </w:rPr>
      </w:pPr>
    </w:p>
    <w:p>
      <w:pPr>
        <w:ind w:left="1060"/>
        <w:spacing w:after="0"/>
        <w:tabs>
          <w:tab w:leader="none" w:pos="1980" w:val="left"/>
        </w:tabs>
        <w:rPr>
          <w:sz w:val="20"/>
          <w:szCs w:val="20"/>
          <w:color w:val="auto"/>
        </w:rPr>
      </w:pPr>
      <w:r>
        <w:rPr>
          <w:rFonts w:ascii="Courier New" w:cs="Courier New" w:eastAsia="Courier New" w:hAnsi="Courier New"/>
          <w:sz w:val="18"/>
          <w:szCs w:val="18"/>
          <w:color w:val="auto"/>
        </w:rPr>
        <w:t>(c).</w:t>
      </w:r>
      <w:r>
        <w:rPr>
          <w:sz w:val="20"/>
          <w:szCs w:val="20"/>
          <w:color w:val="auto"/>
        </w:rPr>
        <w:tab/>
      </w:r>
      <w:r>
        <w:rPr>
          <w:rFonts w:ascii="Courier New" w:cs="Courier New" w:eastAsia="Courier New" w:hAnsi="Courier New"/>
          <w:sz w:val="16"/>
          <w:szCs w:val="16"/>
          <w:color w:val="auto"/>
        </w:rPr>
        <w:t>Number of shares as to which such person has:</w:t>
      </w:r>
    </w:p>
    <w:p>
      <w:pPr>
        <w:spacing w:after="0" w:line="207" w:lineRule="exact"/>
        <w:rPr>
          <w:sz w:val="20"/>
          <w:szCs w:val="20"/>
          <w:color w:val="auto"/>
        </w:rPr>
      </w:pPr>
    </w:p>
    <w:p>
      <w:pPr>
        <w:jc w:val="both"/>
        <w:ind w:left="2860" w:right="1879" w:hanging="842"/>
        <w:spacing w:after="0" w:line="290" w:lineRule="auto"/>
        <w:tabs>
          <w:tab w:leader="none" w:pos="284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 See the response(s) to Item 5 on the attached cover page(s).</w:t>
      </w:r>
    </w:p>
    <w:p>
      <w:pPr>
        <w:spacing w:after="0" w:line="170" w:lineRule="exact"/>
        <w:rPr>
          <w:sz w:val="20"/>
          <w:szCs w:val="20"/>
          <w:color w:val="auto"/>
        </w:rPr>
      </w:pPr>
    </w:p>
    <w:p>
      <w:pPr>
        <w:jc w:val="both"/>
        <w:ind w:left="2860" w:right="1879" w:hanging="842"/>
        <w:spacing w:after="0" w:line="290" w:lineRule="auto"/>
        <w:tabs>
          <w:tab w:leader="none" w:pos="284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or to direct the vote: See the response(s) to Item 6 on the attached cover page(s).</w:t>
      </w:r>
    </w:p>
    <w:p>
      <w:pPr>
        <w:spacing w:after="0" w:line="170" w:lineRule="exact"/>
        <w:rPr>
          <w:sz w:val="20"/>
          <w:szCs w:val="20"/>
          <w:color w:val="auto"/>
        </w:rPr>
      </w:pPr>
    </w:p>
    <w:p>
      <w:pPr>
        <w:jc w:val="both"/>
        <w:ind w:left="2860" w:right="1879" w:hanging="842"/>
        <w:spacing w:after="0" w:line="236" w:lineRule="auto"/>
        <w:tabs>
          <w:tab w:leader="none" w:pos="2840" w:val="left"/>
        </w:tabs>
        <w:rPr>
          <w:sz w:val="20"/>
          <w:szCs w:val="20"/>
          <w:color w:val="auto"/>
        </w:rPr>
      </w:pPr>
      <w:r>
        <w:rPr>
          <w:rFonts w:ascii="Courier New" w:cs="Courier New" w:eastAsia="Courier New" w:hAnsi="Courier New"/>
          <w:sz w:val="18"/>
          <w:szCs w:val="18"/>
          <w:color w:val="auto"/>
        </w:rPr>
        <w:t>(iii).</w:t>
        <w:tab/>
        <w:t>Sole power to dispose or to direct the disposition of: See the response(s) to Item 7 on the attached cover page(s).</w:t>
      </w:r>
    </w:p>
    <w:p>
      <w:pPr>
        <w:spacing w:after="0" w:line="209" w:lineRule="exact"/>
        <w:rPr>
          <w:sz w:val="20"/>
          <w:szCs w:val="20"/>
          <w:color w:val="auto"/>
        </w:rPr>
      </w:pPr>
    </w:p>
    <w:p>
      <w:pPr>
        <w:jc w:val="both"/>
        <w:ind w:left="2860" w:right="1879" w:hanging="842"/>
        <w:spacing w:after="0" w:line="236" w:lineRule="auto"/>
        <w:tabs>
          <w:tab w:leader="none" w:pos="28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Shared power to dispose or to direct the disposition of: See the response(s) to Item 8 on the attached cover page(s).</w:t>
      </w:r>
    </w:p>
    <w:p>
      <w:pPr>
        <w:spacing w:after="0" w:line="203"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30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2" w:lineRule="exact"/>
        <w:rPr>
          <w:sz w:val="20"/>
          <w:szCs w:val="20"/>
          <w:color w:val="auto"/>
        </w:rPr>
      </w:pPr>
    </w:p>
    <w:p>
      <w:pPr>
        <w:spacing w:after="0"/>
        <w:tabs>
          <w:tab w:leader="none" w:pos="19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w:t>
      </w:r>
    </w:p>
    <w:tbl>
      <w:tblPr>
        <w:tblLayout w:type="fixed"/>
        <w:tblInd w:w="0" w:type="dxa"/>
        <w:tblCellMar>
          <w:top w:w="0" w:type="dxa"/>
          <w:left w:w="0" w:type="dxa"/>
          <w:bottom w:w="0" w:type="dxa"/>
          <w:right w:w="0" w:type="dxa"/>
        </w:tblCellMar>
      </w:tblPr>
      <w:tr>
        <w:trPr>
          <w:trHeight w:val="203"/>
        </w:trPr>
        <w:tc>
          <w:tcPr>
            <w:tcW w:w="1440" w:type="dxa"/>
            <w:vAlign w:val="bottom"/>
          </w:tcPr>
          <w:p>
            <w:pPr>
              <w:spacing w:after="0"/>
              <w:rPr>
                <w:sz w:val="17"/>
                <w:szCs w:val="17"/>
                <w:color w:val="auto"/>
              </w:rPr>
            </w:pPr>
          </w:p>
        </w:tc>
        <w:tc>
          <w:tcPr>
            <w:tcW w:w="130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w w:val="95"/>
              </w:rPr>
              <w:t>Person.</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1440" w:type="dxa"/>
            <w:vAlign w:val="bottom"/>
          </w:tcPr>
          <w:p>
            <w:pPr>
              <w:spacing w:after="0"/>
              <w:rPr>
                <w:sz w:val="24"/>
                <w:szCs w:val="24"/>
                <w:color w:val="auto"/>
              </w:rPr>
            </w:pPr>
          </w:p>
        </w:tc>
        <w:tc>
          <w:tcPr>
            <w:tcW w:w="1300" w:type="dxa"/>
            <w:vAlign w:val="bottom"/>
          </w:tcPr>
          <w:p>
            <w:pPr>
              <w:ind w:left="560"/>
              <w:spacing w:after="0"/>
              <w:rPr>
                <w:sz w:val="20"/>
                <w:szCs w:val="20"/>
                <w:color w:val="auto"/>
              </w:rPr>
            </w:pPr>
            <w:r>
              <w:rPr>
                <w:rFonts w:ascii="Courier New" w:cs="Courier New" w:eastAsia="Courier New" w:hAnsi="Courier New"/>
                <w:sz w:val="18"/>
                <w:szCs w:val="18"/>
                <w:color w:val="auto"/>
                <w:w w:val="95"/>
              </w:rPr>
              <w:t>Clients</w:t>
            </w:r>
          </w:p>
        </w:tc>
        <w:tc>
          <w:tcPr>
            <w:tcW w:w="420" w:type="dxa"/>
            <w:vAlign w:val="bottom"/>
          </w:tcPr>
          <w:p>
            <w:pPr>
              <w:ind w:left="220"/>
              <w:spacing w:after="0"/>
              <w:rPr>
                <w:sz w:val="20"/>
                <w:szCs w:val="20"/>
                <w:color w:val="auto"/>
              </w:rPr>
            </w:pPr>
            <w:r>
              <w:rPr>
                <w:rFonts w:ascii="Courier New" w:cs="Courier New" w:eastAsia="Courier New" w:hAnsi="Courier New"/>
                <w:sz w:val="18"/>
                <w:szCs w:val="18"/>
                <w:color w:val="auto"/>
                <w:w w:val="83"/>
              </w:rPr>
              <w:t>of</w:t>
            </w:r>
          </w:p>
        </w:tc>
        <w:tc>
          <w:tcPr>
            <w:tcW w:w="540" w:type="dxa"/>
            <w:vAlign w:val="bottom"/>
          </w:tcPr>
          <w:p>
            <w:pPr>
              <w:ind w:left="220"/>
              <w:spacing w:after="0"/>
              <w:rPr>
                <w:sz w:val="20"/>
                <w:szCs w:val="20"/>
                <w:color w:val="auto"/>
              </w:rPr>
            </w:pPr>
            <w:r>
              <w:rPr>
                <w:rFonts w:ascii="Courier New" w:cs="Courier New" w:eastAsia="Courier New" w:hAnsi="Courier New"/>
                <w:sz w:val="18"/>
                <w:szCs w:val="18"/>
                <w:color w:val="auto"/>
                <w:w w:val="92"/>
              </w:rPr>
              <w:t>the</w:t>
            </w:r>
          </w:p>
        </w:tc>
        <w:tc>
          <w:tcPr>
            <w:tcW w:w="116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6"/>
              </w:rPr>
              <w:t>Reporting</w:t>
            </w:r>
          </w:p>
        </w:tc>
        <w:tc>
          <w:tcPr>
            <w:tcW w:w="220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Person(s) have or</w:t>
            </w:r>
          </w:p>
        </w:tc>
        <w:tc>
          <w:tcPr>
            <w:tcW w:w="1280" w:type="dxa"/>
            <w:vAlign w:val="bottom"/>
          </w:tcPr>
          <w:p>
            <w:pPr>
              <w:jc w:val="right"/>
              <w:spacing w:after="0"/>
              <w:rPr>
                <w:sz w:val="20"/>
                <w:szCs w:val="20"/>
                <w:color w:val="auto"/>
              </w:rPr>
            </w:pPr>
            <w:r>
              <w:rPr>
                <w:rFonts w:ascii="Courier New" w:cs="Courier New" w:eastAsia="Courier New" w:hAnsi="Courier New"/>
                <w:sz w:val="18"/>
                <w:szCs w:val="18"/>
                <w:color w:val="auto"/>
                <w:w w:val="97"/>
              </w:rPr>
              <w:t>may have the</w:t>
            </w:r>
          </w:p>
        </w:tc>
      </w:tr>
      <w:tr>
        <w:trPr>
          <w:trHeight w:val="203"/>
        </w:trPr>
        <w:tc>
          <w:tcPr>
            <w:tcW w:w="1440" w:type="dxa"/>
            <w:vAlign w:val="bottom"/>
          </w:tcPr>
          <w:p>
            <w:pPr>
              <w:spacing w:after="0"/>
              <w:rPr>
                <w:sz w:val="17"/>
                <w:szCs w:val="17"/>
                <w:color w:val="auto"/>
              </w:rPr>
            </w:pPr>
          </w:p>
        </w:tc>
        <w:tc>
          <w:tcPr>
            <w:tcW w:w="130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right</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receive or</w:t>
            </w: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the power</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w:t>
            </w: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direct the</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receipt of</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w w:val="97"/>
              </w:rPr>
              <w:t>dividends from, or the proceeds from the sale of, securities</w:t>
            </w:r>
          </w:p>
        </w:tc>
      </w:tr>
      <w:tr>
        <w:trPr>
          <w:trHeight w:val="203"/>
        </w:trPr>
        <w:tc>
          <w:tcPr>
            <w:tcW w:w="1440" w:type="dxa"/>
            <w:vAlign w:val="bottom"/>
          </w:tcPr>
          <w:p>
            <w:pPr>
              <w:spacing w:after="0"/>
              <w:rPr>
                <w:sz w:val="17"/>
                <w:szCs w:val="17"/>
                <w:color w:val="auto"/>
              </w:rPr>
            </w:pPr>
          </w:p>
        </w:tc>
        <w:tc>
          <w:tcPr>
            <w:tcW w:w="4000" w:type="dxa"/>
            <w:vAlign w:val="bottom"/>
            <w:gridSpan w:val="6"/>
          </w:tcPr>
          <w:p>
            <w:pPr>
              <w:ind w:left="560"/>
              <w:spacing w:after="0" w:line="203" w:lineRule="exact"/>
              <w:rPr>
                <w:sz w:val="20"/>
                <w:szCs w:val="20"/>
                <w:color w:val="auto"/>
              </w:rPr>
            </w:pPr>
            <w:r>
              <w:rPr>
                <w:rFonts w:ascii="Courier New" w:cs="Courier New" w:eastAsia="Courier New" w:hAnsi="Courier New"/>
                <w:sz w:val="18"/>
                <w:szCs w:val="18"/>
                <w:color w:val="auto"/>
                <w:w w:val="98"/>
              </w:rPr>
              <w:t>held  in their accounts. Clients</w:t>
            </w:r>
          </w:p>
        </w:tc>
        <w:tc>
          <w:tcPr>
            <w:tcW w:w="2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known to have such right or</w:t>
            </w:r>
          </w:p>
        </w:tc>
      </w:tr>
      <w:tr>
        <w:trPr>
          <w:trHeight w:val="203"/>
        </w:trPr>
        <w:tc>
          <w:tcPr>
            <w:tcW w:w="1440" w:type="dxa"/>
            <w:vAlign w:val="bottom"/>
          </w:tcPr>
          <w:p>
            <w:pPr>
              <w:spacing w:after="0"/>
              <w:rPr>
                <w:sz w:val="17"/>
                <w:szCs w:val="17"/>
                <w:color w:val="auto"/>
              </w:rPr>
            </w:pPr>
          </w:p>
        </w:tc>
        <w:tc>
          <w:tcPr>
            <w:tcW w:w="130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power</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with</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respect</w:t>
            </w:r>
          </w:p>
        </w:tc>
        <w:tc>
          <w:tcPr>
            <w:tcW w:w="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w:t>
            </w: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more</w:t>
            </w:r>
          </w:p>
        </w:tc>
        <w:tc>
          <w:tcPr>
            <w:tcW w:w="2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than 5%  of  the  class  of</w:t>
            </w:r>
          </w:p>
        </w:tc>
      </w:tr>
      <w:tr>
        <w:trPr>
          <w:trHeight w:val="203"/>
        </w:trPr>
        <w:tc>
          <w:tcPr>
            <w:tcW w:w="1440" w:type="dxa"/>
            <w:vAlign w:val="bottom"/>
          </w:tcPr>
          <w:p>
            <w:pPr>
              <w:spacing w:after="0"/>
              <w:rPr>
                <w:sz w:val="17"/>
                <w:szCs w:val="17"/>
                <w:color w:val="auto"/>
              </w:rPr>
            </w:pPr>
          </w:p>
        </w:tc>
        <w:tc>
          <w:tcPr>
            <w:tcW w:w="5620" w:type="dxa"/>
            <w:vAlign w:val="bottom"/>
            <w:gridSpan w:val="8"/>
          </w:tcPr>
          <w:p>
            <w:pPr>
              <w:ind w:left="560"/>
              <w:spacing w:after="0" w:line="203" w:lineRule="exact"/>
              <w:rPr>
                <w:sz w:val="20"/>
                <w:szCs w:val="20"/>
                <w:color w:val="auto"/>
              </w:rPr>
            </w:pPr>
            <w:r>
              <w:rPr>
                <w:rFonts w:ascii="Courier New" w:cs="Courier New" w:eastAsia="Courier New" w:hAnsi="Courier New"/>
                <w:sz w:val="18"/>
                <w:szCs w:val="18"/>
                <w:color w:val="auto"/>
              </w:rPr>
              <w:t>securities to which this report relates are:</w:t>
            </w:r>
          </w:p>
        </w:tc>
        <w:tc>
          <w:tcPr>
            <w:tcW w:w="12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30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NONE</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7.</w:t>
            </w:r>
          </w:p>
        </w:tc>
        <w:tc>
          <w:tcPr>
            <w:tcW w:w="2260" w:type="dxa"/>
            <w:vAlign w:val="bottom"/>
            <w:gridSpan w:val="3"/>
          </w:tcPr>
          <w:p>
            <w:pPr>
              <w:ind w:left="560"/>
              <w:spacing w:after="0"/>
              <w:rPr>
                <w:sz w:val="20"/>
                <w:szCs w:val="20"/>
                <w:color w:val="auto"/>
              </w:rPr>
            </w:pPr>
            <w:r>
              <w:rPr>
                <w:rFonts w:ascii="Courier New" w:cs="Courier New" w:eastAsia="Courier New" w:hAnsi="Courier New"/>
                <w:sz w:val="18"/>
                <w:szCs w:val="18"/>
                <w:color w:val="auto"/>
              </w:rPr>
              <w:t>Identification</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2"/>
              </w:rPr>
              <w:t>and</w:t>
            </w:r>
          </w:p>
        </w:tc>
        <w:tc>
          <w:tcPr>
            <w:tcW w:w="1640" w:type="dxa"/>
            <w:vAlign w:val="bottom"/>
            <w:gridSpan w:val="3"/>
          </w:tcPr>
          <w:p>
            <w:pPr>
              <w:spacing w:after="0"/>
              <w:rPr>
                <w:sz w:val="20"/>
                <w:szCs w:val="20"/>
                <w:color w:val="auto"/>
              </w:rPr>
            </w:pPr>
            <w:r>
              <w:rPr>
                <w:rFonts w:ascii="Courier New" w:cs="Courier New" w:eastAsia="Courier New" w:hAnsi="Courier New"/>
                <w:sz w:val="18"/>
                <w:szCs w:val="18"/>
                <w:color w:val="auto"/>
              </w:rPr>
              <w:t>Classification</w:t>
            </w:r>
          </w:p>
        </w:tc>
        <w:tc>
          <w:tcPr>
            <w:tcW w:w="24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of the Subsidiary Which</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w w:val="97"/>
              </w:rPr>
              <w:t>Acquired  the  Security  Being  Reported  on  by the  Parent</w:t>
            </w:r>
          </w:p>
        </w:tc>
      </w:tr>
      <w:tr>
        <w:trPr>
          <w:trHeight w:val="203"/>
        </w:trPr>
        <w:tc>
          <w:tcPr>
            <w:tcW w:w="1440" w:type="dxa"/>
            <w:vAlign w:val="bottom"/>
          </w:tcPr>
          <w:p>
            <w:pPr>
              <w:spacing w:after="0"/>
              <w:rPr>
                <w:sz w:val="17"/>
                <w:szCs w:val="17"/>
                <w:color w:val="auto"/>
              </w:rPr>
            </w:pPr>
          </w:p>
        </w:tc>
        <w:tc>
          <w:tcPr>
            <w:tcW w:w="2260" w:type="dxa"/>
            <w:vAlign w:val="bottom"/>
            <w:gridSpan w:val="3"/>
          </w:tcPr>
          <w:p>
            <w:pPr>
              <w:ind w:left="560"/>
              <w:spacing w:after="0" w:line="203" w:lineRule="exact"/>
              <w:rPr>
                <w:sz w:val="20"/>
                <w:szCs w:val="20"/>
                <w:color w:val="auto"/>
              </w:rPr>
            </w:pPr>
            <w:r>
              <w:rPr>
                <w:rFonts w:ascii="Courier New" w:cs="Courier New" w:eastAsia="Courier New" w:hAnsi="Courier New"/>
                <w:sz w:val="18"/>
                <w:szCs w:val="18"/>
                <w:color w:val="auto"/>
                <w:w w:val="97"/>
              </w:rPr>
              <w:t>Holding Company.</w:t>
            </w: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700" w:type="dxa"/>
            <w:vAlign w:val="bottom"/>
            <w:gridSpan w:val="5"/>
          </w:tcPr>
          <w:p>
            <w:pPr>
              <w:ind w:left="320"/>
              <w:spacing w:after="0" w:line="203" w:lineRule="exact"/>
              <w:rPr>
                <w:sz w:val="20"/>
                <w:szCs w:val="20"/>
                <w:color w:val="auto"/>
              </w:rPr>
            </w:pPr>
            <w:r>
              <w:rPr>
                <w:rFonts w:ascii="Courier New" w:cs="Courier New" w:eastAsia="Courier New" w:hAnsi="Courier New"/>
                <w:sz w:val="18"/>
                <w:szCs w:val="18"/>
                <w:color w:val="auto"/>
              </w:rPr>
              <w:t>See Exhibit (99.2)</w:t>
            </w: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8.</w:t>
            </w:r>
          </w:p>
        </w:tc>
        <w:tc>
          <w:tcPr>
            <w:tcW w:w="6900" w:type="dxa"/>
            <w:vAlign w:val="bottom"/>
            <w:gridSpan w:val="9"/>
          </w:tcPr>
          <w:p>
            <w:pPr>
              <w:ind w:left="5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r>
      <w:tr>
        <w:trPr>
          <w:trHeight w:val="203"/>
        </w:trPr>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12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rPr>
              <w:t>Not Applicable</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9.</w:t>
            </w:r>
          </w:p>
        </w:tc>
        <w:tc>
          <w:tcPr>
            <w:tcW w:w="4000" w:type="dxa"/>
            <w:vAlign w:val="bottom"/>
            <w:gridSpan w:val="6"/>
          </w:tcPr>
          <w:p>
            <w:pPr>
              <w:ind w:left="560"/>
              <w:spacing w:after="0"/>
              <w:rPr>
                <w:sz w:val="20"/>
                <w:szCs w:val="20"/>
                <w:color w:val="auto"/>
              </w:rPr>
            </w:pPr>
            <w:r>
              <w:rPr>
                <w:rFonts w:ascii="Courier New" w:cs="Courier New" w:eastAsia="Courier New" w:hAnsi="Courier New"/>
                <w:sz w:val="18"/>
                <w:szCs w:val="18"/>
                <w:color w:val="auto"/>
              </w:rPr>
              <w:t>Notice of Dissolution of Group.</w:t>
            </w: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120" w:type="dxa"/>
            <w:vAlign w:val="bottom"/>
            <w:gridSpan w:val="4"/>
          </w:tcPr>
          <w:p>
            <w:pPr>
              <w:ind w:left="320"/>
              <w:spacing w:after="0" w:line="203" w:lineRule="exact"/>
              <w:rPr>
                <w:sz w:val="20"/>
                <w:szCs w:val="20"/>
                <w:color w:val="auto"/>
              </w:rPr>
            </w:pPr>
            <w:r>
              <w:rPr>
                <w:rFonts w:ascii="Courier New" w:cs="Courier New" w:eastAsia="Courier New" w:hAnsi="Courier New"/>
                <w:sz w:val="18"/>
                <w:szCs w:val="18"/>
                <w:color w:val="auto"/>
              </w:rPr>
              <w:t>Not Applicable</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10.</w:t>
            </w:r>
          </w:p>
        </w:tc>
        <w:tc>
          <w:tcPr>
            <w:tcW w:w="2260" w:type="dxa"/>
            <w:vAlign w:val="bottom"/>
            <w:gridSpan w:val="3"/>
          </w:tcPr>
          <w:p>
            <w:pPr>
              <w:ind w:left="560"/>
              <w:spacing w:after="0"/>
              <w:rPr>
                <w:sz w:val="20"/>
                <w:szCs w:val="20"/>
                <w:color w:val="auto"/>
              </w:rPr>
            </w:pPr>
            <w:r>
              <w:rPr>
                <w:rFonts w:ascii="Courier New" w:cs="Courier New" w:eastAsia="Courier New" w:hAnsi="Courier New"/>
                <w:sz w:val="18"/>
                <w:szCs w:val="18"/>
                <w:color w:val="auto"/>
              </w:rPr>
              <w:t>Certification.</w:t>
            </w: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w w:val="97"/>
              </w:rPr>
              <w:t>By signing below I certify that, to the best of my knowledge</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rPr>
              <w:t>and belief, the securities referred to above were acquired</w:t>
            </w:r>
          </w:p>
        </w:tc>
      </w:tr>
      <w:tr>
        <w:trPr>
          <w:trHeight w:val="203"/>
        </w:trPr>
        <w:tc>
          <w:tcPr>
            <w:tcW w:w="1440" w:type="dxa"/>
            <w:vAlign w:val="bottom"/>
          </w:tcPr>
          <w:p>
            <w:pPr>
              <w:spacing w:after="0"/>
              <w:rPr>
                <w:sz w:val="17"/>
                <w:szCs w:val="17"/>
                <w:color w:val="auto"/>
              </w:rPr>
            </w:pPr>
          </w:p>
        </w:tc>
        <w:tc>
          <w:tcPr>
            <w:tcW w:w="6900" w:type="dxa"/>
            <w:vAlign w:val="bottom"/>
            <w:gridSpan w:val="9"/>
          </w:tcPr>
          <w:p>
            <w:pPr>
              <w:ind w:left="560"/>
              <w:spacing w:after="0" w:line="203" w:lineRule="exact"/>
              <w:rPr>
                <w:sz w:val="20"/>
                <w:szCs w:val="20"/>
                <w:color w:val="auto"/>
              </w:rPr>
            </w:pPr>
            <w:r>
              <w:rPr>
                <w:rFonts w:ascii="Courier New" w:cs="Courier New" w:eastAsia="Courier New" w:hAnsi="Courier New"/>
                <w:sz w:val="18"/>
                <w:szCs w:val="18"/>
                <w:color w:val="auto"/>
                <w:w w:val="97"/>
              </w:rPr>
              <w:t>and are held in the ordinary course of business and were not</w:t>
            </w:r>
          </w:p>
        </w:tc>
      </w:tr>
    </w:tbl>
    <w:p>
      <w:pPr>
        <w:spacing w:after="0" w:line="4" w:lineRule="exact"/>
        <w:rPr>
          <w:sz w:val="20"/>
          <w:szCs w:val="20"/>
          <w:color w:val="auto"/>
        </w:rPr>
      </w:pPr>
    </w:p>
    <w:p>
      <w:pPr>
        <w:ind w:left="2000" w:right="1999"/>
        <w:spacing w:after="0" w:line="237" w:lineRule="auto"/>
        <w:rPr>
          <w:sz w:val="20"/>
          <w:szCs w:val="20"/>
          <w:color w:val="auto"/>
        </w:rPr>
      </w:pPr>
      <w:r>
        <w:rPr>
          <w:rFonts w:ascii="Courier New" w:cs="Courier New" w:eastAsia="Courier New" w:hAnsi="Courier New"/>
          <w:sz w:val="18"/>
          <w:szCs w:val="18"/>
          <w:color w:val="auto"/>
        </w:rPr>
        <w:t>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211"/>
        <w:spacing w:after="0" w:line="238" w:lineRule="auto"/>
        <w:rPr>
          <w:sz w:val="20"/>
          <w:szCs w:val="20"/>
          <w:color w:val="auto"/>
        </w:rPr>
      </w:pPr>
      <w:r>
        <w:rPr>
          <w:rFonts w:ascii="Courier New" w:cs="Courier New" w:eastAsia="Courier New" w:hAnsi="Courier New"/>
          <w:sz w:val="18"/>
          <w:szCs w:val="18"/>
          <w:color w:val="auto"/>
        </w:rPr>
        <w:t>*In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w:t>
      </w:r>
    </w:p>
    <w:p>
      <w:pPr>
        <w:spacing w:after="0" w:line="4" w:lineRule="exact"/>
        <w:rPr>
          <w:sz w:val="20"/>
          <w:szCs w:val="20"/>
          <w:color w:val="auto"/>
        </w:rPr>
      </w:pPr>
    </w:p>
    <w:p>
      <w:pPr>
        <w:ind w:right="2099" w:firstLine="8"/>
        <w:spacing w:after="0" w:line="237" w:lineRule="auto"/>
        <w:tabs>
          <w:tab w:leader="none" w:pos="527"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investment entities of which the Goldman Sachs Reporting Units act as the general partner, managing general partner or other manager, to the extent interests in such entities are held by persons other than the Goldman Sachs Reporting Units.</w:t>
      </w:r>
    </w:p>
    <w:p>
      <w:pPr>
        <w:sectPr>
          <w:pgSz w:w="11900" w:h="16838" w:orient="portrait"/>
          <w:cols w:equalWidth="0" w:num="1">
            <w:col w:w="10219"/>
          </w:cols>
          <w:pgMar w:left="240" w:top="520" w:right="1440" w:bottom="0" w:gutter="0" w:footer="0" w:header="0"/>
          <w:type w:val="continuous"/>
        </w:sectPr>
      </w:pPr>
    </w:p>
    <w:bookmarkStart w:id="5" w:name="page6"/>
    <w:bookmarkEnd w:id="5"/>
    <w:p>
      <w:pPr>
        <w:ind w:left="2080"/>
        <w:spacing w:after="0"/>
        <w:rPr>
          <w:sz w:val="20"/>
          <w:szCs w:val="20"/>
          <w:color w:val="auto"/>
        </w:rPr>
      </w:pPr>
      <w:r>
        <w:rPr>
          <w:rFonts w:ascii="Courier New" w:cs="Courier New" w:eastAsia="Courier New" w:hAnsi="Courier New"/>
          <w:sz w:val="16"/>
          <w:szCs w:val="16"/>
          <w:color w:val="auto"/>
        </w:rPr>
        <w:t>Page 5 of 11</w:t>
      </w:r>
    </w:p>
    <w:p>
      <w:pPr>
        <w:sectPr>
          <w:pgSz w:w="11900" w:h="16838" w:orient="portrait"/>
          <w:cols w:equalWidth="0" w:num="1">
            <w:col w:w="9019"/>
          </w:cols>
          <w:pgMar w:left="1440" w:top="952" w:right="1440" w:bottom="1440" w:gutter="0" w:footer="0" w:header="0"/>
        </w:sectPr>
      </w:pPr>
    </w:p>
    <w:bookmarkStart w:id="6" w:name="page7"/>
    <w:bookmarkEnd w:id="6"/>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jc w:val="both"/>
        <w:ind w:left="1280" w:right="3039"/>
        <w:spacing w:after="0" w:line="279"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7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$dateOfSigning(Will be populated when Signatory views document)</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GOLDMAN SACHS GROUP, INC.</w:t>
      </w:r>
    </w:p>
    <w:p>
      <w:pPr>
        <w:spacing w:after="0" w:line="201" w:lineRule="exact"/>
        <w:rPr>
          <w:sz w:val="20"/>
          <w:szCs w:val="20"/>
          <w:color w:val="auto"/>
        </w:rPr>
      </w:pPr>
    </w:p>
    <w:p>
      <w:pPr>
        <w:ind w:left="1380"/>
        <w:spacing w:after="0"/>
        <w:tabs>
          <w:tab w:leader="none" w:pos="2200" w:val="left"/>
          <w:tab w:leader="none" w:pos="2720" w:val="left"/>
        </w:tabs>
        <w:rPr>
          <w:sz w:val="20"/>
          <w:szCs w:val="20"/>
          <w:color w:val="auto"/>
        </w:rPr>
      </w:pPr>
      <w:r>
        <w:rPr>
          <w:rFonts w:ascii="Courier New" w:cs="Courier New" w:eastAsia="Courier New" w:hAnsi="Courier New"/>
          <w:sz w:val="18"/>
          <w:szCs w:val="18"/>
          <w:color w:val="auto"/>
        </w:rPr>
        <w:t>By:/s/</w:t>
        <w:tab/>
        <w:t>Leo</w:t>
      </w:r>
      <w:r>
        <w:rPr>
          <w:sz w:val="20"/>
          <w:szCs w:val="20"/>
          <w:color w:val="auto"/>
        </w:rPr>
        <w:tab/>
      </w:r>
      <w:r>
        <w:rPr>
          <w:rFonts w:ascii="Courier New" w:cs="Courier New" w:eastAsia="Courier New" w:hAnsi="Courier New"/>
          <w:sz w:val="16"/>
          <w:szCs w:val="16"/>
          <w:color w:val="auto"/>
        </w:rPr>
        <w:t>Herskovich</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tabs>
          <w:tab w:leader="none" w:pos="2200" w:val="left"/>
          <w:tab w:leader="none" w:pos="2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Leo</w:t>
      </w:r>
      <w:r>
        <w:rPr>
          <w:sz w:val="20"/>
          <w:szCs w:val="20"/>
          <w:color w:val="auto"/>
        </w:rPr>
        <w:tab/>
      </w:r>
      <w:r>
        <w:rPr>
          <w:rFonts w:ascii="Courier New" w:cs="Courier New" w:eastAsia="Courier New" w:hAnsi="Courier New"/>
          <w:sz w:val="16"/>
          <w:szCs w:val="16"/>
          <w:color w:val="auto"/>
        </w:rPr>
        <w:t>Herskovich</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&amp; CO.</w:t>
      </w:r>
    </w:p>
    <w:p>
      <w:pPr>
        <w:spacing w:after="0" w:line="201" w:lineRule="exact"/>
        <w:rPr>
          <w:sz w:val="20"/>
          <w:szCs w:val="20"/>
          <w:color w:val="auto"/>
        </w:rPr>
      </w:pPr>
    </w:p>
    <w:p>
      <w:pPr>
        <w:ind w:left="1380"/>
        <w:spacing w:after="0"/>
        <w:tabs>
          <w:tab w:leader="none" w:pos="2200" w:val="left"/>
          <w:tab w:leader="none" w:pos="2720" w:val="left"/>
        </w:tabs>
        <w:rPr>
          <w:sz w:val="20"/>
          <w:szCs w:val="20"/>
          <w:color w:val="auto"/>
        </w:rPr>
      </w:pPr>
      <w:r>
        <w:rPr>
          <w:rFonts w:ascii="Courier New" w:cs="Courier New" w:eastAsia="Courier New" w:hAnsi="Courier New"/>
          <w:sz w:val="18"/>
          <w:szCs w:val="18"/>
          <w:color w:val="auto"/>
        </w:rPr>
        <w:t>By:/s/</w:t>
        <w:tab/>
        <w:t>Leo</w:t>
      </w:r>
      <w:r>
        <w:rPr>
          <w:sz w:val="20"/>
          <w:szCs w:val="20"/>
          <w:color w:val="auto"/>
        </w:rPr>
        <w:tab/>
      </w:r>
      <w:r>
        <w:rPr>
          <w:rFonts w:ascii="Courier New" w:cs="Courier New" w:eastAsia="Courier New" w:hAnsi="Courier New"/>
          <w:sz w:val="16"/>
          <w:szCs w:val="16"/>
          <w:color w:val="auto"/>
        </w:rPr>
        <w:t>Herskovich</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tabs>
          <w:tab w:leader="none" w:pos="2200" w:val="left"/>
          <w:tab w:leader="none" w:pos="2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Leo</w:t>
      </w:r>
      <w:r>
        <w:rPr>
          <w:sz w:val="20"/>
          <w:szCs w:val="20"/>
          <w:color w:val="auto"/>
        </w:rPr>
        <w:tab/>
      </w:r>
      <w:r>
        <w:rPr>
          <w:rFonts w:ascii="Courier New" w:cs="Courier New" w:eastAsia="Courier New" w:hAnsi="Courier New"/>
          <w:sz w:val="16"/>
          <w:szCs w:val="16"/>
          <w:color w:val="auto"/>
        </w:rPr>
        <w:t>Herskovich</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6 of 11</w:t>
      </w:r>
    </w:p>
    <w:p>
      <w:pPr>
        <w:sectPr>
          <w:pgSz w:w="11900" w:h="16838" w:orient="portrait"/>
          <w:cols w:equalWidth="0" w:num="1">
            <w:col w:w="10219"/>
          </w:cols>
          <w:pgMar w:left="240" w:top="717"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17"/>
                <w:szCs w:val="17"/>
                <w:color w:val="auto"/>
              </w:rPr>
            </w:pPr>
          </w:p>
        </w:tc>
        <w:tc>
          <w:tcPr>
            <w:tcW w:w="3720" w:type="dxa"/>
            <w:vAlign w:val="bottom"/>
          </w:tcPr>
          <w:p>
            <w:pPr>
              <w:ind w:left="1940"/>
              <w:spacing w:after="0"/>
              <w:rPr>
                <w:sz w:val="20"/>
                <w:szCs w:val="20"/>
                <w:color w:val="auto"/>
              </w:rPr>
            </w:pPr>
            <w:r>
              <w:rPr>
                <w:rFonts w:ascii="Courier New" w:cs="Courier New" w:eastAsia="Courier New" w:hAnsi="Courier New"/>
                <w:sz w:val="18"/>
                <w:szCs w:val="18"/>
                <w:color w:val="auto"/>
                <w:w w:val="95"/>
              </w:rPr>
              <w:t>INDEX TO EXHIBITS</w:t>
            </w:r>
          </w:p>
        </w:tc>
      </w:tr>
      <w:tr>
        <w:trPr>
          <w:trHeight w:val="810"/>
        </w:trPr>
        <w:tc>
          <w:tcPr>
            <w:tcW w:w="144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5"/>
              </w:rPr>
              <w:t>Exhibit No.</w:t>
            </w:r>
          </w:p>
        </w:tc>
        <w:tc>
          <w:tcPr>
            <w:tcW w:w="3720" w:type="dxa"/>
            <w:vAlign w:val="bottom"/>
          </w:tcPr>
          <w:p>
            <w:pPr>
              <w:ind w:left="1100"/>
              <w:spacing w:after="0"/>
              <w:rPr>
                <w:sz w:val="20"/>
                <w:szCs w:val="20"/>
                <w:color w:val="auto"/>
              </w:rPr>
            </w:pPr>
            <w:r>
              <w:rPr>
                <w:rFonts w:ascii="Courier New" w:cs="Courier New" w:eastAsia="Courier New" w:hAnsi="Courier New"/>
                <w:sz w:val="18"/>
                <w:szCs w:val="18"/>
                <w:color w:val="auto"/>
              </w:rPr>
              <w:t>Exhibit</w:t>
            </w:r>
          </w:p>
        </w:tc>
      </w:tr>
      <w:tr>
        <w:trPr>
          <w:trHeight w:val="203"/>
        </w:trPr>
        <w:tc>
          <w:tcPr>
            <w:tcW w:w="14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5"/>
              </w:rPr>
              <w:t>-----------</w:t>
            </w:r>
          </w:p>
        </w:tc>
        <w:tc>
          <w:tcPr>
            <w:tcW w:w="3720" w:type="dxa"/>
            <w:vAlign w:val="bottom"/>
          </w:tcPr>
          <w:p>
            <w:pPr>
              <w:ind w:left="11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4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99.1</w:t>
            </w:r>
          </w:p>
        </w:tc>
        <w:tc>
          <w:tcPr>
            <w:tcW w:w="37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Joint Filing Agreement</w:t>
            </w:r>
          </w:p>
        </w:tc>
      </w:tr>
      <w:tr>
        <w:trPr>
          <w:trHeight w:val="203"/>
        </w:trPr>
        <w:tc>
          <w:tcPr>
            <w:tcW w:w="14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99.2</w:t>
            </w:r>
          </w:p>
        </w:tc>
        <w:tc>
          <w:tcPr>
            <w:tcW w:w="37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Item 7 Information</w:t>
            </w:r>
          </w:p>
        </w:tc>
      </w:tr>
      <w:tr>
        <w:trPr>
          <w:trHeight w:val="203"/>
        </w:trPr>
        <w:tc>
          <w:tcPr>
            <w:tcW w:w="14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99.3</w:t>
            </w:r>
          </w:p>
        </w:tc>
        <w:tc>
          <w:tcPr>
            <w:tcW w:w="37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Power of Attorney, relating to</w:t>
            </w:r>
          </w:p>
        </w:tc>
      </w:tr>
      <w:tr>
        <w:trPr>
          <w:trHeight w:val="203"/>
        </w:trPr>
        <w:tc>
          <w:tcPr>
            <w:tcW w:w="1440" w:type="dxa"/>
            <w:vAlign w:val="bottom"/>
          </w:tcPr>
          <w:p>
            <w:pPr>
              <w:spacing w:after="0"/>
              <w:rPr>
                <w:sz w:val="17"/>
                <w:szCs w:val="17"/>
                <w:color w:val="auto"/>
              </w:rPr>
            </w:pPr>
          </w:p>
        </w:tc>
        <w:tc>
          <w:tcPr>
            <w:tcW w:w="37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THE GOLDMAN SACHS GROUP, INC.</w:t>
            </w:r>
          </w:p>
        </w:tc>
      </w:tr>
      <w:tr>
        <w:trPr>
          <w:trHeight w:val="203"/>
        </w:trPr>
        <w:tc>
          <w:tcPr>
            <w:tcW w:w="1440" w:type="dxa"/>
            <w:vAlign w:val="bottom"/>
          </w:tcPr>
          <w:p>
            <w:pPr>
              <w:jc w:val="right"/>
              <w:ind w:right="712"/>
              <w:spacing w:after="0" w:line="203" w:lineRule="exact"/>
              <w:rPr>
                <w:sz w:val="20"/>
                <w:szCs w:val="20"/>
                <w:color w:val="auto"/>
              </w:rPr>
            </w:pPr>
            <w:r>
              <w:rPr>
                <w:rFonts w:ascii="Courier New" w:cs="Courier New" w:eastAsia="Courier New" w:hAnsi="Courier New"/>
                <w:sz w:val="18"/>
                <w:szCs w:val="18"/>
                <w:color w:val="auto"/>
              </w:rPr>
              <w:t>99.4</w:t>
            </w:r>
          </w:p>
        </w:tc>
        <w:tc>
          <w:tcPr>
            <w:tcW w:w="37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Power of Attorney, relating to</w:t>
            </w:r>
          </w:p>
        </w:tc>
      </w:tr>
      <w:tr>
        <w:trPr>
          <w:trHeight w:val="203"/>
        </w:trPr>
        <w:tc>
          <w:tcPr>
            <w:tcW w:w="1440" w:type="dxa"/>
            <w:vAlign w:val="bottom"/>
          </w:tcPr>
          <w:p>
            <w:pPr>
              <w:spacing w:after="0"/>
              <w:rPr>
                <w:sz w:val="17"/>
                <w:szCs w:val="17"/>
                <w:color w:val="auto"/>
              </w:rPr>
            </w:pPr>
          </w:p>
        </w:tc>
        <w:tc>
          <w:tcPr>
            <w:tcW w:w="37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GOLDMAN, SACHS &amp; CO.</w:t>
            </w:r>
          </w:p>
        </w:tc>
      </w:tr>
    </w:tbl>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7 of 11</w:t>
      </w:r>
    </w:p>
    <w:p>
      <w:pPr>
        <w:sectPr>
          <w:pgSz w:w="11900" w:h="16838" w:orient="portrait"/>
          <w:cols w:equalWidth="0" w:num="1">
            <w:col w:w="10219"/>
          </w:cols>
          <w:pgMar w:left="240" w:top="717"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jc w:val="both"/>
        <w:ind w:right="1879" w:firstLine="421"/>
        <w:spacing w:after="0" w:line="268" w:lineRule="auto"/>
        <w:rPr>
          <w:sz w:val="20"/>
          <w:szCs w:val="20"/>
          <w:color w:val="auto"/>
        </w:rPr>
      </w:pPr>
      <w:r>
        <w:rPr>
          <w:rFonts w:ascii="Courier New" w:cs="Courier New" w:eastAsia="Courier New" w:hAnsi="Courier New"/>
          <w:sz w:val="16"/>
          <w:szCs w:val="16"/>
          <w:color w:val="auto"/>
        </w:rPr>
        <w:t>In accordance with Rule 13d-1(k)(1) promulgated under the Securities Exchange Act of 1934, the undersigned agree to the joint filing of a Statement on Schedule 13G (including any and all amendments thereto) with respect to the Common Stock, $0.001 Par Value per Share, of FLUIDIGM CORPORATION</w:t>
      </w:r>
    </w:p>
    <w:p>
      <w:pPr>
        <w:spacing w:after="0"/>
        <w:tabs>
          <w:tab w:leader="none" w:pos="5360" w:val="left"/>
        </w:tabs>
        <w:rPr>
          <w:sz w:val="20"/>
          <w:szCs w:val="20"/>
          <w:color w:val="auto"/>
        </w:rPr>
      </w:pPr>
      <w:r>
        <w:rPr>
          <w:rFonts w:ascii="Courier New" w:cs="Courier New" w:eastAsia="Courier New" w:hAnsi="Courier New"/>
          <w:sz w:val="18"/>
          <w:szCs w:val="18"/>
          <w:color w:val="auto"/>
        </w:rPr>
        <w:t>and further agree to the filing of this agreement</w:t>
      </w:r>
      <w:r>
        <w:rPr>
          <w:sz w:val="20"/>
          <w:szCs w:val="20"/>
          <w:color w:val="auto"/>
        </w:rPr>
        <w:tab/>
      </w:r>
      <w:r>
        <w:rPr>
          <w:rFonts w:ascii="Courier New" w:cs="Courier New" w:eastAsia="Courier New" w:hAnsi="Courier New"/>
          <w:sz w:val="16"/>
          <w:szCs w:val="16"/>
          <w:color w:val="auto"/>
        </w:rPr>
        <w:t>as an Exhibit thereto.</w:t>
      </w:r>
    </w:p>
    <w:p>
      <w:pPr>
        <w:spacing w:after="0" w:line="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In addition, each party to this Agreement expressly authorizes each other party to this Agreement to file on its behalf any and all amendments to such Statement on Schedule 13G.</w:t>
      </w: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$dateOfSigning(Will be populated when Signatory views document)</w:t>
      </w:r>
    </w:p>
    <w:p>
      <w:pPr>
        <w:spacing w:after="0" w:line="20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THE GOLDMAN SACHS GROUP, INC.</w:t>
      </w:r>
    </w:p>
    <w:p>
      <w:pPr>
        <w:spacing w:after="0" w:line="201" w:lineRule="exact"/>
        <w:rPr>
          <w:sz w:val="20"/>
          <w:szCs w:val="20"/>
          <w:color w:val="auto"/>
        </w:rPr>
      </w:pPr>
    </w:p>
    <w:p>
      <w:pPr>
        <w:ind w:left="1380"/>
        <w:spacing w:after="0"/>
        <w:tabs>
          <w:tab w:leader="none" w:pos="2200" w:val="left"/>
          <w:tab w:leader="none" w:pos="2720" w:val="left"/>
        </w:tabs>
        <w:rPr>
          <w:sz w:val="20"/>
          <w:szCs w:val="20"/>
          <w:color w:val="auto"/>
        </w:rPr>
      </w:pPr>
      <w:r>
        <w:rPr>
          <w:rFonts w:ascii="Courier New" w:cs="Courier New" w:eastAsia="Courier New" w:hAnsi="Courier New"/>
          <w:sz w:val="18"/>
          <w:szCs w:val="18"/>
          <w:color w:val="auto"/>
        </w:rPr>
        <w:t>By:/s/</w:t>
        <w:tab/>
        <w:t>Leo</w:t>
      </w:r>
      <w:r>
        <w:rPr>
          <w:sz w:val="20"/>
          <w:szCs w:val="20"/>
          <w:color w:val="auto"/>
        </w:rPr>
        <w:tab/>
      </w:r>
      <w:r>
        <w:rPr>
          <w:rFonts w:ascii="Courier New" w:cs="Courier New" w:eastAsia="Courier New" w:hAnsi="Courier New"/>
          <w:sz w:val="16"/>
          <w:szCs w:val="16"/>
          <w:color w:val="auto"/>
        </w:rPr>
        <w:t>Herskovich</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tabs>
          <w:tab w:leader="none" w:pos="2200" w:val="left"/>
          <w:tab w:leader="none" w:pos="2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Leo</w:t>
      </w:r>
      <w:r>
        <w:rPr>
          <w:sz w:val="20"/>
          <w:szCs w:val="20"/>
          <w:color w:val="auto"/>
        </w:rPr>
        <w:tab/>
      </w:r>
      <w:r>
        <w:rPr>
          <w:rFonts w:ascii="Courier New" w:cs="Courier New" w:eastAsia="Courier New" w:hAnsi="Courier New"/>
          <w:sz w:val="16"/>
          <w:szCs w:val="16"/>
          <w:color w:val="auto"/>
        </w:rPr>
        <w:t>Herskovich</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2"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GOLDMAN, SACHS &amp; CO.</w:t>
      </w:r>
    </w:p>
    <w:p>
      <w:pPr>
        <w:spacing w:after="0" w:line="201" w:lineRule="exact"/>
        <w:rPr>
          <w:sz w:val="20"/>
          <w:szCs w:val="20"/>
          <w:color w:val="auto"/>
        </w:rPr>
      </w:pPr>
    </w:p>
    <w:p>
      <w:pPr>
        <w:ind w:left="1380"/>
        <w:spacing w:after="0"/>
        <w:tabs>
          <w:tab w:leader="none" w:pos="2200" w:val="left"/>
          <w:tab w:leader="none" w:pos="2720" w:val="left"/>
        </w:tabs>
        <w:rPr>
          <w:sz w:val="20"/>
          <w:szCs w:val="20"/>
          <w:color w:val="auto"/>
        </w:rPr>
      </w:pPr>
      <w:r>
        <w:rPr>
          <w:rFonts w:ascii="Courier New" w:cs="Courier New" w:eastAsia="Courier New" w:hAnsi="Courier New"/>
          <w:sz w:val="18"/>
          <w:szCs w:val="18"/>
          <w:color w:val="auto"/>
        </w:rPr>
        <w:t>By:/s/</w:t>
        <w:tab/>
        <w:t>Leo</w:t>
      </w:r>
      <w:r>
        <w:rPr>
          <w:sz w:val="20"/>
          <w:szCs w:val="20"/>
          <w:color w:val="auto"/>
        </w:rPr>
        <w:tab/>
      </w:r>
      <w:r>
        <w:rPr>
          <w:rFonts w:ascii="Courier New" w:cs="Courier New" w:eastAsia="Courier New" w:hAnsi="Courier New"/>
          <w:sz w:val="16"/>
          <w:szCs w:val="16"/>
          <w:color w:val="auto"/>
        </w:rPr>
        <w:t>Herskovich</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tabs>
          <w:tab w:leader="none" w:pos="2200" w:val="left"/>
          <w:tab w:leader="none" w:pos="27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Leo</w:t>
      </w:r>
      <w:r>
        <w:rPr>
          <w:sz w:val="20"/>
          <w:szCs w:val="20"/>
          <w:color w:val="auto"/>
        </w:rPr>
        <w:tab/>
      </w:r>
      <w:r>
        <w:rPr>
          <w:rFonts w:ascii="Courier New" w:cs="Courier New" w:eastAsia="Courier New" w:hAnsi="Courier New"/>
          <w:sz w:val="16"/>
          <w:szCs w:val="16"/>
          <w:color w:val="auto"/>
        </w:rPr>
        <w:t>Herskovich</w:t>
      </w:r>
    </w:p>
    <w:p>
      <w:pPr>
        <w:ind w:left="1380"/>
        <w:spacing w:after="0"/>
        <w:tabs>
          <w:tab w:leader="none" w:pos="220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Attorney-in-fact</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8 of 11</w:t>
      </w:r>
    </w:p>
    <w:p>
      <w:pPr>
        <w:sectPr>
          <w:pgSz w:w="11900" w:h="16838" w:orient="portrait"/>
          <w:cols w:equalWidth="0" w:num="1">
            <w:col w:w="10219"/>
          </w:cols>
          <w:pgMar w:left="240" w:top="514"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1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EXHIBIT (99.2)</w:t>
            </w:r>
          </w:p>
        </w:tc>
      </w:tr>
      <w:tr>
        <w:trPr>
          <w:trHeight w:val="405"/>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ITEM 7</w:t>
            </w:r>
          </w:p>
        </w:tc>
        <w:tc>
          <w:tcPr>
            <w:tcW w:w="230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INFORMATION</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800" w:type="dxa"/>
            <w:vAlign w:val="bottom"/>
          </w:tcPr>
          <w:p>
            <w:pPr>
              <w:ind w:left="420"/>
              <w:spacing w:after="0"/>
              <w:rPr>
                <w:sz w:val="20"/>
                <w:szCs w:val="20"/>
                <w:color w:val="auto"/>
              </w:rPr>
            </w:pPr>
            <w:r>
              <w:rPr>
                <w:rFonts w:ascii="Courier New" w:cs="Courier New" w:eastAsia="Courier New" w:hAnsi="Courier New"/>
                <w:sz w:val="18"/>
                <w:szCs w:val="18"/>
                <w:color w:val="auto"/>
              </w:rPr>
              <w:t>The</w:t>
            </w:r>
          </w:p>
        </w:tc>
        <w:tc>
          <w:tcPr>
            <w:tcW w:w="12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9"/>
              </w:rPr>
              <w:t>securities</w:t>
            </w:r>
          </w:p>
        </w:tc>
        <w:tc>
          <w:tcPr>
            <w:tcW w:w="800" w:type="dxa"/>
            <w:vAlign w:val="bottom"/>
          </w:tcPr>
          <w:p>
            <w:pPr>
              <w:ind w:left="260"/>
              <w:spacing w:after="0"/>
              <w:rPr>
                <w:sz w:val="20"/>
                <w:szCs w:val="20"/>
                <w:color w:val="auto"/>
              </w:rPr>
            </w:pPr>
            <w:r>
              <w:rPr>
                <w:rFonts w:ascii="Courier New" w:cs="Courier New" w:eastAsia="Courier New" w:hAnsi="Courier New"/>
                <w:sz w:val="18"/>
                <w:szCs w:val="18"/>
                <w:color w:val="auto"/>
                <w:w w:val="96"/>
              </w:rPr>
              <w:t>being</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reported</w:t>
            </w:r>
          </w:p>
        </w:tc>
        <w:tc>
          <w:tcPr>
            <w:tcW w:w="520" w:type="dxa"/>
            <w:vAlign w:val="bottom"/>
          </w:tcPr>
          <w:p>
            <w:pPr>
              <w:ind w:left="200"/>
              <w:spacing w:after="0"/>
              <w:rPr>
                <w:sz w:val="20"/>
                <w:szCs w:val="20"/>
                <w:color w:val="auto"/>
              </w:rPr>
            </w:pPr>
            <w:r>
              <w:rPr>
                <w:rFonts w:ascii="Courier New" w:cs="Courier New" w:eastAsia="Courier New" w:hAnsi="Courier New"/>
                <w:sz w:val="18"/>
                <w:szCs w:val="18"/>
                <w:color w:val="auto"/>
              </w:rPr>
              <w:t>on</w:t>
            </w:r>
          </w:p>
        </w:tc>
        <w:tc>
          <w:tcPr>
            <w:tcW w:w="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by</w:t>
            </w:r>
          </w:p>
        </w:tc>
        <w:tc>
          <w:tcPr>
            <w:tcW w:w="1260" w:type="dxa"/>
            <w:vAlign w:val="bottom"/>
          </w:tcPr>
          <w:p>
            <w:pPr>
              <w:spacing w:after="0"/>
              <w:rPr>
                <w:sz w:val="20"/>
                <w:szCs w:val="20"/>
                <w:color w:val="auto"/>
              </w:rPr>
            </w:pPr>
            <w:r>
              <w:rPr>
                <w:rFonts w:ascii="Courier New" w:cs="Courier New" w:eastAsia="Courier New" w:hAnsi="Courier New"/>
                <w:sz w:val="18"/>
                <w:szCs w:val="18"/>
                <w:color w:val="auto"/>
                <w:w w:val="95"/>
              </w:rPr>
              <w:t>The  Goldman</w:t>
            </w:r>
          </w:p>
        </w:tc>
        <w:tc>
          <w:tcPr>
            <w:tcW w:w="800" w:type="dxa"/>
            <w:vAlign w:val="bottom"/>
          </w:tcPr>
          <w:p>
            <w:pPr>
              <w:ind w:left="220"/>
              <w:spacing w:after="0"/>
              <w:rPr>
                <w:sz w:val="20"/>
                <w:szCs w:val="20"/>
                <w:color w:val="auto"/>
              </w:rPr>
            </w:pPr>
            <w:r>
              <w:rPr>
                <w:rFonts w:ascii="Courier New" w:cs="Courier New" w:eastAsia="Courier New" w:hAnsi="Courier New"/>
                <w:sz w:val="18"/>
                <w:szCs w:val="18"/>
                <w:color w:val="auto"/>
              </w:rPr>
              <w:t>Sachs</w:t>
            </w:r>
          </w:p>
        </w:tc>
        <w:tc>
          <w:tcPr>
            <w:tcW w:w="1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Group,  Inc.</w:t>
            </w:r>
          </w:p>
        </w:tc>
      </w:tr>
      <w:tr>
        <w:trPr>
          <w:trHeight w:val="203"/>
        </w:trPr>
        <w:tc>
          <w:tcPr>
            <w:tcW w:w="2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("GS Group"), as  a parent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holding</w:t>
            </w:r>
          </w:p>
        </w:tc>
        <w:tc>
          <w:tcPr>
            <w:tcW w:w="3320" w:type="dxa"/>
            <w:vAlign w:val="bottom"/>
            <w:gridSpan w:val="5"/>
          </w:tcPr>
          <w:p>
            <w:pPr>
              <w:ind w:left="100"/>
              <w:spacing w:after="0" w:line="203" w:lineRule="exact"/>
              <w:rPr>
                <w:sz w:val="20"/>
                <w:szCs w:val="20"/>
                <w:color w:val="auto"/>
              </w:rPr>
            </w:pPr>
            <w:r>
              <w:rPr>
                <w:rFonts w:ascii="Courier New" w:cs="Courier New" w:eastAsia="Courier New" w:hAnsi="Courier New"/>
                <w:sz w:val="18"/>
                <w:szCs w:val="18"/>
                <w:color w:val="auto"/>
              </w:rPr>
              <w:t>company, are owned, or may be</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deemed to be</w:t>
            </w:r>
          </w:p>
        </w:tc>
      </w:tr>
      <w:tr>
        <w:trPr>
          <w:trHeight w:val="203"/>
        </w:trPr>
        <w:tc>
          <w:tcPr>
            <w:tcW w:w="1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2520" w:type="dxa"/>
            <w:vAlign w:val="bottom"/>
            <w:gridSpan w:val="3"/>
          </w:tcPr>
          <w:p>
            <w:pPr>
              <w:jc w:val="right"/>
              <w:ind w:right="232"/>
              <w:spacing w:after="0" w:line="203" w:lineRule="exact"/>
              <w:rPr>
                <w:sz w:val="20"/>
                <w:szCs w:val="20"/>
                <w:color w:val="auto"/>
              </w:rPr>
            </w:pPr>
            <w:r>
              <w:rPr>
                <w:rFonts w:ascii="Courier New" w:cs="Courier New" w:eastAsia="Courier New" w:hAnsi="Courier New"/>
                <w:sz w:val="18"/>
                <w:szCs w:val="18"/>
                <w:color w:val="auto"/>
              </w:rPr>
              <w:t>owned, by  Goldman,</w:t>
            </w:r>
          </w:p>
        </w:tc>
        <w:tc>
          <w:tcPr>
            <w:tcW w:w="12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Sachs &amp; Co.</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("Goldman</w:t>
            </w:r>
          </w:p>
        </w:tc>
        <w:tc>
          <w:tcPr>
            <w:tcW w:w="21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Sachs"), a broker or</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dealer</w:t>
            </w:r>
          </w:p>
        </w:tc>
        <w:tc>
          <w:tcPr>
            <w:tcW w:w="1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registered</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under</w:t>
            </w:r>
          </w:p>
        </w:tc>
        <w:tc>
          <w:tcPr>
            <w:tcW w:w="9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Section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15</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w:t>
            </w:r>
          </w:p>
        </w:tc>
        <w:tc>
          <w:tcPr>
            <w:tcW w:w="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the</w:t>
            </w:r>
          </w:p>
        </w:tc>
        <w:tc>
          <w:tcPr>
            <w:tcW w:w="2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Act and an investment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adviser</w:t>
            </w:r>
          </w:p>
        </w:tc>
      </w:tr>
      <w:tr>
        <w:trPr>
          <w:trHeight w:val="203"/>
        </w:trPr>
        <w:tc>
          <w:tcPr>
            <w:tcW w:w="1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registered</w:t>
            </w:r>
          </w:p>
        </w:tc>
        <w:tc>
          <w:tcPr>
            <w:tcW w:w="2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under Section 203 of the</w:t>
            </w:r>
          </w:p>
        </w:tc>
        <w:tc>
          <w:tcPr>
            <w:tcW w:w="220" w:type="dxa"/>
            <w:vAlign w:val="bottom"/>
          </w:tcPr>
          <w:p>
            <w:pPr>
              <w:spacing w:after="0"/>
              <w:rPr>
                <w:sz w:val="17"/>
                <w:szCs w:val="17"/>
                <w:color w:val="auto"/>
              </w:rPr>
            </w:pPr>
          </w:p>
        </w:tc>
        <w:tc>
          <w:tcPr>
            <w:tcW w:w="10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Investment</w:t>
            </w:r>
          </w:p>
        </w:tc>
        <w:tc>
          <w:tcPr>
            <w:tcW w:w="25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Advisers Act of 1940.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Goldman</w:t>
            </w:r>
          </w:p>
        </w:tc>
      </w:tr>
      <w:tr>
        <w:trPr>
          <w:trHeight w:val="203"/>
        </w:trPr>
        <w:tc>
          <w:tcPr>
            <w:tcW w:w="712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w w:val="98"/>
              </w:rPr>
              <w:t>Sachs is a direct and indirect wholly-owned subsidiary of GS Group.</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Page</w:t>
            </w:r>
          </w:p>
        </w:tc>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w w:val="95"/>
              </w:rPr>
              <w:t>9 of 11</w:t>
            </w: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514"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EXHIBIT (99.3)</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KNOW ALL PERSONS BY THESE PRESENTS that THE GOLDMAN SACHS GROUP, INC. (the "Company") does hereby make, constitute and appoint each of Dan Deluca, Jeremy Kahn and Brian Bae (and any other employee of The Goldman Sachs Group, Inc. or one of its affiliates designated in writing by one of the attorneys-in-fact), acting individually, its true and lawful attorney, to execute and deliver in its name and on its behalf whether the Company is acting individually or as representative of others, any and all filings required to be made by the Company under the Securities Exchange Act of 1934, (as amended, the "Act"),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388"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either revoked in writing by the undersigned or until such time as the person or persons to whom power of attorney has been hereby granted cease(s) to be an employee of The Goldman Sachs Group, Inc. or one of its affiliates. The Company has the unrestricted right to unilaterally revoke this Power of Attorney.</w:t>
      </w:r>
    </w:p>
    <w:p>
      <w:pPr>
        <w:spacing w:after="0" w:line="185"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spacing w:after="0" w:line="17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November 27, 2012.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GOLDMAN SACHS GROUP,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Gregory K. Palm</w:t>
      </w:r>
    </w:p>
    <w:p>
      <w:pPr>
        <w:spacing w:after="0" w:line="238" w:lineRule="auto"/>
        <w:rPr>
          <w:sz w:val="20"/>
          <w:szCs w:val="20"/>
          <w:color w:val="auto"/>
        </w:rPr>
      </w:pPr>
      <w:r>
        <w:rPr>
          <w:rFonts w:ascii="Courier New" w:cs="Courier New" w:eastAsia="Courier New" w:hAnsi="Courier New"/>
          <w:sz w:val="18"/>
          <w:szCs w:val="18"/>
          <w:color w:val="auto"/>
        </w:rPr>
        <w:t>____________________________</w:t>
      </w: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Gregory K. Palm</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Executive Vice President and</w:t>
      </w:r>
    </w:p>
    <w:p>
      <w:pPr>
        <w:ind w:left="1280"/>
        <w:spacing w:after="0" w:line="238" w:lineRule="auto"/>
        <w:rPr>
          <w:sz w:val="20"/>
          <w:szCs w:val="20"/>
          <w:color w:val="auto"/>
        </w:rPr>
      </w:pPr>
      <w:r>
        <w:rPr>
          <w:rFonts w:ascii="Courier New" w:cs="Courier New" w:eastAsia="Courier New" w:hAnsi="Courier New"/>
          <w:sz w:val="18"/>
          <w:szCs w:val="18"/>
          <w:color w:val="auto"/>
        </w:rPr>
        <w:t>General Counsel</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DESIGNATION OF ADDITIONAL ATTORNEY-IN-FACT</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KNOW ALL PERSONS BY THESE PRESENTS that Jeremy Kahn, a duly appointed attorney-in-fact of THE GOLDMAN SACHS GROUP, INC. (the "Company"), pursuant tothat Power of Attorney dated November 27, 2012 (the "POA"), does hereby designate Veruna Stanescu, Lee Tryhorn and Leo Herskovich, employees of the Company, as additional attorneys-in-fact, with the same authority to act as provided to the undersigned and the other to the to the undersigned and the other attorneys-in-fact named in the POA.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This Designation</w:t>
            </w:r>
          </w:p>
        </w:tc>
        <w:tc>
          <w:tcPr>
            <w:tcW w:w="3580" w:type="dxa"/>
            <w:vAlign w:val="bottom"/>
            <w:gridSpan w:val="4"/>
          </w:tcPr>
          <w:p>
            <w:pPr>
              <w:spacing w:after="0"/>
              <w:rPr>
                <w:sz w:val="20"/>
                <w:szCs w:val="20"/>
                <w:color w:val="auto"/>
              </w:rPr>
            </w:pPr>
            <w:r>
              <w:rPr>
                <w:rFonts w:ascii="Courier New" w:cs="Courier New" w:eastAsia="Courier New" w:hAnsi="Courier New"/>
                <w:sz w:val="18"/>
                <w:szCs w:val="18"/>
                <w:color w:val="auto"/>
              </w:rPr>
              <w:t>of  Additional  Attorney-in-Fact</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(this</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w w:val="96"/>
              </w:rPr>
              <w:t>"Designation")</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shall</w:t>
            </w:r>
          </w:p>
        </w:tc>
      </w:tr>
      <w:tr>
        <w:trPr>
          <w:trHeight w:val="203"/>
        </w:trPr>
        <w:tc>
          <w:tcPr>
            <w:tcW w:w="40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not  affect  the continued  power  of</w:t>
            </w:r>
          </w:p>
        </w:tc>
        <w:tc>
          <w:tcPr>
            <w:tcW w:w="21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the   undersigned</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or  the  other</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named</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attorneys-in-fact</w:t>
            </w:r>
          </w:p>
        </w:tc>
        <w:tc>
          <w:tcPr>
            <w:tcW w:w="316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to act under the  POA to the</w:t>
            </w:r>
          </w:p>
        </w:tc>
        <w:tc>
          <w:tcPr>
            <w:tcW w:w="32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full extent permitted thereby.</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This Designation shall remain</w:t>
            </w:r>
          </w:p>
        </w:tc>
        <w:tc>
          <w:tcPr>
            <w:tcW w:w="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in full</w:t>
            </w:r>
          </w:p>
        </w:tc>
        <w:tc>
          <w:tcPr>
            <w:tcW w:w="36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force and effect until either it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the</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POA is revoked in</w:t>
            </w:r>
          </w:p>
        </w:tc>
        <w:tc>
          <w:tcPr>
            <w:tcW w:w="1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writing by</w:t>
            </w:r>
          </w:p>
        </w:tc>
        <w:tc>
          <w:tcPr>
            <w:tcW w:w="232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w w:val="96"/>
              </w:rPr>
              <w:t>the Company, or until</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such</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time as the</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or persons to whom</w:t>
            </w:r>
          </w:p>
        </w:tc>
        <w:tc>
          <w:tcPr>
            <w:tcW w:w="21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power of attorney</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has been</w:t>
            </w:r>
          </w:p>
        </w:tc>
        <w:tc>
          <w:tcPr>
            <w:tcW w:w="32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hereby  granted cease(s) to be</w:t>
            </w:r>
          </w:p>
        </w:tc>
      </w:tr>
      <w:tr>
        <w:trPr>
          <w:trHeight w:val="203"/>
        </w:trPr>
        <w:tc>
          <w:tcPr>
            <w:tcW w:w="548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an employee of the Company or one of its affiliates.</w:t>
            </w: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05"/>
        </w:trPr>
        <w:tc>
          <w:tcPr>
            <w:tcW w:w="4020" w:type="dxa"/>
            <w:vAlign w:val="bottom"/>
            <w:gridSpan w:val="3"/>
          </w:tcPr>
          <w:p>
            <w:pPr>
              <w:spacing w:after="0"/>
              <w:rPr>
                <w:sz w:val="20"/>
                <w:szCs w:val="20"/>
                <w:color w:val="auto"/>
              </w:rPr>
            </w:pPr>
            <w:r>
              <w:rPr>
                <w:rFonts w:ascii="Courier New" w:cs="Courier New" w:eastAsia="Courier New" w:hAnsi="Courier New"/>
                <w:sz w:val="18"/>
                <w:szCs w:val="18"/>
                <w:color w:val="auto"/>
              </w:rPr>
              <w:t>IN WITNESS WHEREOF, the  undersigned</w:t>
            </w:r>
          </w:p>
        </w:tc>
        <w:tc>
          <w:tcPr>
            <w:tcW w:w="210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6"/>
              </w:rPr>
              <w:t>has duly subscribed</w:t>
            </w:r>
          </w:p>
        </w:tc>
        <w:tc>
          <w:tcPr>
            <w:tcW w:w="2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these presents as of</w:t>
            </w: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April 21, 2015.</w:t>
            </w: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608"/>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THE GOLDMAN SACHS GROUP, INC.</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08"/>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By:   /s/ Jeremy Kahn</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____________________________</w:t>
            </w: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190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Jeremy Kahn</w:t>
            </w:r>
          </w:p>
        </w:tc>
        <w:tc>
          <w:tcPr>
            <w:tcW w:w="1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Title: Attorney-In-Fact</w:t>
            </w: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7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10 of 11</w:t>
      </w:r>
    </w:p>
    <w:p>
      <w:pPr>
        <w:sectPr>
          <w:pgSz w:w="11900" w:h="16838" w:orient="portrait"/>
          <w:cols w:equalWidth="0" w:num="1">
            <w:col w:w="10219"/>
          </w:cols>
          <w:pgMar w:left="240" w:top="514" w:right="1440" w:bottom="564"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EXHIBIT (99.4)</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KNOW ALL PERSONS BY THESE PRESENTS that GOLDMAN, SACHS &amp; CO. (the "Company") does hereby make, constitute and appoint each of Dan Deluca, Jeremy Kahn and Brian Bae (and any other employee of The Goldman Sachs Group, Inc. or one of its affiliates designated in writing by one of the attorneys-in-fact), acting individually, its true and lawful attorney, to execute and deliver in its name and on its behalf whether the Company is acting individually or as representative of others, any and all filings required to be made by the Company under the Securities Exchange Act of 1934, (as amended, the "Act"),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08"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rPr>
        <w:t>THIS POWER OF ATTORNEY shall remain in full force and effect until either revoked in writing by the undersigned or until such time as the person or persons to whom power of attorney has been hereby granted cease(s) to be an employee of The Goldman Sachs Group, Inc. or one of its affiliates. The Company has the unrestricted right to unilaterally revoke this Power of Attorney.</w:t>
      </w:r>
    </w:p>
    <w:p>
      <w:pPr>
        <w:spacing w:after="0" w:line="185"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spacing w:after="0" w:line="17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November 27, 2012.</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Gregory K. Palm</w:t>
      </w:r>
    </w:p>
    <w:p>
      <w:pPr>
        <w:spacing w:after="0" w:line="238" w:lineRule="auto"/>
        <w:rPr>
          <w:sz w:val="20"/>
          <w:szCs w:val="20"/>
          <w:color w:val="auto"/>
        </w:rPr>
      </w:pPr>
      <w:r>
        <w:rPr>
          <w:rFonts w:ascii="Courier New" w:cs="Courier New" w:eastAsia="Courier New" w:hAnsi="Courier New"/>
          <w:sz w:val="18"/>
          <w:szCs w:val="18"/>
          <w:color w:val="auto"/>
        </w:rPr>
        <w:t>____________________________</w:t>
      </w:r>
    </w:p>
    <w:p>
      <w:pPr>
        <w:spacing w:after="0"/>
        <w:tabs>
          <w:tab w:leader="none" w:pos="8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Gregory K. Palm</w:t>
      </w:r>
    </w:p>
    <w:p>
      <w:pPr>
        <w:spacing w:after="0" w:line="237" w:lineRule="auto"/>
        <w:tabs>
          <w:tab w:leader="none" w:pos="840" w:val="left"/>
        </w:tabs>
        <w:rPr>
          <w:sz w:val="20"/>
          <w:szCs w:val="20"/>
          <w:color w:val="auto"/>
        </w:rPr>
      </w:pPr>
      <w:r>
        <w:rPr>
          <w:rFonts w:ascii="Courier New" w:cs="Courier New" w:eastAsia="Courier New" w:hAnsi="Courier New"/>
          <w:sz w:val="18"/>
          <w:szCs w:val="18"/>
          <w:color w:val="auto"/>
        </w:rPr>
        <w:t>Title:</w:t>
        <w:tab/>
        <w:t>Managing Director</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DESIGNATION OF ADDITIONAL ATTORNEY-IN-FACT</w:t>
      </w:r>
    </w:p>
    <w:p>
      <w:pPr>
        <w:spacing w:after="0" w:line="207"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KNOW ALL PERSONS BY THESE PRESENTS that Jeremy Kahn, a duly appointed attorney-in-fact of GOLDMAN,SACHS &amp; CO. (the "Company"), pursuant to that Power of Attorney dated November 27, 2012 (the "POA"), does hereby designate Veruna Stanescu, Lee Tryhorn and Leo Herskovich, employees of the Company, as additional attorneys-in-fact, with the same authority to act as provided to the undersigned and the other to the to the undersigned and the other attorneys-in-fact named in the POA.</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This</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Designation</w:t>
            </w:r>
          </w:p>
        </w:tc>
        <w:tc>
          <w:tcPr>
            <w:tcW w:w="4220" w:type="dxa"/>
            <w:vAlign w:val="bottom"/>
            <w:gridSpan w:val="5"/>
          </w:tcPr>
          <w:p>
            <w:pPr>
              <w:jc w:val="right"/>
              <w:spacing w:after="0"/>
              <w:rPr>
                <w:sz w:val="20"/>
                <w:szCs w:val="20"/>
                <w:color w:val="auto"/>
              </w:rPr>
            </w:pPr>
            <w:r>
              <w:rPr>
                <w:rFonts w:ascii="Courier New" w:cs="Courier New" w:eastAsia="Courier New" w:hAnsi="Courier New"/>
                <w:sz w:val="18"/>
                <w:szCs w:val="18"/>
                <w:color w:val="auto"/>
                <w:w w:val="99"/>
              </w:rPr>
              <w:t>of  Additional  Attorney-in-Fact  (this</w:t>
            </w:r>
          </w:p>
        </w:tc>
        <w:tc>
          <w:tcPr>
            <w:tcW w:w="16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"Designation")</w:t>
            </w:r>
          </w:p>
        </w:tc>
        <w:tc>
          <w:tcPr>
            <w:tcW w:w="700" w:type="dxa"/>
            <w:vAlign w:val="bottom"/>
          </w:tcPr>
          <w:p>
            <w:pPr>
              <w:jc w:val="right"/>
              <w:spacing w:after="0"/>
              <w:rPr>
                <w:sz w:val="20"/>
                <w:szCs w:val="20"/>
                <w:color w:val="auto"/>
              </w:rPr>
            </w:pPr>
            <w:r>
              <w:rPr>
                <w:rFonts w:ascii="Courier New" w:cs="Courier New" w:eastAsia="Courier New" w:hAnsi="Courier New"/>
                <w:sz w:val="18"/>
                <w:szCs w:val="18"/>
                <w:color w:val="auto"/>
              </w:rPr>
              <w:t>shall</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not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affect  the</w:t>
            </w:r>
          </w:p>
        </w:tc>
        <w:tc>
          <w:tcPr>
            <w:tcW w:w="1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continued  power</w:t>
            </w:r>
          </w:p>
        </w:tc>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20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the   undersigned</w:t>
            </w:r>
          </w:p>
        </w:tc>
        <w:tc>
          <w:tcPr>
            <w:tcW w:w="3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83"/>
              </w:rPr>
              <w:t>or</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other</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named</w:t>
            </w:r>
          </w:p>
        </w:tc>
      </w:tr>
      <w:tr>
        <w:trPr>
          <w:trHeight w:val="203"/>
        </w:trPr>
        <w:tc>
          <w:tcPr>
            <w:tcW w:w="1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attorneys-in-fact</w:t>
            </w:r>
          </w:p>
        </w:tc>
        <w:tc>
          <w:tcPr>
            <w:tcW w:w="19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to act under the</w:t>
            </w:r>
          </w:p>
        </w:tc>
        <w:tc>
          <w:tcPr>
            <w:tcW w:w="13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POA to the</w:t>
            </w:r>
          </w:p>
        </w:tc>
        <w:tc>
          <w:tcPr>
            <w:tcW w:w="328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full extent permitted thereby.</w:t>
            </w:r>
          </w:p>
        </w:tc>
      </w:tr>
      <w:tr>
        <w:trPr>
          <w:trHeight w:val="203"/>
        </w:trPr>
        <w:tc>
          <w:tcPr>
            <w:tcW w:w="1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This Designation</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shall remain</w:t>
            </w:r>
          </w:p>
        </w:tc>
        <w:tc>
          <w:tcPr>
            <w:tcW w:w="8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5"/>
              </w:rPr>
              <w:t>in full</w:t>
            </w:r>
          </w:p>
        </w:tc>
        <w:tc>
          <w:tcPr>
            <w:tcW w:w="36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force and effect until either it</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the</w:t>
            </w:r>
          </w:p>
        </w:tc>
      </w:tr>
      <w:tr>
        <w:trPr>
          <w:trHeight w:val="203"/>
        </w:trPr>
        <w:tc>
          <w:tcPr>
            <w:tcW w:w="1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POA is revoked in</w:t>
            </w:r>
          </w:p>
        </w:tc>
        <w:tc>
          <w:tcPr>
            <w:tcW w:w="1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writing by</w:t>
            </w:r>
          </w:p>
        </w:tc>
        <w:tc>
          <w:tcPr>
            <w:tcW w:w="3160" w:type="dxa"/>
            <w:vAlign w:val="bottom"/>
            <w:gridSpan w:val="5"/>
          </w:tcPr>
          <w:p>
            <w:pPr>
              <w:ind w:left="120"/>
              <w:spacing w:after="0" w:line="203" w:lineRule="exact"/>
              <w:rPr>
                <w:sz w:val="20"/>
                <w:szCs w:val="20"/>
                <w:color w:val="auto"/>
              </w:rPr>
            </w:pPr>
            <w:r>
              <w:rPr>
                <w:rFonts w:ascii="Courier New" w:cs="Courier New" w:eastAsia="Courier New" w:hAnsi="Courier New"/>
                <w:sz w:val="18"/>
                <w:szCs w:val="18"/>
                <w:color w:val="auto"/>
              </w:rPr>
              <w:t>the Company, or until  such</w:t>
            </w:r>
          </w:p>
        </w:tc>
        <w:tc>
          <w:tcPr>
            <w:tcW w:w="1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time as the</w:t>
            </w:r>
          </w:p>
        </w:tc>
        <w:tc>
          <w:tcPr>
            <w:tcW w:w="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r>
      <w:tr>
        <w:trPr>
          <w:trHeight w:val="203"/>
        </w:trPr>
        <w:tc>
          <w:tcPr>
            <w:tcW w:w="40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or persons to whom  power of attorney</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has been</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hereby</w:t>
            </w:r>
          </w:p>
        </w:tc>
        <w:tc>
          <w:tcPr>
            <w:tcW w:w="23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granted cease(s) to be</w:t>
            </w:r>
          </w:p>
        </w:tc>
      </w:tr>
      <w:tr>
        <w:trPr>
          <w:trHeight w:val="203"/>
        </w:trPr>
        <w:tc>
          <w:tcPr>
            <w:tcW w:w="602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an employee of the Company or one of its affiliates.</w:t>
            </w: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405"/>
        </w:trPr>
        <w:tc>
          <w:tcPr>
            <w:tcW w:w="4020" w:type="dxa"/>
            <w:vAlign w:val="bottom"/>
            <w:gridSpan w:val="5"/>
          </w:tcPr>
          <w:p>
            <w:pPr>
              <w:spacing w:after="0"/>
              <w:rPr>
                <w:sz w:val="20"/>
                <w:szCs w:val="20"/>
                <w:color w:val="auto"/>
              </w:rPr>
            </w:pPr>
            <w:r>
              <w:rPr>
                <w:rFonts w:ascii="Courier New" w:cs="Courier New" w:eastAsia="Courier New" w:hAnsi="Courier New"/>
                <w:sz w:val="18"/>
                <w:szCs w:val="18"/>
                <w:color w:val="auto"/>
              </w:rPr>
              <w:t>IN WITNESS WHEREOF, the  undersigned</w:t>
            </w:r>
          </w:p>
        </w:tc>
        <w:tc>
          <w:tcPr>
            <w:tcW w:w="2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has duly subscribed</w:t>
            </w:r>
          </w:p>
        </w:tc>
        <w:tc>
          <w:tcPr>
            <w:tcW w:w="23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these presents as of</w:t>
            </w:r>
          </w:p>
        </w:tc>
      </w:tr>
      <w:tr>
        <w:trPr>
          <w:trHeight w:val="203"/>
        </w:trPr>
        <w:tc>
          <w:tcPr>
            <w:tcW w:w="1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April 21, 2015.</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608"/>
        </w:trPr>
        <w:tc>
          <w:tcPr>
            <w:tcW w:w="1800" w:type="dxa"/>
            <w:vAlign w:val="bottom"/>
            <w:gridSpan w:val="2"/>
          </w:tcPr>
          <w:p>
            <w:pPr>
              <w:spacing w:after="0"/>
              <w:rPr>
                <w:sz w:val="20"/>
                <w:szCs w:val="20"/>
                <w:color w:val="auto"/>
              </w:rPr>
            </w:pPr>
            <w:r>
              <w:rPr>
                <w:rFonts w:ascii="Courier New" w:cs="Courier New" w:eastAsia="Courier New" w:hAnsi="Courier New"/>
                <w:sz w:val="18"/>
                <w:szCs w:val="18"/>
                <w:color w:val="auto"/>
              </w:rPr>
              <w:t>GOLDMAN, SACHS &amp;</w:t>
            </w:r>
          </w:p>
        </w:tc>
        <w:tc>
          <w:tcPr>
            <w:tcW w:w="1360" w:type="dxa"/>
            <w:vAlign w:val="bottom"/>
          </w:tcPr>
          <w:p>
            <w:pPr>
              <w:spacing w:after="0"/>
              <w:rPr>
                <w:sz w:val="20"/>
                <w:szCs w:val="20"/>
                <w:color w:val="auto"/>
              </w:rPr>
            </w:pPr>
            <w:r>
              <w:rPr>
                <w:rFonts w:ascii="Courier New" w:cs="Courier New" w:eastAsia="Courier New" w:hAnsi="Courier New"/>
                <w:sz w:val="18"/>
                <w:szCs w:val="18"/>
                <w:color w:val="auto"/>
              </w:rPr>
              <w:t>CO</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08"/>
        </w:trPr>
        <w:tc>
          <w:tcPr>
            <w:tcW w:w="4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 Jeremy</w:t>
            </w:r>
          </w:p>
        </w:tc>
        <w:tc>
          <w:tcPr>
            <w:tcW w:w="1360" w:type="dxa"/>
            <w:vAlign w:val="bottom"/>
          </w:tcPr>
          <w:p>
            <w:pPr>
              <w:spacing w:after="0"/>
              <w:rPr>
                <w:sz w:val="20"/>
                <w:szCs w:val="20"/>
                <w:color w:val="auto"/>
              </w:rPr>
            </w:pPr>
            <w:r>
              <w:rPr>
                <w:rFonts w:ascii="Courier New" w:cs="Courier New" w:eastAsia="Courier New" w:hAnsi="Courier New"/>
                <w:sz w:val="18"/>
                <w:szCs w:val="18"/>
                <w:color w:val="auto"/>
              </w:rPr>
              <w:t>Kahn</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____________________________</w:t>
            </w: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1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Name: Jeremy Kahn</w:t>
            </w:r>
          </w:p>
        </w:tc>
        <w:tc>
          <w:tcPr>
            <w:tcW w:w="1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31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Title: Attorney-In-Fact</w:t>
            </w: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11 of 11</w:t>
      </w:r>
    </w:p>
    <w:p>
      <w:pPr>
        <w:sectPr>
          <w:pgSz w:w="11900" w:h="16838" w:orient="portrait"/>
          <w:cols w:equalWidth="0" w:num="1">
            <w:col w:w="10219"/>
          </w:cols>
          <w:pgMar w:left="240" w:top="514" w:right="1440" w:bottom="97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upperLetter"/>
      <w:start w:val="24"/>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9"/>
    </w:lvl>
  </w:abstractNum>
  <w:abstractNum w:abstractNumId="3">
    <w:nsid w:val="7545E146"/>
    <w:multiLevelType w:val="hybridMultilevel"/>
    <w:lvl w:ilvl="0">
      <w:lvlJc w:val="left"/>
      <w:lvlText w:val="%1."/>
      <w:numFmt w:val="decimal"/>
      <w:start w:val="10"/>
    </w:lvl>
  </w:abstractNum>
  <w:abstractNum w:abstractNumId="4">
    <w:nsid w:val="515F007C"/>
    <w:multiLevelType w:val="hybridMultilevel"/>
    <w:lvl w:ilvl="0">
      <w:lvlJc w:val="left"/>
      <w:lvlText w:val="%1."/>
      <w:numFmt w:val="decimal"/>
      <w:start w:val="11"/>
    </w:lvl>
  </w:abstractNum>
  <w:abstractNum w:abstractNumId="5">
    <w:nsid w:val="5BD062C2"/>
    <w:multiLevelType w:val="hybridMultilevel"/>
    <w:lvl w:ilvl="0">
      <w:lvlJc w:val="left"/>
      <w:lvlText w:val="%1."/>
      <w:numFmt w:val="decimal"/>
      <w:start w:val="12"/>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9"/>
    </w:lvl>
  </w:abstractNum>
  <w:abstractNum w:abstractNumId="8">
    <w:nsid w:val="216231B"/>
    <w:multiLevelType w:val="hybridMultilevel"/>
    <w:lvl w:ilvl="0">
      <w:lvlJc w:val="left"/>
      <w:lvlText w:val="%1."/>
      <w:numFmt w:val="decimal"/>
      <w:start w:val="10"/>
    </w:lvl>
  </w:abstractNum>
  <w:abstractNum w:abstractNumId="9">
    <w:nsid w:val="1F16E9E8"/>
    <w:multiLevelType w:val="hybridMultilevel"/>
    <w:lvl w:ilvl="0">
      <w:lvlJc w:val="left"/>
      <w:lvlText w:val="%1."/>
      <w:numFmt w:val="decimal"/>
      <w:start w:val="11"/>
    </w:lvl>
  </w:abstractNum>
  <w:abstractNum w:abstractNumId="10">
    <w:nsid w:val="1190CDE7"/>
    <w:multiLevelType w:val="hybridMultilevel"/>
    <w:lvl w:ilvl="0">
      <w:lvlJc w:val="left"/>
      <w:lvlText w:val="%1."/>
      <w:numFmt w:val="decimal"/>
      <w:start w:val="12"/>
    </w:lvl>
  </w:abstractNum>
  <w:abstractNum w:abstractNumId="11">
    <w:nsid w:val="66EF438D"/>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2019-12-07T15:09:21Z</dcterms:created>
  <dcterms:modified xsi:type="dcterms:W3CDTF">2019-12-07T15:09:21Z</dcterms:modified>
</cp:coreProperties>
</file>