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1789430</wp:posOffset>
            </wp:positionH>
            <wp:positionV relativeFrom="paragraph">
              <wp:posOffset>176530</wp:posOffset>
            </wp:positionV>
            <wp:extent cx="36277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1789430</wp:posOffset>
            </wp:positionH>
            <wp:positionV relativeFrom="paragraph">
              <wp:posOffset>192405</wp:posOffset>
            </wp:positionV>
            <wp:extent cx="36277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4"/>
          <w:szCs w:val="24"/>
          <w:color w:val="auto"/>
        </w:rPr>
      </w:pPr>
    </w:p>
    <w:p>
      <w:pPr>
        <w:spacing w:after="0" w:line="375" w:lineRule="exact"/>
        <w:rPr>
          <w:sz w:val="24"/>
          <w:szCs w:val="24"/>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AND NOTICE OF TERMINATION OF REGISTRATION UNDER SECTION 12(g) OF THE SECURITIES EXCHANGE ACT OF 1934 OR SUSPENSION OF DUTY TO FILE REPORTS UNDER SECTIONS 13 AND 15(d) OF THE SECURITIES EXCHANGE ACT OF 1934.</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001-34180</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Fluidigm Corporation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7000 Shoreline Court, Suite 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South San Francisco, California 94080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266-6000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Preferred Share Purchase Rights</w:t>
      </w:r>
      <w:r>
        <w:rPr>
          <w:rFonts w:ascii="Arial" w:cs="Arial" w:eastAsia="Arial" w:hAnsi="Arial"/>
          <w:sz w:val="30"/>
          <w:szCs w:val="30"/>
          <w:b w:val="1"/>
          <w:bCs w:val="1"/>
          <w:color w:val="auto"/>
          <w:vertAlign w:val="superscript"/>
        </w:rPr>
        <w:t>(1)</w:t>
      </w:r>
    </w:p>
    <w:p>
      <w:pPr>
        <w:jc w:val="center"/>
        <w:spacing w:after="0"/>
        <w:rPr>
          <w:sz w:val="20"/>
          <w:szCs w:val="20"/>
          <w:color w:val="auto"/>
        </w:rPr>
      </w:pPr>
      <w:r>
        <w:rPr>
          <w:rFonts w:ascii="Arial" w:cs="Arial" w:eastAsia="Arial" w:hAnsi="Arial"/>
          <w:sz w:val="18"/>
          <w:szCs w:val="18"/>
          <w:color w:val="auto"/>
        </w:rPr>
        <w:t>(Title of each class of securities covered by this Form)</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 $0.001 par value per share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(Titles of all other classes of securities for which a duty to file reports under section 13(a) or 15(d) remains)</w:t>
      </w: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Please place an X in the box(es) to designate the appropriate rule provision(s) relied upon to terminate or suspend the duty to file reports:</w:t>
      </w:r>
    </w:p>
    <w:p>
      <w:pPr>
        <w:sectPr>
          <w:pgSz w:w="11900" w:h="16838" w:orient="portrait"/>
          <w:cols w:equalWidth="0" w:num="1">
            <w:col w:w="11360"/>
          </w:cols>
          <w:pgMar w:left="280" w:top="562" w:right="259" w:bottom="1440" w:gutter="0" w:footer="0" w:header="0"/>
        </w:sectPr>
      </w:pPr>
    </w:p>
    <w:p>
      <w:pPr>
        <w:spacing w:after="0" w:line="225" w:lineRule="exact"/>
        <w:rPr>
          <w:sz w:val="24"/>
          <w:szCs w:val="24"/>
          <w:color w:val="auto"/>
        </w:rPr>
      </w:pPr>
    </w:p>
    <w:p>
      <w:pPr>
        <w:ind w:left="2620"/>
        <w:spacing w:after="0"/>
        <w:rPr>
          <w:sz w:val="20"/>
          <w:szCs w:val="20"/>
          <w:color w:val="auto"/>
        </w:rPr>
      </w:pPr>
      <w:r>
        <w:rPr>
          <w:rFonts w:ascii="Arial" w:cs="Arial" w:eastAsia="Arial" w:hAnsi="Arial"/>
          <w:sz w:val="18"/>
          <w:szCs w:val="18"/>
          <w:color w:val="auto"/>
        </w:rPr>
        <w:t>Rule 12g-4(a)(1)</w:t>
      </w:r>
    </w:p>
    <w:p>
      <w:pPr>
        <w:spacing w:after="0" w:line="23" w:lineRule="exact"/>
        <w:rPr>
          <w:sz w:val="24"/>
          <w:szCs w:val="24"/>
          <w:color w:val="auto"/>
        </w:rPr>
      </w:pPr>
    </w:p>
    <w:p>
      <w:pPr>
        <w:ind w:left="2620"/>
        <w:spacing w:after="0"/>
        <w:rPr>
          <w:sz w:val="20"/>
          <w:szCs w:val="20"/>
          <w:color w:val="auto"/>
        </w:rPr>
      </w:pPr>
      <w:r>
        <w:rPr>
          <w:rFonts w:ascii="Arial" w:cs="Arial" w:eastAsia="Arial" w:hAnsi="Arial"/>
          <w:sz w:val="18"/>
          <w:szCs w:val="18"/>
          <w:color w:val="auto"/>
        </w:rPr>
        <w:t>Rule 12g-4(a)(2)</w:t>
      </w:r>
    </w:p>
    <w:p>
      <w:pPr>
        <w:spacing w:after="0" w:line="9" w:lineRule="exact"/>
        <w:rPr>
          <w:sz w:val="24"/>
          <w:szCs w:val="24"/>
          <w:color w:val="auto"/>
        </w:rPr>
      </w:pPr>
    </w:p>
    <w:p>
      <w:pPr>
        <w:ind w:left="2620"/>
        <w:spacing w:after="0"/>
        <w:rPr>
          <w:sz w:val="20"/>
          <w:szCs w:val="20"/>
          <w:color w:val="auto"/>
        </w:rPr>
      </w:pPr>
      <w:r>
        <w:rPr>
          <w:rFonts w:ascii="Arial" w:cs="Arial" w:eastAsia="Arial" w:hAnsi="Arial"/>
          <w:sz w:val="17"/>
          <w:szCs w:val="17"/>
          <w:color w:val="auto"/>
        </w:rPr>
        <w:t>Rule 12h-3(b)(1)(i)</w:t>
      </w:r>
    </w:p>
    <w:p>
      <w:pPr>
        <w:spacing w:after="0" w:line="21" w:lineRule="exact"/>
        <w:rPr>
          <w:sz w:val="24"/>
          <w:szCs w:val="24"/>
          <w:color w:val="auto"/>
        </w:rPr>
      </w:pPr>
    </w:p>
    <w:p>
      <w:pPr>
        <w:ind w:left="2620"/>
        <w:spacing w:after="0"/>
        <w:rPr>
          <w:sz w:val="20"/>
          <w:szCs w:val="20"/>
          <w:color w:val="auto"/>
        </w:rPr>
      </w:pPr>
      <w:r>
        <w:rPr>
          <w:rFonts w:ascii="Arial" w:cs="Arial" w:eastAsia="Arial" w:hAnsi="Arial"/>
          <w:sz w:val="17"/>
          <w:szCs w:val="17"/>
          <w:color w:val="auto"/>
        </w:rPr>
        <w:t>Rule 12h-3(b)(1)(ii)</w:t>
      </w:r>
    </w:p>
    <w:p>
      <w:pPr>
        <w:spacing w:after="0" w:line="21" w:lineRule="exact"/>
        <w:rPr>
          <w:sz w:val="24"/>
          <w:szCs w:val="24"/>
          <w:color w:val="auto"/>
        </w:rPr>
      </w:pPr>
    </w:p>
    <w:p>
      <w:pPr>
        <w:ind w:left="2620"/>
        <w:spacing w:after="0"/>
        <w:rPr>
          <w:sz w:val="20"/>
          <w:szCs w:val="20"/>
          <w:color w:val="auto"/>
        </w:rPr>
      </w:pPr>
      <w:r>
        <w:rPr>
          <w:rFonts w:ascii="Arial" w:cs="Arial" w:eastAsia="Arial" w:hAnsi="Arial"/>
          <w:sz w:val="18"/>
          <w:szCs w:val="18"/>
          <w:color w:val="auto"/>
        </w:rPr>
        <w:t>Rule 15d-6</w:t>
      </w:r>
    </w:p>
    <w:p>
      <w:pPr>
        <w:spacing w:after="0" w:line="9" w:lineRule="exact"/>
        <w:rPr>
          <w:sz w:val="24"/>
          <w:szCs w:val="24"/>
          <w:color w:val="auto"/>
        </w:rPr>
      </w:pPr>
    </w:p>
    <w:p>
      <w:pPr>
        <w:ind w:left="2620"/>
        <w:spacing w:after="0"/>
        <w:rPr>
          <w:sz w:val="20"/>
          <w:szCs w:val="20"/>
          <w:color w:val="auto"/>
        </w:rPr>
      </w:pPr>
      <w:r>
        <w:rPr>
          <w:rFonts w:ascii="Arial" w:cs="Arial" w:eastAsia="Arial" w:hAnsi="Arial"/>
          <w:sz w:val="18"/>
          <w:szCs w:val="18"/>
          <w:color w:val="auto"/>
        </w:rPr>
        <w:t>Rule 15d-22(b)</w:t>
      </w:r>
    </w:p>
    <w:p>
      <w:pPr>
        <w:spacing w:after="0" w:line="20" w:lineRule="exact"/>
        <w:rPr>
          <w:sz w:val="24"/>
          <w:szCs w:val="24"/>
          <w:color w:val="auto"/>
        </w:rPr>
      </w:pPr>
      <w:r>
        <w:rPr>
          <w:sz w:val="24"/>
          <w:szCs w:val="24"/>
          <w:color w:val="auto"/>
        </w:rPr>
        <w:br w:type="column"/>
      </w:r>
    </w:p>
    <w:p>
      <w:pPr>
        <w:spacing w:after="0" w:line="1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1" w:lineRule="exact"/>
        <w:rPr>
          <w:sz w:val="24"/>
          <w:szCs w:val="24"/>
          <w:color w:val="auto"/>
        </w:rPr>
      </w:pPr>
    </w:p>
    <w:p>
      <w:pPr>
        <w:sectPr>
          <w:pgSz w:w="11900" w:h="16838" w:orient="portrait"/>
          <w:cols w:equalWidth="0" w:num="2">
            <w:col w:w="4060" w:space="620"/>
            <w:col w:w="6680"/>
          </w:cols>
          <w:pgMar w:left="280" w:top="562" w:right="259" w:bottom="1440" w:gutter="0" w:footer="0" w:header="0"/>
          <w:type w:val="continuous"/>
        </w:sectPr>
      </w:pPr>
    </w:p>
    <w:p>
      <w:pPr>
        <w:spacing w:after="0" w:line="11" w:lineRule="exact"/>
        <w:rPr>
          <w:sz w:val="24"/>
          <w:szCs w:val="24"/>
          <w:color w:val="auto"/>
        </w:rPr>
      </w:pPr>
    </w:p>
    <w:p>
      <w:pPr>
        <w:ind w:left="320"/>
        <w:spacing w:after="0"/>
        <w:rPr>
          <w:sz w:val="20"/>
          <w:szCs w:val="20"/>
          <w:color w:val="auto"/>
        </w:rPr>
      </w:pPr>
      <w:r>
        <w:rPr>
          <w:rFonts w:ascii="Arial" w:cs="Arial" w:eastAsia="Arial" w:hAnsi="Arial"/>
          <w:sz w:val="16"/>
          <w:szCs w:val="16"/>
          <w:color w:val="auto"/>
        </w:rPr>
        <w:t>Approximate number of holders of record as of the certification or notice date: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338455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355600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843915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80" w:top="562" w:right="25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Fluidigm Corporation has caused this certification/notice to be signed on its behalf by the undersigned duly authorized person.</w:t>
      </w:r>
    </w:p>
    <w:p>
      <w:pPr>
        <w:spacing w:after="0" w:line="16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7100" w:type="dxa"/>
            <w:vAlign w:val="bottom"/>
            <w:gridSpan w:val="2"/>
          </w:tcPr>
          <w:p>
            <w:pPr>
              <w:ind w:left="1980"/>
              <w:spacing w:after="0"/>
              <w:rPr>
                <w:sz w:val="20"/>
                <w:szCs w:val="20"/>
                <w:color w:val="auto"/>
              </w:rPr>
            </w:pPr>
            <w:r>
              <w:rPr>
                <w:rFonts w:ascii="Arial" w:cs="Arial" w:eastAsia="Arial" w:hAnsi="Arial"/>
                <w:sz w:val="18"/>
                <w:szCs w:val="18"/>
                <w:b w:val="1"/>
                <w:bCs w:val="1"/>
                <w:color w:val="auto"/>
              </w:rPr>
              <w:t>FLUIDIGM CORPORATION</w:t>
            </w:r>
          </w:p>
        </w:tc>
      </w:tr>
      <w:tr>
        <w:trPr>
          <w:trHeight w:val="432"/>
        </w:trPr>
        <w:tc>
          <w:tcPr>
            <w:tcW w:w="3740" w:type="dxa"/>
            <w:vAlign w:val="bottom"/>
          </w:tcPr>
          <w:p>
            <w:pPr>
              <w:spacing w:after="0"/>
              <w:rPr>
                <w:sz w:val="20"/>
                <w:szCs w:val="20"/>
                <w:color w:val="auto"/>
              </w:rPr>
            </w:pPr>
            <w:r>
              <w:rPr>
                <w:rFonts w:ascii="Arial" w:cs="Arial" w:eastAsia="Arial" w:hAnsi="Arial"/>
                <w:sz w:val="18"/>
                <w:szCs w:val="18"/>
                <w:color w:val="auto"/>
              </w:rPr>
              <w:t>Date:  August 17, 2017</w:t>
            </w:r>
          </w:p>
        </w:tc>
        <w:tc>
          <w:tcPr>
            <w:tcW w:w="2520" w:type="dxa"/>
            <w:vAlign w:val="bottom"/>
          </w:tcPr>
          <w:p>
            <w:pPr>
              <w:ind w:left="1980"/>
              <w:spacing w:after="0"/>
              <w:rPr>
                <w:sz w:val="20"/>
                <w:szCs w:val="20"/>
                <w:color w:val="auto"/>
              </w:rPr>
            </w:pPr>
            <w:r>
              <w:rPr>
                <w:rFonts w:ascii="Arial" w:cs="Arial" w:eastAsia="Arial" w:hAnsi="Arial"/>
                <w:sz w:val="18"/>
                <w:szCs w:val="18"/>
                <w:color w:val="auto"/>
              </w:rPr>
              <w:t>By:</w:t>
            </w:r>
          </w:p>
        </w:tc>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/s/Vikram Jog</w:t>
            </w:r>
          </w:p>
        </w:tc>
      </w:tr>
      <w:tr>
        <w:trPr>
          <w:trHeight w:val="195"/>
        </w:trPr>
        <w:tc>
          <w:tcPr>
            <w:tcW w:w="3740" w:type="dxa"/>
            <w:vAlign w:val="bottom"/>
          </w:tcPr>
          <w:p>
            <w:pPr>
              <w:spacing w:after="0"/>
              <w:rPr>
                <w:sz w:val="16"/>
                <w:szCs w:val="16"/>
                <w:color w:val="auto"/>
              </w:rPr>
            </w:pPr>
          </w:p>
        </w:tc>
        <w:tc>
          <w:tcPr>
            <w:tcW w:w="2520" w:type="dxa"/>
            <w:vAlign w:val="bottom"/>
          </w:tcPr>
          <w:p>
            <w:pPr>
              <w:ind w:left="1980"/>
              <w:spacing w:after="0" w:line="195" w:lineRule="exact"/>
              <w:rPr>
                <w:sz w:val="20"/>
                <w:szCs w:val="20"/>
                <w:color w:val="auto"/>
              </w:rPr>
            </w:pPr>
            <w:r>
              <w:rPr>
                <w:rFonts w:ascii="Arial" w:cs="Arial" w:eastAsia="Arial" w:hAnsi="Arial"/>
                <w:sz w:val="18"/>
                <w:szCs w:val="18"/>
                <w:color w:val="auto"/>
                <w:w w:val="98"/>
              </w:rPr>
              <w:t>Name:</w:t>
            </w:r>
          </w:p>
        </w:tc>
        <w:tc>
          <w:tcPr>
            <w:tcW w:w="4580" w:type="dxa"/>
            <w:vAlign w:val="bottom"/>
          </w:tcPr>
          <w:p>
            <w:pPr>
              <w:ind w:left="20"/>
              <w:spacing w:after="0" w:line="195" w:lineRule="exact"/>
              <w:rPr>
                <w:sz w:val="20"/>
                <w:szCs w:val="20"/>
                <w:color w:val="auto"/>
              </w:rPr>
            </w:pPr>
            <w:r>
              <w:rPr>
                <w:rFonts w:ascii="Arial" w:cs="Arial" w:eastAsia="Arial" w:hAnsi="Arial"/>
                <w:sz w:val="18"/>
                <w:szCs w:val="18"/>
                <w:color w:val="auto"/>
              </w:rPr>
              <w:t>Vikram Jog</w:t>
            </w:r>
          </w:p>
        </w:tc>
      </w:tr>
      <w:tr>
        <w:trPr>
          <w:trHeight w:val="230"/>
        </w:trPr>
        <w:tc>
          <w:tcPr>
            <w:tcW w:w="3740" w:type="dxa"/>
            <w:vAlign w:val="bottom"/>
          </w:tcPr>
          <w:p>
            <w:pPr>
              <w:spacing w:after="0"/>
              <w:rPr>
                <w:sz w:val="20"/>
                <w:szCs w:val="20"/>
                <w:color w:val="auto"/>
              </w:rPr>
            </w:pPr>
          </w:p>
        </w:tc>
        <w:tc>
          <w:tcPr>
            <w:tcW w:w="2520" w:type="dxa"/>
            <w:vAlign w:val="bottom"/>
          </w:tcPr>
          <w:p>
            <w:pPr>
              <w:ind w:left="1980"/>
              <w:spacing w:after="0"/>
              <w:rPr>
                <w:sz w:val="20"/>
                <w:szCs w:val="20"/>
                <w:color w:val="auto"/>
              </w:rPr>
            </w:pPr>
            <w:r>
              <w:rPr>
                <w:rFonts w:ascii="Arial" w:cs="Arial" w:eastAsia="Arial" w:hAnsi="Arial"/>
                <w:sz w:val="18"/>
                <w:szCs w:val="18"/>
                <w:color w:val="auto"/>
              </w:rPr>
              <w:t>Title:</w:t>
            </w:r>
          </w:p>
        </w:tc>
        <w:tc>
          <w:tcPr>
            <w:tcW w:w="45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242" w:lineRule="exact"/>
        <w:rPr>
          <w:sz w:val="20"/>
          <w:szCs w:val="20"/>
          <w:color w:val="auto"/>
        </w:rPr>
      </w:pPr>
    </w:p>
    <w:p>
      <w:pPr>
        <w:ind w:firstLine="8"/>
        <w:spacing w:after="0" w:line="238" w:lineRule="auto"/>
        <w:tabs>
          <w:tab w:leader="none" w:pos="220" w:val="left"/>
        </w:tabs>
        <w:numPr>
          <w:ilvl w:val="0"/>
          <w:numId w:val="1"/>
        </w:numPr>
        <w:rPr>
          <w:rFonts w:ascii="Arial" w:cs="Arial" w:eastAsia="Arial" w:hAnsi="Arial"/>
          <w:sz w:val="26"/>
          <w:szCs w:val="26"/>
          <w:color w:val="auto"/>
          <w:vertAlign w:val="superscript"/>
        </w:rPr>
      </w:pPr>
      <w:r>
        <w:rPr>
          <w:rFonts w:ascii="Arial" w:cs="Arial" w:eastAsia="Arial" w:hAnsi="Arial"/>
          <w:sz w:val="16"/>
          <w:szCs w:val="16"/>
          <w:color w:val="auto"/>
        </w:rPr>
        <w:t>The Preferred Share Purchase Rights (the “Rights”) expired on August 1, 2017 pursuant to the terms of the Tax Benefit Preservation Plan (the “Plan”), dated as of November 21, 2016, between Fluidigm Corporation (the “Company”) and Computershare Inc., as rights agent. The Company initially filed a Form 8-A to register the Rights on November 22, 2016.</w:t>
      </w:r>
    </w:p>
    <w:p>
      <w:pPr>
        <w:spacing w:after="0" w:line="203"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Instruction: This form is required by Rules 12g-4, 12h-3 and 15d-6 and 15d-22 of the General Rules and Regulations under the Securities Exchange Act of 1934. The registrant shall file with the Commission three copies of Form 15, one of which shall be manually signed. It may be signed by an officer of the registrant, by counsel or by any other duly authorized person. The name and title of the person signing the form shall be typed or printed under the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410845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2019-12-06T17:12:31Z</dcterms:created>
  <dcterms:modified xsi:type="dcterms:W3CDTF">2019-12-06T17:12:31Z</dcterms:modified>
</cp:coreProperties>
</file>