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3</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Fluidigm 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34385P108</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172,697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2,904,590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172,697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2,915,130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3,087,827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10.9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Fluidigm Corp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7000 Shoreline Court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Suite 100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South San Francisco, California 94080</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34385P108</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3,087,827 See Exhibit A</w:t>
      </w:r>
    </w:p>
    <w:p>
      <w:pPr>
        <w:sectPr>
          <w:pgSz w:w="11900" w:h="16899"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 Percent of Class: 10.9</w:t>
      </w:r>
    </w:p>
    <w:p>
      <w:pPr>
        <w:sectPr>
          <w:pgSz w:w="11900" w:h="16838" w:orient="portrait"/>
          <w:cols w:equalWidth="0" w:num="1">
            <w:col w:w="10219"/>
          </w:cols>
          <w:pgMar w:left="240" w:top="329" w:right="1440" w:bottom="287"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329" w:right="1440" w:bottom="287"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172,697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680" w:space="200"/>
            <w:col w:w="689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329" w:right="1440" w:bottom="287"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2,904,590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329" w:right="1440" w:bottom="287"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172,697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329" w:right="1440" w:bottom="287"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2,915,130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329" w:right="1440" w:bottom="287"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Our clients may have the right to receive or the power to direct the receipt of dividends from, or the proceeds from the sale of, such securities which are the subject of this filing.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jc w:val="both"/>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01/27/2015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12/31/2014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0219"/>
          </w:cols>
          <w:pgMar w:left="240" w:top="329" w:right="1440" w:bottom="287" w:gutter="0" w:footer="0" w:header="0"/>
          <w:type w:val="continuous"/>
        </w:sectPr>
      </w:pPr>
    </w:p>
    <w:bookmarkStart w:id="2" w:name="page3"/>
    <w:bookmarkEnd w:id="2"/>
    <w:p>
      <w:pPr>
        <w:ind w:right="2719"/>
        <w:spacing w:after="0" w:line="251"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 discretion over 3,087,827 shares.</w:t>
      </w:r>
    </w:p>
    <w:p>
      <w:pPr>
        <w:spacing w:after="0" w:line="18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Number of</w:t>
            </w:r>
          </w:p>
        </w:tc>
        <w:tc>
          <w:tcPr>
            <w:tcW w:w="1060" w:type="dxa"/>
            <w:vAlign w:val="bottom"/>
          </w:tcPr>
          <w:p>
            <w:pPr>
              <w:ind w:left="80"/>
              <w:spacing w:after="0"/>
              <w:rPr>
                <w:sz w:val="20"/>
                <w:szCs w:val="20"/>
                <w:color w:val="auto"/>
              </w:rPr>
            </w:pPr>
            <w:r>
              <w:rPr>
                <w:rFonts w:ascii="Courier New" w:cs="Courier New" w:eastAsia="Courier New" w:hAnsi="Courier New"/>
                <w:sz w:val="16"/>
                <w:szCs w:val="16"/>
                <w:color w:val="auto"/>
                <w:w w:val="99"/>
              </w:rPr>
              <w:t>Percentage</w:t>
            </w:r>
          </w:p>
        </w:tc>
      </w:tr>
      <w:tr>
        <w:trPr>
          <w:trHeight w:val="189"/>
        </w:trPr>
        <w:tc>
          <w:tcPr>
            <w:tcW w:w="4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060" w:type="dxa"/>
            <w:vAlign w:val="bottom"/>
          </w:tcPr>
          <w:p>
            <w:pPr>
              <w:spacing w:after="0"/>
              <w:rPr>
                <w:sz w:val="16"/>
                <w:szCs w:val="16"/>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IC, 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3,085,827</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9"/>
              </w:rPr>
              <w:t>10.92</w:t>
            </w: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Prudential Investment Management, Inc.</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9"/>
              </w:rPr>
              <w:t>2,000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0.01</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2019-12-07T19:49:39Z</dcterms:created>
  <dcterms:modified xsi:type="dcterms:W3CDTF">2019-12-07T19:49:39Z</dcterms:modified>
</cp:coreProperties>
</file>