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ind w:left="4520"/>
        <w:spacing w:after="0"/>
        <w:rPr>
          <w:sz w:val="20"/>
          <w:szCs w:val="20"/>
          <w:color w:val="auto"/>
        </w:rPr>
      </w:pPr>
      <w:r>
        <w:rPr>
          <w:rFonts w:ascii="Arial" w:cs="Arial" w:eastAsia="Arial" w:hAnsi="Arial"/>
          <w:sz w:val="18"/>
          <w:szCs w:val="18"/>
          <w:color w:val="auto"/>
        </w:rPr>
        <w:t>__________________________</w:t>
      </w:r>
    </w:p>
    <w:p>
      <w:pPr>
        <w:spacing w:after="0" w:line="15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13"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6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August 18, 2015</w:t>
      </w:r>
    </w:p>
    <w:p>
      <w:pPr>
        <w:spacing w:after="0" w:line="192"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15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FLUIDIGM CORPORATION</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82" w:lineRule="exact"/>
        <w:rPr>
          <w:sz w:val="24"/>
          <w:szCs w:val="24"/>
          <w:color w:val="auto"/>
        </w:rPr>
      </w:pPr>
    </w:p>
    <w:tbl>
      <w:tblPr>
        <w:tblLayout w:type="fixed"/>
        <w:tblInd w:w="68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p>
        </w:tc>
        <w:tc>
          <w:tcPr>
            <w:tcW w:w="5460" w:type="dxa"/>
            <w:vAlign w:val="bottom"/>
          </w:tcPr>
          <w:p>
            <w:pPr>
              <w:jc w:val="right"/>
              <w:ind w:right="1558"/>
              <w:spacing w:after="0"/>
              <w:rPr>
                <w:sz w:val="20"/>
                <w:szCs w:val="20"/>
                <w:color w:val="auto"/>
              </w:rPr>
            </w:pPr>
            <w:r>
              <w:rPr>
                <w:rFonts w:ascii="Arial" w:cs="Arial" w:eastAsia="Arial" w:hAnsi="Arial"/>
                <w:sz w:val="18"/>
                <w:szCs w:val="18"/>
                <w:color w:val="auto"/>
              </w:rPr>
              <w:t>__________________________</w:t>
            </w:r>
          </w:p>
        </w:tc>
        <w:tc>
          <w:tcPr>
            <w:tcW w:w="2040" w:type="dxa"/>
            <w:vAlign w:val="bottom"/>
          </w:tcPr>
          <w:p>
            <w:pPr>
              <w:spacing w:after="0"/>
              <w:rPr>
                <w:sz w:val="20"/>
                <w:szCs w:val="20"/>
                <w:color w:val="auto"/>
              </w:rPr>
            </w:pPr>
          </w:p>
        </w:tc>
      </w:tr>
      <w:tr>
        <w:trPr>
          <w:trHeight w:val="378"/>
        </w:trPr>
        <w:tc>
          <w:tcPr>
            <w:tcW w:w="2380" w:type="dxa"/>
            <w:vAlign w:val="bottom"/>
          </w:tcPr>
          <w:p>
            <w:pPr>
              <w:jc w:val="center"/>
              <w:ind w:right="662"/>
              <w:spacing w:after="0"/>
              <w:rPr>
                <w:sz w:val="20"/>
                <w:szCs w:val="20"/>
                <w:color w:val="auto"/>
              </w:rPr>
            </w:pPr>
            <w:r>
              <w:rPr>
                <w:rFonts w:ascii="Arial" w:cs="Arial" w:eastAsia="Arial" w:hAnsi="Arial"/>
                <w:sz w:val="18"/>
                <w:szCs w:val="18"/>
                <w:b w:val="1"/>
                <w:bCs w:val="1"/>
                <w:color w:val="auto"/>
                <w:w w:val="91"/>
              </w:rPr>
              <w:t>Delaware</w:t>
            </w:r>
          </w:p>
        </w:tc>
        <w:tc>
          <w:tcPr>
            <w:tcW w:w="5460" w:type="dxa"/>
            <w:vAlign w:val="bottom"/>
          </w:tcPr>
          <w:p>
            <w:pPr>
              <w:ind w:left="2340"/>
              <w:spacing w:after="0"/>
              <w:rPr>
                <w:sz w:val="20"/>
                <w:szCs w:val="20"/>
                <w:color w:val="auto"/>
              </w:rPr>
            </w:pPr>
            <w:r>
              <w:rPr>
                <w:rFonts w:ascii="Arial" w:cs="Arial" w:eastAsia="Arial" w:hAnsi="Arial"/>
                <w:sz w:val="18"/>
                <w:szCs w:val="18"/>
                <w:b w:val="1"/>
                <w:bCs w:val="1"/>
                <w:color w:val="auto"/>
              </w:rPr>
              <w:t>001-34180</w:t>
            </w:r>
          </w:p>
        </w:tc>
        <w:tc>
          <w:tcPr>
            <w:tcW w:w="2040" w:type="dxa"/>
            <w:vAlign w:val="bottom"/>
          </w:tcPr>
          <w:p>
            <w:pPr>
              <w:jc w:val="center"/>
              <w:ind w:left="842"/>
              <w:spacing w:after="0"/>
              <w:rPr>
                <w:sz w:val="20"/>
                <w:szCs w:val="20"/>
                <w:color w:val="auto"/>
              </w:rPr>
            </w:pPr>
            <w:r>
              <w:rPr>
                <w:rFonts w:ascii="Arial" w:cs="Arial" w:eastAsia="Arial" w:hAnsi="Arial"/>
                <w:sz w:val="18"/>
                <w:szCs w:val="18"/>
                <w:b w:val="1"/>
                <w:bCs w:val="1"/>
                <w:color w:val="auto"/>
                <w:w w:val="91"/>
              </w:rPr>
              <w:t>77-0513190</w:t>
            </w:r>
          </w:p>
        </w:tc>
      </w:tr>
      <w:tr>
        <w:trPr>
          <w:trHeight w:val="180"/>
        </w:trPr>
        <w:tc>
          <w:tcPr>
            <w:tcW w:w="2380" w:type="dxa"/>
            <w:vAlign w:val="bottom"/>
          </w:tcPr>
          <w:p>
            <w:pPr>
              <w:jc w:val="center"/>
              <w:ind w:right="662"/>
              <w:spacing w:after="0"/>
              <w:rPr>
                <w:sz w:val="20"/>
                <w:szCs w:val="20"/>
                <w:color w:val="auto"/>
              </w:rPr>
            </w:pPr>
            <w:r>
              <w:rPr>
                <w:rFonts w:ascii="Arial" w:cs="Arial" w:eastAsia="Arial" w:hAnsi="Arial"/>
                <w:sz w:val="14"/>
                <w:szCs w:val="14"/>
                <w:b w:val="1"/>
                <w:bCs w:val="1"/>
                <w:color w:val="auto"/>
                <w:w w:val="93"/>
              </w:rPr>
              <w:t>(State or other jurisdiction</w:t>
            </w:r>
          </w:p>
        </w:tc>
        <w:tc>
          <w:tcPr>
            <w:tcW w:w="5460" w:type="dxa"/>
            <w:vAlign w:val="bottom"/>
          </w:tcPr>
          <w:p>
            <w:pPr>
              <w:ind w:left="2320"/>
              <w:spacing w:after="0"/>
              <w:rPr>
                <w:sz w:val="20"/>
                <w:szCs w:val="20"/>
                <w:color w:val="auto"/>
              </w:rPr>
            </w:pPr>
            <w:r>
              <w:rPr>
                <w:rFonts w:ascii="Arial" w:cs="Arial" w:eastAsia="Arial" w:hAnsi="Arial"/>
                <w:sz w:val="14"/>
                <w:szCs w:val="14"/>
                <w:b w:val="1"/>
                <w:bCs w:val="1"/>
                <w:color w:val="auto"/>
              </w:rPr>
              <w:t>(Commission</w:t>
            </w:r>
          </w:p>
        </w:tc>
        <w:tc>
          <w:tcPr>
            <w:tcW w:w="2040" w:type="dxa"/>
            <w:vAlign w:val="bottom"/>
          </w:tcPr>
          <w:p>
            <w:pPr>
              <w:jc w:val="center"/>
              <w:ind w:left="822"/>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2380" w:type="dxa"/>
            <w:vAlign w:val="bottom"/>
          </w:tcPr>
          <w:p>
            <w:pPr>
              <w:jc w:val="center"/>
              <w:ind w:right="682"/>
              <w:spacing w:after="0"/>
              <w:rPr>
                <w:sz w:val="20"/>
                <w:szCs w:val="20"/>
                <w:color w:val="auto"/>
              </w:rPr>
            </w:pPr>
            <w:r>
              <w:rPr>
                <w:rFonts w:ascii="Arial" w:cs="Arial" w:eastAsia="Arial" w:hAnsi="Arial"/>
                <w:sz w:val="14"/>
                <w:szCs w:val="14"/>
                <w:b w:val="1"/>
                <w:bCs w:val="1"/>
                <w:color w:val="auto"/>
                <w:w w:val="94"/>
              </w:rPr>
              <w:t>of incorporation)</w:t>
            </w:r>
          </w:p>
        </w:tc>
        <w:tc>
          <w:tcPr>
            <w:tcW w:w="5460" w:type="dxa"/>
            <w:vAlign w:val="bottom"/>
          </w:tcPr>
          <w:p>
            <w:pPr>
              <w:ind w:left="2300"/>
              <w:spacing w:after="0"/>
              <w:rPr>
                <w:sz w:val="20"/>
                <w:szCs w:val="20"/>
                <w:color w:val="auto"/>
              </w:rPr>
            </w:pPr>
            <w:r>
              <w:rPr>
                <w:rFonts w:ascii="Arial" w:cs="Arial" w:eastAsia="Arial" w:hAnsi="Arial"/>
                <w:sz w:val="14"/>
                <w:szCs w:val="14"/>
                <w:b w:val="1"/>
                <w:bCs w:val="1"/>
                <w:color w:val="auto"/>
              </w:rPr>
              <w:t>File Number)</w:t>
            </w:r>
          </w:p>
        </w:tc>
        <w:tc>
          <w:tcPr>
            <w:tcW w:w="2040" w:type="dxa"/>
            <w:vAlign w:val="bottom"/>
          </w:tcPr>
          <w:p>
            <w:pPr>
              <w:jc w:val="center"/>
              <w:ind w:left="842"/>
              <w:spacing w:after="0"/>
              <w:rPr>
                <w:sz w:val="20"/>
                <w:szCs w:val="20"/>
                <w:color w:val="auto"/>
              </w:rPr>
            </w:pPr>
            <w:r>
              <w:rPr>
                <w:rFonts w:ascii="Arial" w:cs="Arial" w:eastAsia="Arial" w:hAnsi="Arial"/>
                <w:sz w:val="14"/>
                <w:szCs w:val="14"/>
                <w:b w:val="1"/>
                <w:bCs w:val="1"/>
                <w:color w:val="auto"/>
                <w:w w:val="94"/>
              </w:rPr>
              <w:t>Identification No.)</w:t>
            </w:r>
          </w:p>
        </w:tc>
      </w:tr>
      <w:tr>
        <w:trPr>
          <w:trHeight w:val="372"/>
        </w:trPr>
        <w:tc>
          <w:tcPr>
            <w:tcW w:w="2380" w:type="dxa"/>
            <w:vAlign w:val="bottom"/>
          </w:tcPr>
          <w:p>
            <w:pPr>
              <w:spacing w:after="0"/>
              <w:rPr>
                <w:sz w:val="24"/>
                <w:szCs w:val="24"/>
                <w:color w:val="auto"/>
              </w:rPr>
            </w:pPr>
          </w:p>
        </w:tc>
        <w:tc>
          <w:tcPr>
            <w:tcW w:w="5460" w:type="dxa"/>
            <w:vAlign w:val="bottom"/>
          </w:tcPr>
          <w:p>
            <w:pPr>
              <w:jc w:val="center"/>
              <w:ind w:right="78"/>
              <w:spacing w:after="0"/>
              <w:rPr>
                <w:sz w:val="20"/>
                <w:szCs w:val="20"/>
                <w:color w:val="auto"/>
              </w:rPr>
            </w:pPr>
            <w:r>
              <w:rPr>
                <w:rFonts w:ascii="Arial" w:cs="Arial" w:eastAsia="Arial" w:hAnsi="Arial"/>
                <w:sz w:val="18"/>
                <w:szCs w:val="18"/>
                <w:b w:val="1"/>
                <w:bCs w:val="1"/>
                <w:color w:val="auto"/>
                <w:w w:val="89"/>
              </w:rPr>
              <w:t>7000 Shoreline Court, Suite 100</w:t>
            </w:r>
          </w:p>
        </w:tc>
        <w:tc>
          <w:tcPr>
            <w:tcW w:w="2040" w:type="dxa"/>
            <w:vAlign w:val="bottom"/>
          </w:tcPr>
          <w:p>
            <w:pPr>
              <w:spacing w:after="0"/>
              <w:rPr>
                <w:sz w:val="24"/>
                <w:szCs w:val="24"/>
                <w:color w:val="auto"/>
              </w:rPr>
            </w:pPr>
          </w:p>
        </w:tc>
      </w:tr>
      <w:tr>
        <w:trPr>
          <w:trHeight w:val="212"/>
        </w:trPr>
        <w:tc>
          <w:tcPr>
            <w:tcW w:w="2380" w:type="dxa"/>
            <w:vAlign w:val="bottom"/>
          </w:tcPr>
          <w:p>
            <w:pPr>
              <w:spacing w:after="0"/>
              <w:rPr>
                <w:sz w:val="18"/>
                <w:szCs w:val="18"/>
                <w:color w:val="auto"/>
              </w:rPr>
            </w:pPr>
          </w:p>
        </w:tc>
        <w:tc>
          <w:tcPr>
            <w:tcW w:w="546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South San Francisco, California 94080</w:t>
            </w:r>
          </w:p>
        </w:tc>
        <w:tc>
          <w:tcPr>
            <w:tcW w:w="2040" w:type="dxa"/>
            <w:vAlign w:val="bottom"/>
          </w:tcPr>
          <w:p>
            <w:pPr>
              <w:spacing w:after="0"/>
              <w:rPr>
                <w:sz w:val="18"/>
                <w:szCs w:val="18"/>
                <w:color w:val="auto"/>
              </w:rPr>
            </w:pPr>
          </w:p>
        </w:tc>
      </w:tr>
      <w:tr>
        <w:trPr>
          <w:trHeight w:val="186"/>
        </w:trPr>
        <w:tc>
          <w:tcPr>
            <w:tcW w:w="2380" w:type="dxa"/>
            <w:vAlign w:val="bottom"/>
          </w:tcPr>
          <w:p>
            <w:pPr>
              <w:spacing w:after="0"/>
              <w:rPr>
                <w:sz w:val="16"/>
                <w:szCs w:val="16"/>
                <w:color w:val="auto"/>
              </w:rPr>
            </w:pPr>
          </w:p>
        </w:tc>
        <w:tc>
          <w:tcPr>
            <w:tcW w:w="546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2040" w:type="dxa"/>
            <w:vAlign w:val="bottom"/>
          </w:tcPr>
          <w:p>
            <w:pPr>
              <w:spacing w:after="0"/>
              <w:rPr>
                <w:sz w:val="16"/>
                <w:szCs w:val="16"/>
                <w:color w:val="auto"/>
              </w:rPr>
            </w:pPr>
          </w:p>
        </w:tc>
      </w:tr>
      <w:tr>
        <w:trPr>
          <w:trHeight w:val="354"/>
        </w:trPr>
        <w:tc>
          <w:tcPr>
            <w:tcW w:w="2380" w:type="dxa"/>
            <w:vAlign w:val="bottom"/>
          </w:tcPr>
          <w:p>
            <w:pPr>
              <w:spacing w:after="0"/>
              <w:rPr>
                <w:sz w:val="24"/>
                <w:szCs w:val="24"/>
                <w:color w:val="auto"/>
              </w:rPr>
            </w:pPr>
          </w:p>
        </w:tc>
        <w:tc>
          <w:tcPr>
            <w:tcW w:w="5460" w:type="dxa"/>
            <w:vAlign w:val="bottom"/>
          </w:tcPr>
          <w:p>
            <w:pPr>
              <w:jc w:val="right"/>
              <w:ind w:right="2158"/>
              <w:spacing w:after="0"/>
              <w:rPr>
                <w:sz w:val="20"/>
                <w:szCs w:val="20"/>
                <w:color w:val="auto"/>
              </w:rPr>
            </w:pPr>
            <w:r>
              <w:rPr>
                <w:rFonts w:ascii="Arial" w:cs="Arial" w:eastAsia="Arial" w:hAnsi="Arial"/>
                <w:sz w:val="18"/>
                <w:szCs w:val="18"/>
                <w:b w:val="1"/>
                <w:bCs w:val="1"/>
                <w:color w:val="auto"/>
              </w:rPr>
              <w:t>(650) 266-6000</w:t>
            </w:r>
          </w:p>
        </w:tc>
        <w:tc>
          <w:tcPr>
            <w:tcW w:w="2040" w:type="dxa"/>
            <w:vAlign w:val="bottom"/>
          </w:tcPr>
          <w:p>
            <w:pPr>
              <w:spacing w:after="0"/>
              <w:rPr>
                <w:sz w:val="24"/>
                <w:szCs w:val="24"/>
                <w:color w:val="auto"/>
              </w:rPr>
            </w:pPr>
          </w:p>
        </w:tc>
      </w:tr>
      <w:tr>
        <w:trPr>
          <w:trHeight w:val="186"/>
        </w:trPr>
        <w:tc>
          <w:tcPr>
            <w:tcW w:w="2380" w:type="dxa"/>
            <w:vAlign w:val="bottom"/>
          </w:tcPr>
          <w:p>
            <w:pPr>
              <w:spacing w:after="0"/>
              <w:rPr>
                <w:sz w:val="16"/>
                <w:szCs w:val="16"/>
                <w:color w:val="auto"/>
              </w:rPr>
            </w:pPr>
          </w:p>
        </w:tc>
        <w:tc>
          <w:tcPr>
            <w:tcW w:w="5460" w:type="dxa"/>
            <w:vAlign w:val="bottom"/>
          </w:tcPr>
          <w:p>
            <w:pPr>
              <w:jc w:val="center"/>
              <w:ind w:right="7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040" w:type="dxa"/>
            <w:vAlign w:val="bottom"/>
          </w:tcPr>
          <w:p>
            <w:pPr>
              <w:spacing w:after="0"/>
              <w:rPr>
                <w:sz w:val="16"/>
                <w:szCs w:val="16"/>
                <w:color w:val="auto"/>
              </w:rPr>
            </w:pPr>
          </w:p>
        </w:tc>
      </w:tr>
      <w:tr>
        <w:trPr>
          <w:trHeight w:val="470"/>
        </w:trPr>
        <w:tc>
          <w:tcPr>
            <w:tcW w:w="2380" w:type="dxa"/>
            <w:vAlign w:val="bottom"/>
          </w:tcPr>
          <w:p>
            <w:pPr>
              <w:spacing w:after="0"/>
              <w:rPr>
                <w:sz w:val="24"/>
                <w:szCs w:val="24"/>
                <w:color w:val="auto"/>
              </w:rPr>
            </w:pPr>
          </w:p>
        </w:tc>
        <w:tc>
          <w:tcPr>
            <w:tcW w:w="546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204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460" w:type="dxa"/>
            <w:vAlign w:val="bottom"/>
          </w:tcPr>
          <w:p>
            <w:pPr>
              <w:jc w:val="right"/>
              <w:ind w:right="1598"/>
              <w:spacing w:after="0"/>
              <w:rPr>
                <w:sz w:val="20"/>
                <w:szCs w:val="20"/>
                <w:color w:val="auto"/>
              </w:rPr>
            </w:pPr>
            <w:r>
              <w:rPr>
                <w:rFonts w:ascii="Arial" w:cs="Arial" w:eastAsia="Arial" w:hAnsi="Arial"/>
                <w:sz w:val="18"/>
                <w:szCs w:val="18"/>
                <w:color w:val="auto"/>
              </w:rPr>
              <w:t>__________________________</w:t>
            </w:r>
          </w:p>
        </w:tc>
        <w:tc>
          <w:tcPr>
            <w:tcW w:w="2040" w:type="dxa"/>
            <w:vAlign w:val="bottom"/>
          </w:tcPr>
          <w:p>
            <w:pPr>
              <w:spacing w:after="0"/>
              <w:rPr>
                <w:sz w:val="20"/>
                <w:szCs w:val="20"/>
                <w:color w:val="auto"/>
              </w:rPr>
            </w:pPr>
          </w:p>
        </w:tc>
      </w:tr>
    </w:tbl>
    <w:p>
      <w:pPr>
        <w:spacing w:after="0" w:line="14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733" w:right="35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ind w:right="420" w:firstLine="648"/>
        <w:spacing w:after="0" w:line="271" w:lineRule="auto"/>
        <w:rPr>
          <w:sz w:val="20"/>
          <w:szCs w:val="20"/>
          <w:color w:val="auto"/>
        </w:rPr>
      </w:pPr>
      <w:r>
        <w:rPr>
          <w:rFonts w:ascii="Arial" w:cs="Arial" w:eastAsia="Arial" w:hAnsi="Arial"/>
          <w:sz w:val="17"/>
          <w:szCs w:val="17"/>
          <w:color w:val="auto"/>
        </w:rPr>
        <w:t>On August 18, 2015, Fluidigm Corporation (the “Company”), Fluidigm Canada Inc., a wholly-owned subsidiary of the Company (“Fluidigm Canada”), and Rodick Equities, Inc. (the “Landlord”) entered into an office lease dated as of August 17, 2015 (the “Lease”), relating to the lease of approximately 41,145 square feet of office, laboratory, and warehouse space (the “New Space”) at a facility located at 1380 Rodick Road in Markham, Ontario, Canada (the “Building”). Pursuant to the terms of the Lease, it is expected that Fluidigm Canada will be in possession of the New Space commencing on or about August 27, 2015, and that the Lease and rental obligations thereunder will commence on April 1, 2016 for a term of ten years. Fluidigm Canada is obligated to pay certain operating expenses and real property taxes during the term of the Lease. Additionally, the Lease provides Fluidigm Canada with an option to renew the Lease for an additional five years at the then prevailing market rent, and a right of first offer on certain additional space in the Building, beginning April 1, 2017 until March 31, 2026.</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required by the Lease, on August 18, 2015, the Company and the Landlord entered into an indemnity agreement pursuant to which the Company agreed to indemnify the Landlord from any loss, costs or damages arising out of any failure by Fluidigm Canada and the Company to observe or perform any of the terms, covenants and conditions contained in the Lease (the “Indemnity Agreement”).</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foregoing summary of the Lease and Indemnity Agreement are not complete and are qualified in their entirety by reference to the Lease and the Indemnity Agreement, respectively, each of which will be filed as an exhibit to the Company’s Quarterly Report on Form 10-Q for the quarter ending September 30, 2015.</w:t>
      </w:r>
    </w:p>
    <w:p>
      <w:pPr>
        <w:sectPr>
          <w:pgSz w:w="11900" w:h="16838" w:orient="portrait"/>
          <w:cols w:equalWidth="0" w:num="1">
            <w:col w:w="11340"/>
          </w:cols>
          <w:pgMar w:left="240" w:top="742" w:right="31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87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FLUIDIGM CORPORATION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0"/>
        <w:spacing w:after="0"/>
        <w:tabs>
          <w:tab w:leader="none" w:pos="6660" w:val="left"/>
          <w:tab w:leader="none" w:pos="7320" w:val="left"/>
        </w:tabs>
        <w:rPr>
          <w:sz w:val="20"/>
          <w:szCs w:val="20"/>
          <w:color w:val="auto"/>
        </w:rPr>
      </w:pPr>
      <w:r>
        <w:rPr>
          <w:rFonts w:ascii="Arial" w:cs="Arial" w:eastAsia="Arial" w:hAnsi="Arial"/>
          <w:sz w:val="18"/>
          <w:szCs w:val="18"/>
          <w:color w:val="auto"/>
        </w:rPr>
        <w:t>Date: August 24,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Vikram Jog</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160"/>
      </w:cols>
      <w:pgMar w:left="240" w:top="58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2019-12-07T23:34:37Z</dcterms:created>
  <dcterms:modified xsi:type="dcterms:W3CDTF">2019-12-07T23:34:37Z</dcterms:modified>
</cp:coreProperties>
</file>