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9700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97002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LEE JENNIFER LING</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020" w:type="dxa"/>
            <w:vAlign w:val="bottom"/>
            <w:tcBorders>
              <w:top w:val="single" w:sz="8" w:color="0000EE"/>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05/18/2016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FLUIDIGM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FLDM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84"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4"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474"/>
        <w:spacing w:after="0" w:line="402" w:lineRule="auto"/>
        <w:rPr>
          <w:sz w:val="20"/>
          <w:szCs w:val="20"/>
          <w:color w:val="auto"/>
        </w:rPr>
      </w:pPr>
      <w:r>
        <w:rPr>
          <w:rFonts w:ascii="Arial" w:cs="Arial" w:eastAsia="Arial" w:hAnsi="Arial"/>
          <w:sz w:val="16"/>
          <w:szCs w:val="16"/>
          <w:color w:val="0000FF"/>
        </w:rPr>
        <w:t>C/O FLUIDIGM CORPORATION 7000 SHORELINE COURT, SUITE 100</w:t>
      </w:r>
    </w:p>
    <w:p>
      <w:pPr>
        <w:spacing w:after="0" w:line="161"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80" w:type="dxa"/>
            <w:vAlign w:val="bottom"/>
          </w:tcPr>
          <w:p>
            <w:pPr>
              <w:spacing w:after="0"/>
              <w:rPr>
                <w:sz w:val="20"/>
                <w:szCs w:val="20"/>
                <w:color w:val="auto"/>
              </w:rPr>
            </w:pPr>
            <w:r>
              <w:rPr>
                <w:rFonts w:ascii="Arial" w:cs="Arial" w:eastAsia="Arial" w:hAnsi="Arial"/>
                <w:sz w:val="14"/>
                <w:szCs w:val="14"/>
                <w:color w:val="auto"/>
              </w:rPr>
              <w:t>(Street)</w:t>
            </w: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98"/>
        </w:trPr>
        <w:tc>
          <w:tcPr>
            <w:tcW w:w="1080" w:type="dxa"/>
            <w:vAlign w:val="bottom"/>
          </w:tcPr>
          <w:p>
            <w:pPr>
              <w:ind w:left="40"/>
              <w:spacing w:after="0"/>
              <w:rPr>
                <w:sz w:val="20"/>
                <w:szCs w:val="20"/>
                <w:color w:val="auto"/>
              </w:rPr>
            </w:pPr>
            <w:r>
              <w:rPr>
                <w:rFonts w:ascii="Arial" w:cs="Arial" w:eastAsia="Arial" w:hAnsi="Arial"/>
                <w:sz w:val="18"/>
                <w:szCs w:val="18"/>
                <w:color w:val="0000FF"/>
                <w:w w:val="97"/>
              </w:rPr>
              <w:t>SOUTH SAN</w:t>
            </w:r>
          </w:p>
        </w:tc>
        <w:tc>
          <w:tcPr>
            <w:tcW w:w="720" w:type="dxa"/>
            <w:vAlign w:val="bottom"/>
          </w:tcPr>
          <w:p>
            <w:pPr>
              <w:ind w:left="60"/>
              <w:spacing w:after="0"/>
              <w:rPr>
                <w:sz w:val="20"/>
                <w:szCs w:val="20"/>
                <w:color w:val="auto"/>
              </w:rPr>
            </w:pPr>
            <w:r>
              <w:rPr>
                <w:rFonts w:ascii="Arial" w:cs="Arial" w:eastAsia="Arial" w:hAnsi="Arial"/>
                <w:sz w:val="18"/>
                <w:szCs w:val="18"/>
                <w:color w:val="0000FF"/>
              </w:rPr>
              <w:t>CA</w:t>
            </w:r>
          </w:p>
        </w:tc>
        <w:tc>
          <w:tcPr>
            <w:tcW w:w="840" w:type="dxa"/>
            <w:vAlign w:val="bottom"/>
          </w:tcPr>
          <w:p>
            <w:pPr>
              <w:jc w:val="right"/>
              <w:spacing w:after="0"/>
              <w:rPr>
                <w:sz w:val="20"/>
                <w:szCs w:val="20"/>
                <w:color w:val="auto"/>
              </w:rPr>
            </w:pPr>
            <w:r>
              <w:rPr>
                <w:rFonts w:ascii="Arial" w:cs="Arial" w:eastAsia="Arial" w:hAnsi="Arial"/>
                <w:sz w:val="18"/>
                <w:szCs w:val="18"/>
                <w:color w:val="0000FF"/>
              </w:rPr>
              <w:t>94080</w:t>
            </w:r>
          </w:p>
        </w:tc>
      </w:tr>
      <w:tr>
        <w:trPr>
          <w:trHeight w:val="222"/>
        </w:trPr>
        <w:tc>
          <w:tcPr>
            <w:tcW w:w="1080" w:type="dxa"/>
            <w:vAlign w:val="bottom"/>
          </w:tcPr>
          <w:p>
            <w:pPr>
              <w:ind w:left="40"/>
              <w:spacing w:after="0"/>
              <w:rPr>
                <w:sz w:val="20"/>
                <w:szCs w:val="20"/>
                <w:color w:val="auto"/>
              </w:rPr>
            </w:pPr>
            <w:r>
              <w:rPr>
                <w:rFonts w:ascii="Arial" w:cs="Arial" w:eastAsia="Arial" w:hAnsi="Arial"/>
                <w:sz w:val="18"/>
                <w:szCs w:val="18"/>
                <w:color w:val="0000FF"/>
                <w:w w:val="96"/>
              </w:rPr>
              <w:t>FRANCISCO</w:t>
            </w:r>
          </w:p>
        </w:tc>
        <w:tc>
          <w:tcPr>
            <w:tcW w:w="720" w:type="dxa"/>
            <w:vAlign w:val="bottom"/>
          </w:tcPr>
          <w:p>
            <w:pPr>
              <w:spacing w:after="0"/>
              <w:rPr>
                <w:sz w:val="19"/>
                <w:szCs w:val="19"/>
                <w:color w:val="auto"/>
              </w:rPr>
            </w:pPr>
          </w:p>
        </w:tc>
        <w:tc>
          <w:tcPr>
            <w:tcW w:w="840" w:type="dxa"/>
            <w:vAlign w:val="bottom"/>
          </w:tcPr>
          <w:p>
            <w:pPr>
              <w:spacing w:after="0"/>
              <w:rPr>
                <w:sz w:val="19"/>
                <w:szCs w:val="19"/>
                <w:color w:val="auto"/>
              </w:rPr>
            </w:pP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66"/>
        <w:spacing w:after="0"/>
        <w:rPr>
          <w:sz w:val="20"/>
          <w:szCs w:val="20"/>
          <w:color w:val="auto"/>
        </w:rPr>
      </w:pPr>
      <w:r>
        <w:rPr>
          <w:rFonts w:ascii="Arial" w:cs="Arial" w:eastAsia="Arial" w:hAnsi="Arial"/>
          <w:sz w:val="18"/>
          <w:szCs w:val="18"/>
          <w:color w:val="0000FF"/>
        </w:rPr>
        <w:t>See Remarks</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38"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329"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63"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ind w:left="8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40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500" w:type="dxa"/>
            <w:vAlign w:val="bottom"/>
          </w:tcPr>
          <w:p>
            <w:pPr>
              <w:spacing w:after="0"/>
              <w:rPr>
                <w:sz w:val="14"/>
                <w:szCs w:val="14"/>
                <w:color w:val="auto"/>
              </w:rPr>
            </w:pPr>
          </w:p>
        </w:tc>
        <w:tc>
          <w:tcPr>
            <w:tcW w:w="260" w:type="dxa"/>
            <w:vAlign w:val="bottom"/>
          </w:tcPr>
          <w:p>
            <w:pPr>
              <w:ind w:left="60"/>
              <w:spacing w:after="0"/>
              <w:rPr>
                <w:sz w:val="20"/>
                <w:szCs w:val="20"/>
                <w:color w:val="auto"/>
              </w:rPr>
            </w:pPr>
            <w:r>
              <w:rPr>
                <w:rFonts w:ascii="Arial" w:cs="Arial" w:eastAsia="Arial" w:hAnsi="Arial"/>
                <w:sz w:val="14"/>
                <w:szCs w:val="14"/>
                <w:b w:val="1"/>
                <w:bCs w:val="1"/>
                <w:color w:val="auto"/>
              </w:rPr>
              <w:t>5.</w:t>
            </w:r>
          </w:p>
        </w:tc>
        <w:tc>
          <w:tcPr>
            <w:tcW w:w="600" w:type="dxa"/>
            <w:vAlign w:val="bottom"/>
          </w:tcPr>
          <w:p>
            <w:pPr>
              <w:spacing w:after="0"/>
              <w:rPr>
                <w:sz w:val="14"/>
                <w:szCs w:val="14"/>
                <w:color w:val="auto"/>
              </w:rPr>
            </w:pP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9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6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900" w:type="dxa"/>
            <w:vAlign w:val="bottom"/>
            <w:gridSpan w:val="2"/>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60" w:type="dxa"/>
            <w:vAlign w:val="bottom"/>
            <w:gridSpan w:val="2"/>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2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6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14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Amount</w:t>
            </w:r>
          </w:p>
        </w:tc>
        <w:tc>
          <w:tcPr>
            <w:tcW w:w="900" w:type="dxa"/>
            <w:vAlign w:val="bottom"/>
            <w:gridSpan w:val="2"/>
            <w:vMerge w:val="continue"/>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900" w:type="dxa"/>
            <w:vAlign w:val="bottom"/>
            <w:gridSpan w:val="2"/>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60" w:type="dxa"/>
            <w:vAlign w:val="bottom"/>
            <w:gridSpan w:val="2"/>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tcPr>
          <w:p>
            <w:pPr>
              <w:ind w:left="540"/>
              <w:spacing w:after="0" w:line="149" w:lineRule="exact"/>
              <w:rPr>
                <w:sz w:val="20"/>
                <w:szCs w:val="20"/>
                <w:color w:val="auto"/>
              </w:rPr>
            </w:pPr>
            <w:r>
              <w:rPr>
                <w:rFonts w:ascii="Arial" w:cs="Arial" w:eastAsia="Arial" w:hAnsi="Arial"/>
                <w:sz w:val="14"/>
                <w:szCs w:val="14"/>
                <w:b w:val="1"/>
                <w:bCs w:val="1"/>
                <w:color w:val="auto"/>
              </w:rPr>
              <w:t>or</w:t>
            </w:r>
          </w:p>
        </w:tc>
        <w:tc>
          <w:tcPr>
            <w:tcW w:w="9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tcPr>
          <w:p>
            <w:pPr>
              <w:ind w:left="540"/>
              <w:spacing w:after="0" w:line="145" w:lineRule="exact"/>
              <w:rPr>
                <w:sz w:val="20"/>
                <w:szCs w:val="20"/>
                <w:color w:val="auto"/>
              </w:rPr>
            </w:pPr>
            <w:r>
              <w:rPr>
                <w:rFonts w:ascii="Arial" w:cs="Arial" w:eastAsia="Arial" w:hAnsi="Arial"/>
                <w:sz w:val="14"/>
                <w:szCs w:val="14"/>
                <w:b w:val="1"/>
                <w:bCs w:val="1"/>
                <w:color w:val="auto"/>
              </w:rPr>
              <w:t>Number</w:t>
            </w:r>
          </w:p>
        </w:tc>
        <w:tc>
          <w:tcPr>
            <w:tcW w:w="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80" w:type="dxa"/>
            <w:vAlign w:val="bottom"/>
          </w:tcPr>
          <w:p>
            <w:pPr>
              <w:spacing w:after="0"/>
              <w:rPr>
                <w:sz w:val="12"/>
                <w:szCs w:val="12"/>
                <w:color w:val="auto"/>
              </w:rPr>
            </w:pPr>
          </w:p>
        </w:tc>
        <w:tc>
          <w:tcPr>
            <w:tcW w:w="1140" w:type="dxa"/>
            <w:vAlign w:val="bottom"/>
          </w:tcPr>
          <w:p>
            <w:pPr>
              <w:ind w:left="540"/>
              <w:spacing w:after="0" w:line="149" w:lineRule="exact"/>
              <w:rPr>
                <w:sz w:val="20"/>
                <w:szCs w:val="20"/>
                <w:color w:val="auto"/>
              </w:rPr>
            </w:pPr>
            <w:r>
              <w:rPr>
                <w:rFonts w:ascii="Arial" w:cs="Arial" w:eastAsia="Arial" w:hAnsi="Arial"/>
                <w:sz w:val="14"/>
                <w:szCs w:val="14"/>
                <w:b w:val="1"/>
                <w:bCs w:val="1"/>
                <w:color w:val="auto"/>
              </w:rPr>
              <w:t>of</w:t>
            </w:r>
          </w:p>
        </w:tc>
        <w:tc>
          <w:tcPr>
            <w:tcW w:w="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6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140" w:type="dxa"/>
            <w:vAlign w:val="bottom"/>
          </w:tcPr>
          <w:p>
            <w:pPr>
              <w:ind w:left="540"/>
              <w:spacing w:after="0"/>
              <w:rPr>
                <w:sz w:val="20"/>
                <w:szCs w:val="20"/>
                <w:color w:val="auto"/>
              </w:rPr>
            </w:pPr>
            <w:r>
              <w:rPr>
                <w:rFonts w:ascii="Arial" w:cs="Arial" w:eastAsia="Arial" w:hAnsi="Arial"/>
                <w:sz w:val="14"/>
                <w:szCs w:val="14"/>
                <w:b w:val="1"/>
                <w:bCs w:val="1"/>
                <w:color w:val="auto"/>
              </w:rPr>
              <w:t>Shares</w:t>
            </w:r>
          </w:p>
        </w:tc>
        <w:tc>
          <w:tcPr>
            <w:tcW w:w="4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36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600" w:type="dxa"/>
            <w:vAlign w:val="bottom"/>
          </w:tcPr>
          <w:p>
            <w:pPr>
              <w:ind w:left="40"/>
              <w:spacing w:after="0"/>
              <w:rPr>
                <w:sz w:val="20"/>
                <w:szCs w:val="20"/>
                <w:color w:val="auto"/>
              </w:rPr>
            </w:pPr>
            <w:r>
              <w:rPr>
                <w:rFonts w:ascii="Arial" w:cs="Arial" w:eastAsia="Arial" w:hAnsi="Arial"/>
                <w:sz w:val="18"/>
                <w:szCs w:val="18"/>
                <w:b w:val="1"/>
                <w:bCs w:val="1"/>
                <w:color w:val="auto"/>
              </w:rPr>
              <w:t>Remarks:</w:t>
            </w: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8000" w:type="dxa"/>
            <w:vAlign w:val="bottom"/>
            <w:gridSpan w:val="5"/>
          </w:tcPr>
          <w:p>
            <w:pPr>
              <w:ind w:left="40"/>
              <w:spacing w:after="0"/>
              <w:rPr>
                <w:sz w:val="20"/>
                <w:szCs w:val="20"/>
                <w:color w:val="auto"/>
              </w:rPr>
            </w:pPr>
            <w:r>
              <w:rPr>
                <w:rFonts w:ascii="Arial" w:cs="Arial" w:eastAsia="Arial" w:hAnsi="Arial"/>
                <w:sz w:val="14"/>
                <w:szCs w:val="14"/>
                <w:color w:val="008000"/>
              </w:rPr>
              <w:t>VICE PRESIDENT, CONTROLLER, AND PRINCIPAL ACCOUNTING OFFICER Exhibit List Exhibit 24 - Power of Attorney</w:t>
            </w:r>
          </w:p>
        </w:tc>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No securities are beneficially owned.</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040" w:type="dxa"/>
            <w:vAlign w:val="bottom"/>
            <w:gridSpan w:val="3"/>
          </w:tcPr>
          <w:p>
            <w:pPr>
              <w:spacing w:after="0"/>
              <w:rPr>
                <w:sz w:val="20"/>
                <w:szCs w:val="20"/>
                <w:color w:val="auto"/>
              </w:rPr>
            </w:pPr>
            <w:r>
              <w:rPr>
                <w:rFonts w:ascii="Arial" w:cs="Arial" w:eastAsia="Arial" w:hAnsi="Arial"/>
                <w:sz w:val="18"/>
                <w:szCs w:val="18"/>
                <w:color w:val="0000FF"/>
              </w:rPr>
              <w:t>/s/ William M. Smith,</w:t>
            </w:r>
          </w:p>
        </w:tc>
        <w:tc>
          <w:tcPr>
            <w:tcW w:w="2520" w:type="dxa"/>
            <w:vAlign w:val="bottom"/>
            <w:gridSpan w:val="4"/>
            <w:vMerge w:val="restart"/>
          </w:tcPr>
          <w:p>
            <w:pPr>
              <w:ind w:left="260"/>
              <w:spacing w:after="0"/>
              <w:rPr>
                <w:sz w:val="20"/>
                <w:szCs w:val="20"/>
                <w:color w:val="auto"/>
              </w:rPr>
            </w:pPr>
            <w:r>
              <w:rPr>
                <w:rFonts w:ascii="Arial" w:cs="Arial" w:eastAsia="Arial" w:hAnsi="Arial"/>
                <w:sz w:val="18"/>
                <w:szCs w:val="18"/>
                <w:color w:val="0000FF"/>
              </w:rPr>
              <w:t>05/20/2016</w:t>
            </w:r>
          </w:p>
        </w:tc>
        <w:tc>
          <w:tcPr>
            <w:tcW w:w="0" w:type="dxa"/>
            <w:vAlign w:val="bottom"/>
          </w:tcPr>
          <w:p>
            <w:pPr>
              <w:spacing w:after="0"/>
              <w:rPr>
                <w:sz w:val="1"/>
                <w:szCs w:val="1"/>
                <w:color w:val="auto"/>
              </w:rPr>
            </w:pPr>
          </w:p>
        </w:tc>
      </w:tr>
      <w:tr>
        <w:trPr>
          <w:trHeight w:val="88"/>
        </w:trPr>
        <w:tc>
          <w:tcPr>
            <w:tcW w:w="36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14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1"/>
              </w:rPr>
              <w:t>Attorney-in-fact</w:t>
            </w:r>
          </w:p>
        </w:tc>
        <w:tc>
          <w:tcPr>
            <w:tcW w:w="400" w:type="dxa"/>
            <w:vAlign w:val="bottom"/>
            <w:tcBorders>
              <w:top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252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6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140" w:type="dxa"/>
            <w:vAlign w:val="bottom"/>
            <w:tcBorders>
              <w:top w:val="single" w:sz="8" w:color="auto"/>
              <w:bottom w:val="single" w:sz="8" w:color="auto"/>
            </w:tcBorders>
            <w:vMerge w:val="continue"/>
          </w:tcPr>
          <w:p>
            <w:pPr>
              <w:spacing w:after="0"/>
              <w:rPr>
                <w:sz w:val="7"/>
                <w:szCs w:val="7"/>
                <w:color w:val="auto"/>
              </w:rPr>
            </w:pPr>
          </w:p>
        </w:tc>
        <w:tc>
          <w:tcPr>
            <w:tcW w:w="4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36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40" w:type="dxa"/>
            <w:vAlign w:val="bottom"/>
            <w:gridSpan w:val="3"/>
          </w:tcPr>
          <w:p>
            <w:pPr>
              <w:spacing w:after="0"/>
              <w:rPr>
                <w:sz w:val="20"/>
                <w:szCs w:val="20"/>
                <w:color w:val="auto"/>
              </w:rPr>
            </w:pPr>
            <w:r>
              <w:rPr>
                <w:rFonts w:ascii="Arial" w:cs="Arial" w:eastAsia="Arial" w:hAnsi="Arial"/>
                <w:sz w:val="14"/>
                <w:szCs w:val="14"/>
                <w:color w:val="auto"/>
                <w:w w:val="99"/>
              </w:rPr>
              <w:t>** Signature of Reporting Person</w:t>
            </w:r>
          </w:p>
        </w:tc>
        <w:tc>
          <w:tcPr>
            <w:tcW w:w="860" w:type="dxa"/>
            <w:vAlign w:val="bottom"/>
            <w:gridSpan w:val="2"/>
          </w:tcPr>
          <w:p>
            <w:pPr>
              <w:ind w:left="260"/>
              <w:spacing w:after="0"/>
              <w:rPr>
                <w:sz w:val="20"/>
                <w:szCs w:val="20"/>
                <w:color w:val="auto"/>
              </w:rPr>
            </w:pPr>
            <w:r>
              <w:rPr>
                <w:rFonts w:ascii="Arial" w:cs="Arial" w:eastAsia="Arial" w:hAnsi="Arial"/>
                <w:sz w:val="14"/>
                <w:szCs w:val="14"/>
                <w:color w:val="auto"/>
              </w:rPr>
              <w:t>Date</w:t>
            </w: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center"/>
        <w:ind w:right="1879"/>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879"/>
        <w:spacing w:after="0" w:line="275" w:lineRule="auto"/>
        <w:rPr>
          <w:sz w:val="20"/>
          <w:szCs w:val="20"/>
          <w:color w:val="auto"/>
        </w:rPr>
      </w:pPr>
      <w:r>
        <w:rPr>
          <w:rFonts w:ascii="Courier New" w:cs="Courier New" w:eastAsia="Courier New" w:hAnsi="Courier New"/>
          <w:sz w:val="16"/>
          <w:szCs w:val="16"/>
          <w:color w:val="auto"/>
        </w:rPr>
        <w:t>The undersigned, as a Section 16 reporting person of Fluidigm Corporation (the "Company"), hereby constitutes and appoints the officers of the Company and the responsible attorneys and paralegals of Wilson Sonsini Goodrich &amp; Rosati, P.C., and each of them, the undersigned's true and lawful attorney-in-fact to:</w:t>
      </w:r>
    </w:p>
    <w:p>
      <w:pPr>
        <w:spacing w:after="0" w:line="182" w:lineRule="exact"/>
        <w:rPr>
          <w:sz w:val="20"/>
          <w:szCs w:val="20"/>
          <w:color w:val="auto"/>
        </w:rPr>
      </w:pPr>
    </w:p>
    <w:p>
      <w:pPr>
        <w:ind w:left="960" w:right="1779" w:hanging="320"/>
        <w:spacing w:after="0" w:line="237" w:lineRule="auto"/>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complete and execute Forms ID, 3, 4 and 5 and other forms and all amendments thereto as such attorney-in-fact shall in his or her discretion determine to be required or advisable pursuant to Section 16 of the Securities Exchange Act of 1934 (as amended) and the rules and regulations promulgated thereunder, or any successor laws and regulations, as a consequence of the undersigned's ownership, acquisition or disposition of securities of the Company; and</w:t>
      </w:r>
    </w:p>
    <w:p>
      <w:pPr>
        <w:spacing w:after="0" w:line="211" w:lineRule="exact"/>
        <w:rPr>
          <w:rFonts w:ascii="Courier New" w:cs="Courier New" w:eastAsia="Courier New" w:hAnsi="Courier New"/>
          <w:sz w:val="18"/>
          <w:szCs w:val="18"/>
          <w:color w:val="auto"/>
        </w:rPr>
      </w:pPr>
    </w:p>
    <w:p>
      <w:pPr>
        <w:ind w:left="960" w:right="1999" w:hanging="320"/>
        <w:spacing w:after="0" w:line="237" w:lineRule="auto"/>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all acts necessary in order to file such forms with the Securities and Exchange Commission, any securities exchange or national association, the Company and such other person or agency as the attorney-in-fact shall deem appropriate.</w:t>
      </w:r>
    </w:p>
    <w:p>
      <w:pPr>
        <w:spacing w:after="0" w:line="207" w:lineRule="exact"/>
        <w:rPr>
          <w:sz w:val="20"/>
          <w:szCs w:val="20"/>
          <w:color w:val="auto"/>
        </w:rPr>
      </w:pPr>
    </w:p>
    <w:p>
      <w:pPr>
        <w:ind w:right="1779" w:firstLine="316"/>
        <w:spacing w:after="0" w:line="237" w:lineRule="auto"/>
        <w:rPr>
          <w:sz w:val="20"/>
          <w:szCs w:val="20"/>
          <w:color w:val="auto"/>
        </w:rPr>
      </w:pPr>
      <w:r>
        <w:rPr>
          <w:rFonts w:ascii="Courier New" w:cs="Courier New" w:eastAsia="Courier New" w:hAnsi="Courier New"/>
          <w:sz w:val="18"/>
          <w:szCs w:val="18"/>
          <w:color w:val="auto"/>
        </w:rPr>
        <w:t>The undersigned hereby ratifies and confirms all that said attorney-in-fact and agents shall do or cause to be done by virtue hereof. The undersigned acknowledges that the foregoing attorney-in- fact, in serving in such capacity at the request of the undersigned, are not assuming, nor is the Company assuming, any of the undersigned's responsibilities to comply with Section 16 of the Securities Exchange Act of 1934 (as amended).</w:t>
      </w:r>
    </w:p>
    <w:p>
      <w:pPr>
        <w:spacing w:after="0" w:line="210" w:lineRule="exact"/>
        <w:rPr>
          <w:sz w:val="20"/>
          <w:szCs w:val="20"/>
          <w:color w:val="auto"/>
        </w:rPr>
      </w:pPr>
    </w:p>
    <w:p>
      <w:pPr>
        <w:ind w:right="1779" w:firstLine="316"/>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ID, 3, 4 and 5 with respect to the undersigned's holdings of and transactions in securities issued by the Company, unless earlier revoked by the undersigned in a signed writing delivered to the Company and the foregoing attorney-in-fact.</w:t>
      </w:r>
    </w:p>
    <w:p>
      <w:pPr>
        <w:spacing w:after="0" w:line="209" w:lineRule="exact"/>
        <w:rPr>
          <w:sz w:val="20"/>
          <w:szCs w:val="20"/>
          <w:color w:val="auto"/>
        </w:rPr>
      </w:pPr>
    </w:p>
    <w:p>
      <w:pPr>
        <w:ind w:right="1999" w:firstLine="316"/>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18th day of May, 2016.</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120"/>
        <w:spacing w:after="0"/>
        <w:tabs>
          <w:tab w:leader="none" w:pos="546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8"/>
          <w:szCs w:val="18"/>
          <w:color w:val="auto"/>
        </w:rPr>
        <w:t>/s/ Jennifer Lee</w:t>
      </w:r>
    </w:p>
    <w:p>
      <w:pPr>
        <w:ind w:left="5480"/>
        <w:spacing w:after="0" w:line="238" w:lineRule="auto"/>
        <w:rPr>
          <w:sz w:val="20"/>
          <w:szCs w:val="20"/>
          <w:color w:val="auto"/>
        </w:rPr>
      </w:pPr>
      <w:r>
        <w:rPr>
          <w:rFonts w:ascii="Courier New" w:cs="Courier New" w:eastAsia="Courier New" w:hAnsi="Courier New"/>
          <w:sz w:val="18"/>
          <w:szCs w:val="18"/>
          <w:color w:val="auto"/>
        </w:rPr>
        <w:t>-----------------------</w:t>
      </w:r>
    </w:p>
    <w:p>
      <w:pPr>
        <w:ind w:left="5480"/>
        <w:spacing w:after="0"/>
        <w:rPr>
          <w:sz w:val="20"/>
          <w:szCs w:val="20"/>
          <w:color w:val="auto"/>
        </w:rPr>
      </w:pPr>
      <w:r>
        <w:rPr>
          <w:rFonts w:ascii="Courier New" w:cs="Courier New" w:eastAsia="Courier New" w:hAnsi="Courier New"/>
          <w:sz w:val="18"/>
          <w:szCs w:val="18"/>
          <w:color w:val="auto"/>
        </w:rPr>
        <w:t>Jennifer Lee</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675118" TargetMode="External"/><Relationship Id="rId12"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2019-12-07T15:22:38Z</dcterms:created>
  <dcterms:modified xsi:type="dcterms:W3CDTF">2019-12-07T15:22:38Z</dcterms:modified>
</cp:coreProperties>
</file>