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0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67"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08/19/2024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67"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00" w:type="dxa"/>
            <w:vAlign w:val="bottom"/>
            <w:gridSpan w:val="2"/>
          </w:tcPr>
          <w:p>
            <w:pPr>
              <w:ind w:left="28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6"/>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3"/>
                <w:szCs w:val="13"/>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1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920" w:type="dxa"/>
            <w:vAlign w:val="bottom"/>
            <w:gridSpan w:val="6"/>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420" w:type="dxa"/>
            <w:vAlign w:val="bottom"/>
            <w:gridSpan w:val="6"/>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36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3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08/19/2024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250,000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1.8529</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52,025,821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08/20/2024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500,000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1.8734</w:t>
            </w:r>
            <w:r>
              <w:rPr>
                <w:rFonts w:ascii="Times New Roman" w:cs="Times New Roman" w:eastAsia="Times New Roman" w:hAnsi="Times New Roman"/>
                <w:sz w:val="22"/>
                <w:szCs w:val="22"/>
                <w:color w:val="008000"/>
                <w:vertAlign w:val="superscript"/>
              </w:rPr>
              <w:t>(3)</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52,525,821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160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rPr>
              <w:t>08/21/2024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w w:val="82"/>
              </w:rPr>
              <w:t>P</w:t>
            </w:r>
          </w:p>
        </w:tc>
        <w:tc>
          <w:tcPr>
            <w:tcW w:w="540" w:type="dxa"/>
            <w:vAlign w:val="bottom"/>
          </w:tcPr>
          <w:p>
            <w:pPr>
              <w:spacing w:after="0"/>
              <w:rPr>
                <w:sz w:val="21"/>
                <w:szCs w:val="21"/>
                <w:color w:val="auto"/>
              </w:rPr>
            </w:pPr>
          </w:p>
        </w:tc>
        <w:tc>
          <w:tcPr>
            <w:tcW w:w="860" w:type="dxa"/>
            <w:vAlign w:val="bottom"/>
            <w:vMerge w:val="restart"/>
          </w:tcPr>
          <w:p>
            <w:pPr>
              <w:jc w:val="right"/>
              <w:ind w:right="109"/>
              <w:spacing w:after="0"/>
              <w:rPr>
                <w:sz w:val="20"/>
                <w:szCs w:val="20"/>
                <w:color w:val="auto"/>
              </w:rPr>
            </w:pPr>
            <w:r>
              <w:rPr>
                <w:rFonts w:ascii="Times New Roman" w:cs="Times New Roman" w:eastAsia="Times New Roman" w:hAnsi="Times New Roman"/>
                <w:sz w:val="17"/>
                <w:szCs w:val="17"/>
                <w:color w:val="0000FF"/>
              </w:rPr>
              <w:t>500,000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820" w:type="dxa"/>
            <w:vAlign w:val="bottom"/>
            <w:gridSpan w:val="3"/>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1.9039</w:t>
            </w:r>
            <w:r>
              <w:rPr>
                <w:rFonts w:ascii="Times New Roman" w:cs="Times New Roman" w:eastAsia="Times New Roman" w:hAnsi="Times New Roman"/>
                <w:sz w:val="22"/>
                <w:szCs w:val="22"/>
                <w:color w:val="008000"/>
                <w:vertAlign w:val="superscript"/>
              </w:rPr>
              <w:t>(4)</w:t>
            </w: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53,025,821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1180" w:type="dxa"/>
            <w:vAlign w:val="bottom"/>
          </w:tcPr>
          <w:p>
            <w:pPr>
              <w:spacing w:after="0"/>
              <w:rPr>
                <w:sz w:val="15"/>
                <w:szCs w:val="15"/>
                <w:color w:val="auto"/>
              </w:rPr>
            </w:pPr>
          </w:p>
        </w:tc>
        <w:tc>
          <w:tcPr>
            <w:tcW w:w="1600" w:type="dxa"/>
            <w:vAlign w:val="bottom"/>
            <w:gridSpan w:val="3"/>
            <w:vMerge w:val="continue"/>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11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50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40" w:type="dxa"/>
            <w:vAlign w:val="bottom"/>
            <w:tcBorders>
              <w:bottom w:val="single" w:sz="8" w:color="2C2C2C"/>
            </w:tcBorders>
          </w:tcPr>
          <w:p>
            <w:pPr>
              <w:spacing w:after="0"/>
              <w:rPr>
                <w:sz w:val="9"/>
                <w:szCs w:val="9"/>
                <w:color w:val="auto"/>
              </w:rPr>
            </w:pPr>
          </w:p>
        </w:tc>
        <w:tc>
          <w:tcPr>
            <w:tcW w:w="8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545,000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11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50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40" w:type="dxa"/>
            <w:vAlign w:val="bottom"/>
            <w:tcBorders>
              <w:top w:val="single" w:sz="8" w:color="2C2C2C"/>
              <w:bottom w:val="single" w:sz="8" w:color="2C2C2C"/>
            </w:tcBorders>
          </w:tcPr>
          <w:p>
            <w:pPr>
              <w:spacing w:after="0"/>
              <w:rPr>
                <w:sz w:val="24"/>
                <w:szCs w:val="24"/>
                <w:color w:val="auto"/>
              </w:rPr>
            </w:pPr>
          </w:p>
        </w:tc>
        <w:tc>
          <w:tcPr>
            <w:tcW w:w="8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2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20" w:type="dxa"/>
            <w:vAlign w:val="bottom"/>
            <w:tcBorders>
              <w:top w:val="single" w:sz="8" w:color="2C2C2C"/>
              <w:bottom w:val="single" w:sz="8" w:color="2C2C2C"/>
            </w:tcBorders>
          </w:tcPr>
          <w:p>
            <w:pPr>
              <w:spacing w:after="0"/>
              <w:rPr>
                <w:sz w:val="24"/>
                <w:szCs w:val="24"/>
                <w:color w:val="auto"/>
              </w:rPr>
            </w:pPr>
          </w:p>
        </w:tc>
        <w:tc>
          <w:tcPr>
            <w:tcW w:w="1180" w:type="dxa"/>
            <w:vAlign w:val="bottom"/>
            <w:tcBorders>
              <w:top w:val="single" w:sz="8" w:color="2C2C2C"/>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2,781,432</w:t>
            </w:r>
            <w:r>
              <w:rPr>
                <w:rFonts w:ascii="Times New Roman" w:cs="Times New Roman" w:eastAsia="Times New Roman" w:hAnsi="Times New Roman"/>
                <w:sz w:val="22"/>
                <w:szCs w:val="22"/>
                <w:color w:val="008000"/>
                <w:w w:val="96"/>
                <w:vertAlign w:val="superscript"/>
              </w:rPr>
              <w:t>(7)</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(8)</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11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(9)</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11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740" w:type="dxa"/>
            <w:vAlign w:val="bottom"/>
            <w:gridSpan w:val="18"/>
          </w:tcPr>
          <w:p>
            <w:pPr>
              <w:jc w:val="center"/>
              <w:ind w:left="27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0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1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6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5"/>
              </w:rPr>
              <w:t>Expiration</w:t>
            </w:r>
          </w:p>
        </w:tc>
        <w:tc>
          <w:tcPr>
            <w:tcW w:w="440" w:type="dxa"/>
            <w:vAlign w:val="bottom"/>
          </w:tcPr>
          <w:p>
            <w:pPr>
              <w:spacing w:after="0"/>
              <w:rPr>
                <w:sz w:val="11"/>
                <w:szCs w:val="11"/>
                <w:color w:val="auto"/>
              </w:rPr>
            </w:pPr>
          </w:p>
        </w:tc>
        <w:tc>
          <w:tcPr>
            <w:tcW w:w="7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0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560" w:type="dxa"/>
            <w:vAlign w:val="bottom"/>
            <w:tcBorders>
              <w:bottom w:val="single" w:sz="8" w:color="2C2C2C"/>
            </w:tcBorders>
            <w:gridSpan w:val="3"/>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4"/>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5"/>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Partners Master Fund, L.P.</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gridSpan w:val="2"/>
          </w:tcPr>
          <w:p>
            <w:pPr>
              <w:ind w:left="240"/>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-3226435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67" w:orient="portrait"/>
          <w:cols w:equalWidth="0" w:num="1">
            <w:col w:w="11080"/>
          </w:cols>
          <w:pgMar w:left="460" w:top="219" w:right="359" w:bottom="0" w:gutter="0" w:footer="0" w:header="0"/>
          <w:type w:val="continuous"/>
        </w:sectPr>
      </w:pPr>
    </w:p>
    <w:p>
      <w:pPr>
        <w:spacing w:after="0" w:line="308" w:lineRule="exact"/>
        <w:rPr>
          <w:sz w:val="24"/>
          <w:szCs w:val="24"/>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ectPr>
          <w:pgSz w:w="11900" w:h="16867" w:orient="portrait"/>
          <w:cols w:equalWidth="0" w:num="1">
            <w:col w:w="11080"/>
          </w:cols>
          <w:pgMar w:left="460" w:top="219" w:right="35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05263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7">
        <w:r>
          <w:rPr>
            <w:rFonts w:ascii="Times New Roman" w:cs="Times New Roman" w:eastAsia="Times New Roman" w:hAnsi="Times New Roman"/>
            <w:sz w:val="21"/>
            <w:szCs w:val="21"/>
            <w:u w:val="single" w:color="auto"/>
            <w:color w:val="0000EE"/>
          </w:rPr>
          <w:t>Casdin Eli</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8">
              <w:r>
                <w:rPr>
                  <w:rFonts w:ascii="Times New Roman" w:cs="Times New Roman" w:eastAsia="Times New Roman" w:hAnsi="Times New Roman"/>
                  <w:sz w:val="21"/>
                  <w:szCs w:val="21"/>
                  <w:color w:val="0000EE"/>
                </w:rPr>
                <w:t>Casdin Capital,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2"/>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4"/>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3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3"/>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3"/>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0">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99" w:lineRule="exact"/>
        <w:rPr>
          <w:sz w:val="20"/>
          <w:szCs w:val="20"/>
          <w:color w:val="auto"/>
        </w:rPr>
      </w:pPr>
    </w:p>
    <w:p>
      <w:pPr>
        <w:ind w:left="6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9979"/>
          </w:cols>
          <w:pgMar w:left="480" w:top="243" w:right="1440" w:bottom="16" w:gutter="0" w:footer="0" w:header="0"/>
        </w:sectPr>
      </w:pPr>
    </w:p>
    <w:p>
      <w:pPr>
        <w:spacing w:after="0" w:line="35" w:lineRule="exact"/>
        <w:rPr>
          <w:sz w:val="20"/>
          <w:szCs w:val="20"/>
          <w:color w:val="auto"/>
        </w:rPr>
      </w:pPr>
    </w:p>
    <w:p>
      <w:pPr>
        <w:ind w:left="100"/>
        <w:spacing w:after="0"/>
        <w:tabs>
          <w:tab w:leader="none" w:pos="1480" w:val="left"/>
          <w:tab w:leader="none" w:pos="288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7"/>
          <w:szCs w:val="17"/>
          <w:color w:val="0000FF"/>
        </w:rPr>
        <w:t>10019</w:t>
      </w:r>
    </w:p>
    <w:p>
      <w:pPr>
        <w:sectPr>
          <w:pgSz w:w="11900" w:h="16838" w:orient="portrait"/>
          <w:cols w:equalWidth="0" w:num="1">
            <w:col w:w="9979"/>
          </w:cols>
          <w:pgMar w:left="480" w:top="243" w:right="1440" w:bottom="16"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176"/>
        </w:trPr>
        <w:tc>
          <w:tcPr>
            <w:tcW w:w="10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3">
              <w:r>
                <w:rPr>
                  <w:rFonts w:ascii="Times New Roman" w:cs="Times New Roman" w:eastAsia="Times New Roman" w:hAnsi="Times New Roman"/>
                  <w:sz w:val="21"/>
                  <w:szCs w:val="21"/>
                  <w:color w:val="0000EE"/>
                </w:rPr>
                <w:t>Casdin Amplify Fund,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-1887855</wp:posOffset>
            </wp:positionV>
            <wp:extent cx="2809240" cy="39052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2809240" cy="3905250"/>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5">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$1.8279 to $1.8749.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5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Capital, LLC ("Casdin"), the investment adviser to the Master Fund, (ii) Casdin Partners GP, LLC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$1.8596 to $1.8828.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$1.8927 to $1.9364.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Amplify Fund, LP ("Amplify") and are deemed to be indirectly beneficially owned by (i) Casdin, the investment adviser to Amplify, (ii) the GP, the general partner of Amplify,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left="20" w:right="2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United ("RSUs"). Certain RSUs vest in full on the earlier to occur of June 28, 2025 and one day prior to the date of the Company's next annual meeting of stockholders, subject to the Reporting Person's continued service through the applicable vesting date and other RSUs vested as to 25% on July 23, 2024 and thereafter in two equal installments on the 15th day of the last month of each remaining fiscal quarter of 2024,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20"/>
          </w:cols>
          <w:pgMar w:left="480" w:top="125" w:right="49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6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98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41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920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4" w:lineRule="exact"/>
        <w:rPr>
          <w:sz w:val="20"/>
          <w:szCs w:val="20"/>
          <w:color w:val="auto"/>
        </w:rPr>
      </w:pPr>
    </w:p>
    <w:p>
      <w:pPr>
        <w:sectPr>
          <w:pgSz w:w="11900" w:h="16838" w:orient="portrait"/>
          <w:cols w:equalWidth="0" w:num="2">
            <w:col w:w="8700" w:space="60"/>
            <w:col w:w="2160"/>
          </w:cols>
          <w:pgMar w:left="480" w:top="125" w:right="499" w:bottom="0" w:gutter="0" w:footer="0" w:header="0"/>
          <w:type w:val="continuous"/>
        </w:sect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 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8973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Growth Equity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sectPr>
          <w:pgSz w:w="11900" w:h="16838" w:orient="portrait"/>
          <w:cols w:equalWidth="0" w:num="1">
            <w:col w:w="10920"/>
          </w:cols>
          <w:pgMar w:left="480" w:top="125" w:right="499" w:bottom="0" w:gutter="0" w:footer="0" w:header="0"/>
          <w:type w:val="continuous"/>
        </w:sectPr>
      </w:pPr>
    </w:p>
    <w:bookmarkStart w:id="3" w:name="page4"/>
    <w:bookmarkEnd w:id="3"/>
    <w:p>
      <w:pPr>
        <w:ind w:left="654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14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Amplify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442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127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899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290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14617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650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08/21/2024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24"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13" Type="http://schemas.openxmlformats.org/officeDocument/2006/relationships/hyperlink" Target="http://www.sec.gov/cgi-bin/browse-edgar?action=getcompany&amp;CIK=0001534265" TargetMode="External"/><Relationship Id="rId14" Type="http://schemas.openxmlformats.org/officeDocument/2006/relationships/hyperlink" Target="http://www.sec.gov/cgi-bin/browse-edgar?action=getcompany&amp;CIK=0001162194" TargetMode="External"/><Relationship Id="rId17" Type="http://schemas.openxmlformats.org/officeDocument/2006/relationships/hyperlink" Target="http://www.sec.gov/cgi-bin/browse-edgar?action=getcompany&amp;CIK=0001534264" TargetMode="External"/><Relationship Id="rId18" Type="http://schemas.openxmlformats.org/officeDocument/2006/relationships/hyperlink" Target="http://www.sec.gov/cgi-bin/browse-edgar?action=getcompany&amp;CIK=0001534261" TargetMode="External"/><Relationship Id="rId19" Type="http://schemas.openxmlformats.org/officeDocument/2006/relationships/hyperlink" Target="http://www.sec.gov/cgi-bin/browse-edgar?action=getcompany&amp;CIK=0001534260" TargetMode="External"/><Relationship Id="rId20" Type="http://schemas.openxmlformats.org/officeDocument/2006/relationships/hyperlink" Target="http://www.sec.gov/cgi-bin/browse-edgar?action=getcompany&amp;CIK=0001891102" TargetMode="External"/><Relationship Id="rId21" Type="http://schemas.openxmlformats.org/officeDocument/2006/relationships/hyperlink" Target="http://www.sec.gov/cgi-bin/browse-edgar?action=getcompany&amp;CIK=0001919480" TargetMode="External"/><Relationship Id="rId22" Type="http://schemas.openxmlformats.org/officeDocument/2006/relationships/hyperlink" Target="http://www.sec.gov/cgi-bin/browse-edgar?action=getcompany&amp;CIK=0001823061" TargetMode="External"/><Relationship Id="rId23" Type="http://schemas.openxmlformats.org/officeDocument/2006/relationships/hyperlink" Target="http://www.sec.gov/cgi-bin/browse-edgar?action=getcompany&amp;CIK=0002028254" TargetMode="External"/><Relationship Id="rId25" Type="http://schemas.openxmlformats.org/officeDocument/2006/relationships/hyperlink" Target="http://www.sec.gov/cgi-bin/browse-edgar?action=getcompany&amp;CIK=000186455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2024-08-21T19:57:19Z</dcterms:created>
  <dcterms:modified xsi:type="dcterms:W3CDTF">2024-08-21T19:57:19Z</dcterms:modified>
</cp:coreProperties>
</file>