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-224790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-598170</wp:posOffset>
            </wp:positionV>
            <wp:extent cx="5651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24765</wp:posOffset>
            </wp:positionV>
            <wp:extent cx="6999605" cy="945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94500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160" w:space="520"/>
            <w:col w:w="840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Casdin Partners Master Fund, L.P.</w:t>
        </w:r>
      </w:hyperlink>
    </w:p>
    <w:p>
      <w:pPr>
        <w:spacing w:after="0" w:line="278"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5"/>
          <w:szCs w:val="15"/>
          <w:color w:val="0000FF"/>
        </w:rPr>
        <w:t>1350 AVENUE OF THE AMERICAS, SUITE 2600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STANDARD BIOTOOLS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LAB</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04/04/2022</w:t>
      </w:r>
    </w:p>
    <w:p>
      <w:pPr>
        <w:spacing w:after="0" w:line="20" w:lineRule="exact"/>
        <w:rPr>
          <w:sz w:val="24"/>
          <w:szCs w:val="24"/>
          <w:color w:val="auto"/>
        </w:rPr>
      </w:pPr>
      <w:r>
        <w:rPr>
          <w:sz w:val="24"/>
          <w:szCs w:val="24"/>
          <w:color w:val="auto"/>
        </w:rPr>
        <w:br w:type="column"/>
      </w:r>
    </w:p>
    <w:p>
      <w:pPr>
        <w:ind w:left="9" w:right="760" w:hanging="9"/>
        <w:spacing w:after="0" w:line="267" w:lineRule="auto"/>
        <w:tabs>
          <w:tab w:leader="none" w:pos="14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9"/>
        <w:spacing w:after="0"/>
        <w:tabs>
          <w:tab w:leader="none" w:pos="509" w:val="left"/>
          <w:tab w:leader="none" w:pos="1769" w:val="left"/>
          <w:tab w:leader="none" w:pos="208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spacing w:after="0" w:line="63"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68" w:lineRule="exact"/>
        <w:rPr>
          <w:sz w:val="24"/>
          <w:szCs w:val="24"/>
          <w:color w:val="auto"/>
        </w:rPr>
      </w:pPr>
    </w:p>
    <w:p>
      <w:pPr>
        <w:sectPr>
          <w:pgSz w:w="11900" w:h="16838" w:orient="portrait"/>
          <w:cols w:equalWidth="0" w:num="3">
            <w:col w:w="3460" w:space="440"/>
            <w:col w:w="3120" w:space="711"/>
            <w:col w:w="3349"/>
          </w:cols>
          <w:pgMar w:left="460" w:top="213" w:right="359" w:bottom="0" w:gutter="0" w:footer="0" w:header="0"/>
          <w:type w:val="continuous"/>
        </w:sectPr>
      </w:pP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10"/>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20" w:type="dxa"/>
            <w:vAlign w:val="bottom"/>
            <w:gridSpan w:val="8"/>
          </w:tcPr>
          <w:p>
            <w:pPr>
              <w:ind w:left="2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NY</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rPr>
              <w:t>10019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20" w:type="dxa"/>
            <w:vAlign w:val="bottom"/>
            <w:gridSpan w:val="8"/>
          </w:tcPr>
          <w:p>
            <w:pPr>
              <w:ind w:left="4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2"/>
                <w:szCs w:val="12"/>
                <w:color w:val="auto"/>
              </w:rPr>
              <w:t>(State)</w:t>
            </w:r>
          </w:p>
        </w:tc>
        <w:tc>
          <w:tcPr>
            <w:tcW w:w="1100" w:type="dxa"/>
            <w:vAlign w:val="bottom"/>
            <w:gridSpan w:val="3"/>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3360" w:type="dxa"/>
            <w:vAlign w:val="bottom"/>
            <w:tcBorders>
              <w:bottom w:val="single" w:sz="8" w:color="2C2C2C"/>
            </w:tcBorders>
            <w:gridSpan w:val="9"/>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340" w:type="dxa"/>
            <w:vAlign w:val="bottom"/>
            <w:tcBorders>
              <w:top w:val="single" w:sz="8" w:color="2C2C2C"/>
            </w:tcBorders>
            <w:gridSpan w:val="19"/>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6"/>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60" w:type="dxa"/>
            <w:vAlign w:val="bottom"/>
          </w:tcPr>
          <w:p>
            <w:pPr>
              <w:spacing w:after="0"/>
              <w:rPr>
                <w:sz w:val="13"/>
                <w:szCs w:val="13"/>
                <w:color w:val="auto"/>
              </w:rPr>
            </w:pPr>
          </w:p>
        </w:tc>
        <w:tc>
          <w:tcPr>
            <w:tcW w:w="1560" w:type="dxa"/>
            <w:vAlign w:val="bottom"/>
            <w:gridSpan w:val="5"/>
          </w:tcPr>
          <w:p>
            <w:pPr>
              <w:ind w:left="600"/>
              <w:spacing w:after="0"/>
              <w:rPr>
                <w:sz w:val="20"/>
                <w:szCs w:val="20"/>
                <w:color w:val="auto"/>
              </w:rPr>
            </w:pPr>
            <w:r>
              <w:rPr>
                <w:rFonts w:ascii="Arial" w:cs="Arial" w:eastAsia="Arial" w:hAnsi="Arial"/>
                <w:sz w:val="11"/>
                <w:szCs w:val="11"/>
                <w:b w:val="1"/>
                <w:bCs w:val="1"/>
                <w:color w:val="auto"/>
              </w:rPr>
              <w:t>2. Transaction</w:t>
            </w:r>
          </w:p>
        </w:tc>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3"/>
                <w:szCs w:val="13"/>
                <w:color w:val="auto"/>
              </w:rPr>
            </w:pPr>
          </w:p>
        </w:tc>
        <w:tc>
          <w:tcPr>
            <w:tcW w:w="200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gridSpan w:val="5"/>
          </w:tcPr>
          <w:p>
            <w:pPr>
              <w:ind w:left="600"/>
              <w:spacing w:after="0" w:line="123" w:lineRule="exact"/>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0"/>
                <w:szCs w:val="10"/>
                <w:color w:val="auto"/>
              </w:rPr>
            </w:pPr>
          </w:p>
        </w:tc>
        <w:tc>
          <w:tcPr>
            <w:tcW w:w="10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6"/>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gridSpan w:val="5"/>
          </w:tcPr>
          <w:p>
            <w:pPr>
              <w:ind w:left="600"/>
              <w:spacing w:after="0" w:line="123" w:lineRule="exact"/>
              <w:rPr>
                <w:sz w:val="20"/>
                <w:szCs w:val="20"/>
                <w:color w:val="auto"/>
              </w:rPr>
            </w:pPr>
            <w:r>
              <w:rPr>
                <w:rFonts w:ascii="Arial" w:cs="Arial" w:eastAsia="Arial" w:hAnsi="Arial"/>
                <w:sz w:val="11"/>
                <w:szCs w:val="11"/>
                <w:b w:val="1"/>
                <w:bCs w:val="1"/>
                <w:color w:val="auto"/>
              </w:rPr>
              <w:t>(Month/Day/Year)</w:t>
            </w:r>
          </w:p>
        </w:tc>
        <w:tc>
          <w:tcPr>
            <w:tcW w:w="20" w:type="dxa"/>
            <w:vAlign w:val="bottom"/>
          </w:tcPr>
          <w:p>
            <w:pPr>
              <w:spacing w:after="0"/>
              <w:rPr>
                <w:sz w:val="10"/>
                <w:szCs w:val="10"/>
                <w:color w:val="auto"/>
              </w:rPr>
            </w:pPr>
          </w:p>
        </w:tc>
        <w:tc>
          <w:tcPr>
            <w:tcW w:w="5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52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9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78"/>
              </w:rPr>
              <w:t>(D)</w:t>
            </w:r>
          </w:p>
        </w:tc>
        <w:tc>
          <w:tcPr>
            <w:tcW w:w="2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40" w:type="dxa"/>
            <w:vAlign w:val="bottom"/>
            <w:tcBorders>
              <w:bottom w:val="single" w:sz="8" w:color="2C2C2C"/>
            </w:tcBorders>
            <w:gridSpan w:val="3"/>
          </w:tcPr>
          <w:p>
            <w:pPr>
              <w:spacing w:after="0"/>
              <w:rPr>
                <w:sz w:val="6"/>
                <w:szCs w:val="6"/>
                <w:color w:val="auto"/>
              </w:rPr>
            </w:pPr>
          </w:p>
        </w:tc>
        <w:tc>
          <w:tcPr>
            <w:tcW w:w="3360" w:type="dxa"/>
            <w:vAlign w:val="bottom"/>
            <w:tcBorders>
              <w:bottom w:val="single" w:sz="8" w:color="2C2C2C"/>
            </w:tcBorders>
            <w:gridSpan w:val="9"/>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9"/>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20" w:type="dxa"/>
            <w:vAlign w:val="bottom"/>
            <w:gridSpan w:val="17"/>
          </w:tcPr>
          <w:p>
            <w:pPr>
              <w:ind w:left="5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158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12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8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9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5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0"/>
                <w:szCs w:val="10"/>
                <w:color w:val="auto"/>
              </w:rPr>
            </w:pPr>
          </w:p>
        </w:tc>
        <w:tc>
          <w:tcPr>
            <w:tcW w:w="98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420" w:type="dxa"/>
            <w:vAlign w:val="bottom"/>
          </w:tcPr>
          <w:p>
            <w:pPr>
              <w:spacing w:after="0"/>
              <w:rPr>
                <w:sz w:val="10"/>
                <w:szCs w:val="10"/>
                <w:color w:val="auto"/>
              </w:rPr>
            </w:pPr>
          </w:p>
        </w:tc>
        <w:tc>
          <w:tcPr>
            <w:tcW w:w="158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9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5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0"/>
                <w:szCs w:val="10"/>
                <w:color w:val="auto"/>
              </w:rPr>
            </w:pPr>
          </w:p>
        </w:tc>
        <w:tc>
          <w:tcPr>
            <w:tcW w:w="98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spacing w:after="0"/>
              <w:rPr>
                <w:sz w:val="10"/>
                <w:szCs w:val="10"/>
                <w:color w:val="auto"/>
              </w:rPr>
            </w:pPr>
          </w:p>
        </w:tc>
        <w:tc>
          <w:tcPr>
            <w:tcW w:w="158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Derivative Security (Instr. 3</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Acquired (A)</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and 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or Disposed</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of (D) (Instr.</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3, 4 and 5)</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ind w:left="40"/>
              <w:spacing w:after="0" w:line="123" w:lineRule="exact"/>
              <w:rPr>
                <w:sz w:val="20"/>
                <w:szCs w:val="20"/>
                <w:color w:val="auto"/>
              </w:rPr>
            </w:pPr>
            <w:r>
              <w:rPr>
                <w:rFonts w:ascii="Arial" w:cs="Arial" w:eastAsia="Arial" w:hAnsi="Arial"/>
                <w:sz w:val="11"/>
                <w:szCs w:val="11"/>
                <w:b w:val="1"/>
                <w:bCs w:val="1"/>
                <w:color w:val="auto"/>
                <w:w w:val="92"/>
              </w:rPr>
              <w:t>Date</w:t>
            </w:r>
          </w:p>
        </w:tc>
        <w:tc>
          <w:tcPr>
            <w:tcW w:w="440" w:type="dxa"/>
            <w:vAlign w:val="bottom"/>
          </w:tcPr>
          <w:p>
            <w:pPr>
              <w:spacing w:after="0"/>
              <w:rPr>
                <w:sz w:val="10"/>
                <w:szCs w:val="10"/>
                <w:color w:val="auto"/>
              </w:rPr>
            </w:pPr>
          </w:p>
        </w:tc>
        <w:tc>
          <w:tcPr>
            <w:tcW w:w="6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B-1</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6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7"/>
                <w:szCs w:val="17"/>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0000FF"/>
              </w:rPr>
              <w:t>04/04/2022</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127,780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17"/>
                <w:szCs w:val="17"/>
                <w:color w:val="auto"/>
              </w:rPr>
            </w:pPr>
          </w:p>
        </w:tc>
        <w:tc>
          <w:tcPr>
            <w:tcW w:w="420" w:type="dxa"/>
            <w:vAlign w:val="bottom"/>
          </w:tcPr>
          <w:p>
            <w:pPr>
              <w:jc w:val="right"/>
              <w:ind w:right="206"/>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17"/>
                <w:szCs w:val="17"/>
                <w:color w:val="auto"/>
              </w:rPr>
            </w:pPr>
          </w:p>
        </w:tc>
        <w:tc>
          <w:tcPr>
            <w:tcW w:w="920" w:type="dxa"/>
            <w:vAlign w:val="bottom"/>
            <w:gridSpan w:val="2"/>
          </w:tcPr>
          <w:p>
            <w:pPr>
              <w:spacing w:after="0" w:line="198" w:lineRule="exact"/>
              <w:rPr>
                <w:sz w:val="20"/>
                <w:szCs w:val="20"/>
                <w:color w:val="auto"/>
              </w:rPr>
            </w:pPr>
            <w:r>
              <w:rPr>
                <w:rFonts w:ascii="Times New Roman" w:cs="Times New Roman" w:eastAsia="Times New Roman" w:hAnsi="Times New Roman"/>
                <w:sz w:val="16"/>
                <w:szCs w:val="16"/>
                <w:color w:val="0000FF"/>
              </w:rPr>
              <w:t>37,582,346</w:t>
            </w:r>
            <w:r>
              <w:rPr>
                <w:rFonts w:ascii="Times New Roman" w:cs="Times New Roman" w:eastAsia="Times New Roman" w:hAnsi="Times New Roman"/>
                <w:sz w:val="20"/>
                <w:szCs w:val="20"/>
                <w:color w:val="008000"/>
                <w:vertAlign w:val="superscript"/>
              </w:rPr>
              <w:t>(1)</w:t>
            </w:r>
          </w:p>
        </w:tc>
        <w:tc>
          <w:tcPr>
            <w:tcW w:w="66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0000FF"/>
              </w:rPr>
              <w:t>127,780</w:t>
            </w:r>
          </w:p>
        </w:tc>
        <w:tc>
          <w:tcPr>
            <w:tcW w:w="600" w:type="dxa"/>
            <w:vAlign w:val="bottom"/>
          </w:tcPr>
          <w:p>
            <w:pPr>
              <w:ind w:left="260"/>
              <w:spacing w:after="0" w:line="198"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(3)</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Preferred</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ind w:left="16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2420" w:type="dxa"/>
            <w:vAlign w:val="bottom"/>
            <w:tcBorders>
              <w:top w:val="single" w:sz="8" w:color="2C2C2C"/>
            </w:tcBorders>
            <w:gridSpan w:val="7"/>
          </w:tcPr>
          <w:p>
            <w:pPr>
              <w:ind w:left="60"/>
              <w:spacing w:after="0" w:line="21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9"/>
          </w:tcPr>
          <w:p>
            <w:pPr>
              <w:spacing w:after="0" w:line="209"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Casdin Partners Master Fund, L.P.</w:t>
              </w:r>
            </w:hyperlink>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360" w:type="dxa"/>
            <w:vAlign w:val="bottom"/>
          </w:tcPr>
          <w:p>
            <w:pPr>
              <w:spacing w:after="0"/>
              <w:rPr>
                <w:sz w:val="24"/>
                <w:szCs w:val="24"/>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1350 AVENUE OF THE AMERICAS, SUITE 2600</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0" w:type="dxa"/>
            <w:vAlign w:val="bottom"/>
          </w:tcPr>
          <w:p>
            <w:pPr>
              <w:spacing w:after="0"/>
              <w:rPr>
                <w:sz w:val="19"/>
                <w:szCs w:val="19"/>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10019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360" w:type="dxa"/>
            <w:vAlign w:val="bottom"/>
          </w:tcPr>
          <w:p>
            <w:pPr>
              <w:spacing w:after="0"/>
              <w:rPr>
                <w:sz w:val="24"/>
                <w:szCs w:val="24"/>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gridSpan w:val="4"/>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tcPr>
          <w:p>
            <w:pPr>
              <w:spacing w:after="0" w:line="20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Casdin Capital, LLC</w:t>
              </w:r>
            </w:hyperlink>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360" w:type="dxa"/>
            <w:vAlign w:val="bottom"/>
          </w:tcPr>
          <w:p>
            <w:pPr>
              <w:spacing w:after="0"/>
              <w:rPr>
                <w:sz w:val="24"/>
                <w:szCs w:val="24"/>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1350 AVENUE OF THE AMERICAS, SUITE 2600</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0" w:type="dxa"/>
            <w:vAlign w:val="bottom"/>
          </w:tcPr>
          <w:p>
            <w:pPr>
              <w:spacing w:after="0"/>
              <w:rPr>
                <w:sz w:val="19"/>
                <w:szCs w:val="19"/>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10019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360" w:type="dxa"/>
            <w:vAlign w:val="bottom"/>
          </w:tcPr>
          <w:p>
            <w:pPr>
              <w:spacing w:after="0"/>
              <w:rPr>
                <w:sz w:val="24"/>
                <w:szCs w:val="24"/>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gridSpan w:val="4"/>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tcPr>
          <w:p>
            <w:pPr>
              <w:spacing w:after="0" w:line="209"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Casdin Partners GP, LLC</w:t>
              </w:r>
            </w:hyperlink>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360" w:type="dxa"/>
            <w:vAlign w:val="bottom"/>
          </w:tcPr>
          <w:p>
            <w:pPr>
              <w:spacing w:after="0"/>
              <w:rPr>
                <w:sz w:val="24"/>
                <w:szCs w:val="24"/>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1350 AVENUE OF THE AMERICAS, SUITE 2600</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0" w:type="dxa"/>
            <w:vAlign w:val="bottom"/>
          </w:tcPr>
          <w:p>
            <w:pPr>
              <w:spacing w:after="0"/>
              <w:rPr>
                <w:sz w:val="19"/>
                <w:szCs w:val="19"/>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10019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360" w:type="dxa"/>
            <w:vAlign w:val="bottom"/>
          </w:tcPr>
          <w:p>
            <w:pPr>
              <w:spacing w:after="0"/>
              <w:rPr>
                <w:sz w:val="24"/>
                <w:szCs w:val="24"/>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gridSpan w:val="4"/>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9"/>
          </w:tcPr>
          <w:p>
            <w:pPr>
              <w:spacing w:after="0" w:line="209" w:lineRule="exact"/>
              <w:rPr>
                <w:rFonts w:ascii="Times New Roman" w:cs="Times New Roman" w:eastAsia="Times New Roman" w:hAnsi="Times New Roman"/>
                <w:sz w:val="20"/>
                <w:szCs w:val="20"/>
                <w:color w:val="0000EE"/>
                <w:w w:val="97"/>
              </w:rPr>
            </w:pPr>
            <w:hyperlink r:id="rId16">
              <w:r>
                <w:rPr>
                  <w:rFonts w:ascii="Times New Roman" w:cs="Times New Roman" w:eastAsia="Times New Roman" w:hAnsi="Times New Roman"/>
                  <w:sz w:val="20"/>
                  <w:szCs w:val="20"/>
                  <w:color w:val="0000EE"/>
                  <w:w w:val="97"/>
                </w:rPr>
                <w:t>Casdin Private Growth Equity Fund II, L.P.</w:t>
              </w:r>
            </w:hyperlink>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360" w:type="dxa"/>
            <w:vAlign w:val="bottom"/>
          </w:tcPr>
          <w:p>
            <w:pPr>
              <w:spacing w:after="0"/>
              <w:rPr>
                <w:sz w:val="24"/>
                <w:szCs w:val="24"/>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-6869430</wp:posOffset>
            </wp:positionV>
            <wp:extent cx="28575" cy="169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8575" cy="1698625"/>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p>
      <w:pPr>
        <w:spacing w:after="0" w:line="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1350 AVENUE OF THE AMERICAS, SUITE 2600</w:t>
      </w:r>
    </w:p>
    <w:p>
      <w:pPr>
        <w:sectPr>
          <w:pgSz w:w="11900" w:h="16838" w:orient="portrait"/>
          <w:cols w:equalWidth="0" w:num="1">
            <w:col w:w="11080"/>
          </w:cols>
          <w:pgMar w:left="460" w:top="213" w:right="359" w:bottom="0" w:gutter="0" w:footer="0" w:header="0"/>
          <w:type w:val="continuous"/>
        </w:sectPr>
      </w:pPr>
    </w:p>
    <w:bookmarkStart w:id="1" w:name="page2"/>
    <w:bookmarkEnd w:id="1"/>
    <w:tbl>
      <w:tblPr>
        <w:tblLayout w:type="fixed"/>
        <w:tblInd w:w="45"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19"/>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10019</w:t>
            </w:r>
          </w:p>
        </w:tc>
      </w:tr>
      <w:tr>
        <w:trPr>
          <w:trHeight w:val="141"/>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2280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8605" cy="2280285"/>
                    </a:xfrm>
                    <a:prstGeom prst="rect">
                      <a:avLst/>
                    </a:prstGeom>
                    <a:noFill/>
                  </pic:spPr>
                </pic:pic>
              </a:graphicData>
            </a:graphic>
          </wp:anchor>
        </w:drawing>
      </w: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Casdin Private Growth Equity Fund II GP, LLC</w:t>
        </w:r>
      </w:hyperlink>
    </w:p>
    <w:p>
      <w:pPr>
        <w:spacing w:after="0" w:line="278" w:lineRule="exact"/>
        <w:rPr>
          <w:sz w:val="20"/>
          <w:szCs w:val="20"/>
          <w:color w:val="auto"/>
        </w:rPr>
      </w:pPr>
    </w:p>
    <w:p>
      <w:pPr>
        <w:ind w:left="65"/>
        <w:spacing w:after="0"/>
        <w:tabs>
          <w:tab w:leader="none" w:pos="1464" w:val="left"/>
          <w:tab w:leader="none" w:pos="2864"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6"/>
          <w:szCs w:val="16"/>
          <w:color w:val="0000FF"/>
        </w:rPr>
        <w:t>1350 AVENUE OF THE AMERICAS, SUITE 2600</w:t>
      </w:r>
    </w:p>
    <w:p>
      <w:pPr>
        <w:spacing w:after="0" w:line="321"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19"/>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10019</w:t>
            </w:r>
          </w:p>
        </w:tc>
      </w:tr>
      <w:tr>
        <w:trPr>
          <w:trHeight w:val="141"/>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5" w:right="60" w:hanging="5"/>
        <w:spacing w:after="0" w:line="25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the Issuer's Series B-1 Convertible Preferred Stock (the "Series B-1 Preferred Stock") is convertible at the option of the Reporting Person at any time into a number of shares of the Issuer's common stock, par value $0.001 per share, equal to the conversion rate, which is initially 294.1176, subject to certain anti-dilution adjustments and limitations on conversion pursuant to the Certificate of Designation for the Series B-1 Preferred Stock.</w:t>
      </w:r>
    </w:p>
    <w:p>
      <w:pPr>
        <w:spacing w:after="0" w:line="17" w:lineRule="exact"/>
        <w:rPr>
          <w:rFonts w:ascii="Times New Roman" w:cs="Times New Roman" w:eastAsia="Times New Roman" w:hAnsi="Times New Roman"/>
          <w:sz w:val="12"/>
          <w:szCs w:val="12"/>
          <w:color w:val="008000"/>
        </w:rPr>
      </w:pPr>
    </w:p>
    <w:p>
      <w:pPr>
        <w:ind w:left="5" w:right="80" w:hanging="5"/>
        <w:spacing w:after="0" w:line="248"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4, 2022, the Issuer issued the Series B-1 Preferred Stock (i) in exchange for aggregate cash consideration of $112.5 million, pursuant to the Series B-1 Convertible Preferred Stock Purchase Agreement, dated as of January 23, 2022, among the Issuer, Casdin Partners Master Fund, L.P. ("Casdin Master Fund") and Casdin Private Growth Equity Fund II, L.P. ("Casdin Private Growth Fund") and (ii) upon the conversion of $12.5 million aggregate principal amount of term loans, including accrued and unpaid interest, pursuant to the Series B-1 Loan Agreement, dated as of January 23, 2022, among the Issuer, Casdin Master Fund and Casdin Private Growth Fund.</w:t>
      </w:r>
    </w:p>
    <w:p>
      <w:pPr>
        <w:spacing w:after="0" w:line="20" w:lineRule="exact"/>
        <w:rPr>
          <w:rFonts w:ascii="Times New Roman" w:cs="Times New Roman" w:eastAsia="Times New Roman" w:hAnsi="Times New Roman"/>
          <w:sz w:val="12"/>
          <w:szCs w:val="12"/>
          <w:color w:val="008000"/>
        </w:rPr>
      </w:pPr>
    </w:p>
    <w:p>
      <w:pPr>
        <w:ind w:left="5" w:hanging="5"/>
        <w:spacing w:after="0" w:line="248"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by Casdin Master Fund and Casdin Private Growth Fund. Casdin Capital, LLC ("Casdin Capital") is the investment adviser to Casdin Master Fund and Casdin Private Growth Fund. Casdin Partners GP, LLC ("Casdin Partners GP") is the general partner of Casdin Master Fund and Casdin Private Growth Equity Fund II GP, LLC ("Casdin Private Growth GP") is the general partner of Casdin Private Growth Fund. Eli Casdin is the managing member of Casdin Capital, Casdin Partners GP and Casdin Private Growth GP. Each of Casdin Capital, Casdin Partners GP, Casdin Private Growth GP and Eli Casdin disclaims beneficial ownership of such securities except to the extent of their respective pecuniary interest therein, if any.</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Remarks:</w:t>
      </w:r>
    </w:p>
    <w:p>
      <w:pPr>
        <w:spacing w:after="0" w:line="50" w:lineRule="exact"/>
        <w:rPr>
          <w:sz w:val="20"/>
          <w:szCs w:val="20"/>
          <w:color w:val="auto"/>
        </w:rPr>
      </w:pPr>
    </w:p>
    <w:p>
      <w:pPr>
        <w:ind w:left="5" w:right="60"/>
        <w:spacing w:after="0" w:line="254" w:lineRule="auto"/>
        <w:rPr>
          <w:sz w:val="20"/>
          <w:szCs w:val="20"/>
          <w:color w:val="auto"/>
        </w:rPr>
      </w:pPr>
      <w:r>
        <w:rPr>
          <w:rFonts w:ascii="Times New Roman" w:cs="Times New Roman" w:eastAsia="Times New Roman" w:hAnsi="Times New Roman"/>
          <w:sz w:val="12"/>
          <w:szCs w:val="12"/>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Mr. Casdin files separate Section 16 reports disclosing securities of the Issuer that he may be deemed to beneficially own for Section 16 purposes.</w:t>
      </w:r>
    </w:p>
    <w:p>
      <w:pPr>
        <w:sectPr>
          <w:pgSz w:w="11900" w:h="16838" w:orient="portrait"/>
          <w:cols w:equalWidth="0" w:num="1">
            <w:col w:w="10905"/>
          </w:cols>
          <w:pgMar w:left="495" w:top="385" w:right="499" w:bottom="1440" w:gutter="0" w:footer="0" w:header="0"/>
        </w:sectPr>
      </w:pPr>
    </w:p>
    <w:p>
      <w:pPr>
        <w:spacing w:after="0" w:line="42"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084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0840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912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9126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3538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Eli Casdin,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445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4457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3441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44170"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Casdin Capital,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0746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746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Casdin,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700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Casdin Partners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468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Eli Casdin,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445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4457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34417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44170"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280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Fund II,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3296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Growth Equity Fund 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3468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By: /s/ Eli Casdin,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3379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3441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344170"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280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Fund II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518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518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Casdin,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700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29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291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291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29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29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8705" w:space="60"/>
            <w:col w:w="2140"/>
          </w:cols>
          <w:pgMar w:left="495" w:top="385" w:right="499" w:bottom="1440" w:gutter="0" w:footer="0" w:header="0"/>
          <w:type w:val="continuous"/>
        </w:sect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5" w:right="3800" w:hanging="5"/>
        <w:spacing w:after="0" w:line="321"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5"/>
      </w:cols>
      <w:pgMar w:left="495" w:top="385"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12" Type="http://schemas.openxmlformats.org/officeDocument/2006/relationships/hyperlink" Target="http://www.sec.gov/cgi-bin/browse-edgar?action=getcompany&amp;CIK=0001534265"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534261" TargetMode="External"/><Relationship Id="rId15" Type="http://schemas.openxmlformats.org/officeDocument/2006/relationships/hyperlink" Target="http://www.sec.gov/cgi-bin/browse-edgar?action=getcompany&amp;CIK=0001534260" TargetMode="External"/><Relationship Id="rId16" Type="http://schemas.openxmlformats.org/officeDocument/2006/relationships/hyperlink" Target="http://www.sec.gov/cgi-bin/browse-edgar?action=getcompany&amp;CIK=0001891102" TargetMode="External"/><Relationship Id="rId19" Type="http://schemas.openxmlformats.org/officeDocument/2006/relationships/hyperlink" Target="http://www.sec.gov/cgi-bin/browse-edgar?action=getcompany&amp;CIK=00019194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2022-04-06T16:55:58Z</dcterms:created>
  <dcterms:modified xsi:type="dcterms:W3CDTF">2022-04-06T16:55:58Z</dcterms:modified>
</cp:coreProperties>
</file>